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百融大模型API网关访问申请</w:t>
      </w:r>
    </w:p>
    <w:sdt>
      <w:sdtContent>
        <w:p>
          <w:pPr>
            <w:jc w:val="center"/>
          </w:pPr>
          <w:r>
            <w:rPr>
              <w:b w:val="1"/>
              <w:bCs/>
              <w:i w:val="1"/>
              <w:iCs/>
              <w:sz w:val="32"/>
              <w:szCs w:val="32"/>
            </w:rPr>
            <w:t xml:space="default">目录</w:t>
          </w:r>
          <w:r>
            <w:fldChar w:fldCharType="begin"/>
          </w:r>
          <w:r>
            <w:fldChar w:fldCharType="separate"/>
          </w:r>
        </w:p>
        <w:p>
          <w:pPr>
            <w:tabs>
              <w:tab w:val="left" w:leader="dot" w:pos="8390"/>
            </w:tabs>
            <w:ind/>
          </w:pPr>
          <w:hyperlink w:anchor="mie9zmokml60588qfkb">
            <w:r>
              <w:rPr>
                <w:b w:val="1"/>
                <w:bCs/>
                <w:i w:val="1"/>
                <w:iCs/>
              </w:rPr>
              <w:t xml:space="default">环境说明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hk7p9zgiqhk0tbxzbc">
            <w:r>
              <w:rPr>
                <w:b w:val="1"/>
                <w:bCs/>
                <w:i w:val="1"/>
                <w:iCs/>
              </w:rPr>
              <w:t xml:space="default">sslvpn访问百融大模型API网关（仅预发）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hk7po9psphjdykt6hk">
            <w:r>
              <w:rPr>
                <w:b w:val="1"/>
                <w:bCs/>
                <w:i w:val="1"/>
                <w:iCs/>
              </w:rPr>
              <w:t xml:space="default">物理机服务器访问百融大模型API网关（仅预发）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hlo83ctl9tw46rinv">
            <w:r>
              <w:rPr>
                <w:b w:val="1"/>
                <w:bCs/>
                <w:i w:val="1"/>
                <w:iCs/>
              </w:rPr>
              <w:t xml:space="default">K8S pod访问百融大模型API网关（预发、生产）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icl87ongv331ii3xgn">
            <w:r>
              <w:rPr>
                <w:b w:val="1"/>
                <w:bCs/>
                <w:i w:val="1"/>
                <w:iCs/>
              </w:rPr>
              <w:t xml:space="default">注意</w:t>
            </w:r>
            <w:r>
              <w:tab/>
            </w:r>
          </w:hyperlink>
        </w:p>
      </w:sdtContent>
    </w:sdt>
    <w:p>
      <w:pPr/>
      <w:r/>
    </w:p>
    <w:p>
      <w:bookmarkStart w:id="mie9zmokml60588qfkb" w:name="mie9zmokml60588qfkb"/>
      <w:pPr>
        <w:pStyle w:val="dingding-heading1"/>
        <w:spacing w:line="206.76923076923075"/>
      </w:pPr>
      <w:r>
        <w:rPr>
          <w:sz w:val="42"/>
          <w:b w:val="1"/>
        </w:rPr>
        <w:t xml:space="preserve">环境说明</w:t>
      </w:r>
      <w:bookmarkEnd w:id="mie9zmokml60588qfkb"/>
    </w:p>
    <w:p>
      <w:pPr>
        <w:numPr>
          <w:ilvl w:val="0"/>
          <w:numId w:val="1"/>
        </w:numPr>
      </w:pPr>
      <w:r>
        <w:t xml:space="preserve">预发环境</w:t>
      </w:r>
    </w:p>
    <w:p>
      <w:pPr>
        <w:numPr>
          <w:ilvl w:val="1"/>
          <w:numId w:val="1"/>
        </w:numPr>
      </w:pPr>
      <w:r>
        <w:t xml:space="preserve">支持通过sslvpn访问</w:t>
      </w:r>
    </w:p>
    <w:p>
      <w:pPr>
        <w:numPr>
          <w:ilvl w:val="1"/>
          <w:numId w:val="1"/>
        </w:numPr>
      </w:pPr>
      <w:r>
        <w:t xml:space="preserve">支持物理机、办公网开发机访问</w:t>
      </w:r>
    </w:p>
    <w:p>
      <w:pPr>
        <w:numPr>
          <w:ilvl w:val="1"/>
          <w:numId w:val="1"/>
        </w:numPr>
      </w:pPr>
      <w:r>
        <w:t xml:space="preserve">支持idc预发环境访问</w:t>
      </w:r>
    </w:p>
    <w:p>
      <w:pPr>
        <w:numPr>
          <w:ilvl w:val="1"/>
          <w:numId w:val="1"/>
        </w:numPr>
      </w:pPr>
      <w:r>
        <w:t xml:space="preserve">支持云上环境通过内网访问</w:t>
      </w:r>
    </w:p>
    <w:p>
      <w:pPr>
        <w:numPr>
          <w:ilvl w:val="0"/>
          <w:numId w:val="1"/>
        </w:numPr>
      </w:pPr>
      <w:r>
        <w:t xml:space="preserve">生产环境</w:t>
      </w:r>
    </w:p>
    <w:p>
      <w:pPr>
        <w:numPr>
          <w:ilvl w:val="1"/>
          <w:numId w:val="1"/>
        </w:numPr>
      </w:pPr>
      <w:r>
        <w:t xml:space="preserve">仅允许生产idc内访问</w:t>
      </w:r>
    </w:p>
    <w:p>
      <w:bookmarkStart w:id="mhk7p9zgiqhk0tbxzbc" w:name="mhk7p9zgiqhk0tbxzbc"/>
      <w:pPr>
        <w:pStyle w:val="dingding-heading1"/>
        <w:spacing w:line="206.76923076923075"/>
      </w:pPr>
      <w:r>
        <w:rPr>
          <w:sz w:val="42"/>
          <w:b w:val="1"/>
        </w:rPr>
        <w:t xml:space="preserve">sslvpn访问</w:t>
      </w:r>
      <w:r>
        <w:rPr>
          <w:sz w:val="42"/>
        </w:rPr>
        <w:t xml:space="preserve">百融大模型API网关（仅预发）</w:t>
      </w:r>
      <w:bookmarkEnd w:id="mhk7p9zgiqhk0tbxzbc"/>
    </w:p>
    <w:p>
      <w:bookmarkStart w:id="mhk7zxqj0vjenyvztru" w:name="mhk7zxqj0vjenyvztru"/>
      <w:pPr>
        <w:pStyle w:val="dingding-heading2"/>
        <w:spacing w:line="206.76923076923075"/>
      </w:pPr>
      <w:r>
        <w:rPr>
          <w:sz w:val="36"/>
          <w:b w:val="1"/>
        </w:rPr>
        <w:t xml:space="preserve">权限申请</w:t>
      </w:r>
      <w:bookmarkEnd w:id="mhk7zxqj0vjenyvztru"/>
    </w:p>
    <w:p>
      <w:pPr>
        <w:numPr>
          <w:ilvl w:val="0"/>
          <w:numId w:val="2"/>
        </w:numPr>
      </w:pPr>
      <w:r>
        <w:t xml:space="preserve">使用cas账号登录</w:t>
      </w:r>
      <w:hyperlink r:id="rId4">
        <w:r>
          <w:rPr>
            <w:rStyle w:val="hyperlink"/>
          </w:rPr>
          <w:t xml:space="preserve">ITSM系统</w:t>
        </w:r>
      </w:hyperlink>
      <w:r/>
    </w:p>
    <w:p>
      <w:pPr>
        <w:numPr>
          <w:ilvl w:val="0"/>
          <w:numId w:val="2"/>
        </w:numPr>
      </w:pPr>
      <w:r>
        <w:t xml:space="preserve">选择《提交工单》-《sslvpn资源申请单》</w:t>
      </w:r>
    </w:p>
    <w:p>
      <w:pPr>
        <w:numPr>
          <w:ilvl w:val="0"/>
          <w:numId w:val="2"/>
        </w:numPr>
      </w:pPr>
      <w:r>
        <w:t xml:space="preserve">填入如下关键信息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7372"/>
        <w:gridCol w:w="7372"/>
      </w:tblGrid>
      <w:tr>
        <w:trPr>
          <w:trHeight w:val="0"/>
        </w:trPr>
        <w:tc>
          <w:tcPr>
            <w:tcW w:w="7372" w:type="dxa"/>
          </w:tcPr>
          <w:p>
            <w:pPr/>
            <w:r>
              <w:t xml:space="preserve">项目</w:t>
            </w:r>
          </w:p>
        </w:tc>
        <w:tc>
          <w:tcPr>
            <w:tcW w:w="7372" w:type="dxa"/>
          </w:tcPr>
          <w:p>
            <w:pPr/>
            <w:r>
              <w:t xml:space="preserve">填写内容</w:t>
            </w:r>
          </w:p>
        </w:tc>
      </w:tr>
      <w:tr>
        <w:trPr>
          <w:trHeight w:val="0"/>
        </w:trPr>
        <w:tc>
          <w:tcPr>
            <w:tcW w:w="7372" w:type="dxa"/>
          </w:tcPr>
          <w:p>
            <w:pPr/>
            <w:r>
              <w:t xml:space="preserve">其他服务</w:t>
            </w:r>
          </w:p>
        </w:tc>
        <w:tc>
          <w:tcPr>
            <w:tcW w:w="7372" w:type="dxa"/>
          </w:tcPr>
          <w:p>
            <w:pPr/>
            <w:r>
              <w:t xml:space="preserve">预发GPU集群模型网关服务</w:t>
            </w:r>
          </w:p>
        </w:tc>
      </w:tr>
      <w:tr>
        <w:trPr>
          <w:trHeight w:val="0"/>
        </w:trPr>
        <w:tc>
          <w:tcPr>
            <w:tcW w:w="7372" w:type="dxa"/>
          </w:tcPr>
          <w:p>
            <w:pPr/>
            <w:r>
              <w:t xml:space="preserve">申请ip地址、端口</w:t>
            </w:r>
          </w:p>
        </w:tc>
        <w:tc>
          <w:tcPr>
            <w:tcW w:w="7372" w:type="dxa"/>
          </w:tcPr>
          <w:p>
            <w:pPr/>
            <w:r>
              <w:rPr>
                <w:b w:val="1"/>
              </w:rPr>
              <w:t xml:space="preserve">10.150.109.1:80</w:t>
            </w:r>
          </w:p>
        </w:tc>
      </w:tr>
      <w:tr>
        <w:trPr>
          <w:trHeight w:val="915"/>
        </w:trPr>
        <w:tc>
          <w:tcPr>
            <w:tcW w:w="7372" w:type="dxa"/>
          </w:tcPr>
          <w:p>
            <w:pPr/>
            <w:r>
              <w:t xml:space="preserve">域名</w:t>
            </w:r>
          </w:p>
        </w:tc>
        <w:tc>
          <w:tcPr>
            <w:tcW w:w="7372" w:type="dxa"/>
          </w:tcPr>
          <w:p>
            <w:pPr/>
            <w:r>
              <w:rPr>
                <w:strike w:val="1"/>
              </w:rPr>
              <w:t xml:space="preserve">api-pre.cybotforge.100credit.cn（旧网关已废弃）</w:t>
            </w:r>
          </w:p>
          <w:p>
            <w:pPr/>
            <w:r>
              <w:rPr>
                <w:b w:val="1"/>
              </w:rPr>
              <w:t xml:space="preserve">api-cybotforge-pre.brapp.com</w:t>
            </w:r>
          </w:p>
        </w:tc>
      </w:tr>
      <w:tr>
        <w:trPr>
          <w:trHeight w:val="600"/>
        </w:trPr>
        <w:tc>
          <w:tcPr>
            <w:tcW w:w="7372" w:type="dxa"/>
          </w:tcPr>
          <w:p>
            <w:pPr/>
            <w:r>
              <w:t xml:space="preserve">申请理由</w:t>
            </w:r>
          </w:p>
        </w:tc>
        <w:tc>
          <w:tcPr>
            <w:tcW w:w="7372" w:type="dxa"/>
          </w:tcPr>
          <w:p>
            <w:pPr/>
            <w:r>
              <w:t xml:space="preserve">描述使用场景</w:t>
            </w:r>
          </w:p>
        </w:tc>
      </w:tr>
    </w:tbl>
    <w:p>
      <w:pPr>
        <w:pStyle w:val="dingding_quote"/>
      </w:pPr>
      <w:r>
        <w:t xml:space="preserve">*.brapp.com，可以在公司内部k8s解析；如果是个人电脑申请，可自行绑hosts</w:t>
      </w:r>
    </w:p>
    <w:p>
      <w:pPr/>
      <w:r/>
    </w:p>
    <w:p>
      <w:pPr/>
      <w:r/>
      <w:r>
        <w:drawing>
          <wp:inline distT="0" distB="0" distL="0" distR="0">
            <wp:extent cx="9363075" cy="5983873"/>
            <wp:effectExtent b="0" l="0" r="0" t="0"/>
            <wp:docPr id="1" name="28611716155_228986642659_05be7bfdfceaf8ffb98e4b879a4156d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9363075" cy="59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bookmarkStart w:id="mhk7or121hwovm0yedk" w:name="mhk7or121hwovm0yedk"/>
      <w:pPr>
        <w:pStyle w:val="dingding-heading2"/>
        <w:spacing w:line="206.76923076923075"/>
      </w:pPr>
      <w:r>
        <w:rPr>
          <w:sz w:val="36"/>
          <w:b w:val="1"/>
        </w:rPr>
        <w:t xml:space="preserve">测试访问</w:t>
      </w:r>
      <w:bookmarkEnd w:id="mhk7or121hwovm0yedk"/>
    </w:p>
    <w:p>
      <w:pPr/>
      <w:r>
        <w:rPr>
          <w:b w:val="1"/>
        </w:rPr>
        <w:t xml:space="preserve">重新登录sslvpn，</w:t>
      </w:r>
      <w:r>
        <w:t xml:space="preserve">打开本地终端，执行网络测试脚本</w:t>
      </w:r>
    </w:p>
    <w:p>
      <w:pPr>
        <w:pStyle w:val="dingding_code"/>
        <w:shd w:val="clear" w:color="auto" w:fill="D0CECE"/>
      </w:pPr>
      <w:r>
        <w:t xml:space="preserve">kai.liu@local$ telnet api-cybotforge-pre.brapp.com 80</w:t>
      </w:r>
    </w:p>
    <w:p>
      <w:pPr/>
      <w:r/>
    </w:p>
    <w:p>
      <w:bookmarkStart w:id="mhk7po9psphjdykt6hk" w:name="mhk7po9psphjdykt6hk"/>
      <w:pPr>
        <w:pStyle w:val="dingding-heading1"/>
        <w:spacing w:line="206.76923076923075"/>
      </w:pPr>
      <w:r>
        <w:rPr>
          <w:sz w:val="42"/>
          <w:b w:val="1"/>
        </w:rPr>
        <w:t xml:space="preserve">物理机服务器访问</w:t>
      </w:r>
      <w:r>
        <w:rPr>
          <w:sz w:val="42"/>
        </w:rPr>
        <w:t xml:space="preserve">百融大模型API网关（仅预发）</w:t>
      </w:r>
      <w:bookmarkEnd w:id="mhk7po9psphjdykt6hk"/>
    </w:p>
    <w:p>
      <w:pPr>
        <w:numPr>
          <w:ilvl w:val="0"/>
          <w:numId w:val="3"/>
        </w:numPr>
      </w:pPr>
      <w:r>
        <w:t xml:space="preserve">使用cas账号登录</w:t>
      </w:r>
      <w:hyperlink r:id="rId6">
        <w:r>
          <w:rPr>
            <w:rStyle w:val="hyperlink"/>
          </w:rPr>
          <w:t xml:space="preserve">ITSM系统</w:t>
        </w:r>
      </w:hyperlink>
      <w:r/>
    </w:p>
    <w:p>
      <w:pPr>
        <w:numPr>
          <w:ilvl w:val="0"/>
          <w:numId w:val="3"/>
        </w:numPr>
      </w:pPr>
      <w:r>
        <w:t xml:space="preserve">选择《提交工单》-《</w:t>
      </w:r>
      <w:r>
        <w:rPr>
          <w:color w:val="262626"/>
        </w:rPr>
        <w:t xml:space="preserve">网络安全策略申请单(私有云)</w:t>
      </w:r>
      <w:r>
        <w:t xml:space="preserve">》</w:t>
      </w:r>
    </w:p>
    <w:p>
      <w:pPr>
        <w:numPr>
          <w:ilvl w:val="0"/>
          <w:numId w:val="3"/>
        </w:numPr>
      </w:pPr>
      <w:r>
        <w:t xml:space="preserve">填入如下关键信息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7372"/>
        <w:gridCol w:w="7372"/>
      </w:tblGrid>
      <w:tr>
        <w:trPr>
          <w:trHeight w:val="600"/>
        </w:trPr>
        <w:tc>
          <w:tcPr>
            <w:tcW w:w="7372" w:type="dxa"/>
          </w:tcPr>
          <w:p>
            <w:pPr/>
            <w:r>
              <w:t xml:space="preserve">项目</w:t>
            </w:r>
          </w:p>
        </w:tc>
        <w:tc>
          <w:tcPr>
            <w:tcW w:w="7372" w:type="dxa"/>
          </w:tcPr>
          <w:p>
            <w:pPr/>
            <w:r>
              <w:t xml:space="preserve">填写内容</w:t>
            </w:r>
          </w:p>
        </w:tc>
      </w:tr>
      <w:tr>
        <w:trPr>
          <w:trHeight w:val="600"/>
        </w:trPr>
        <w:tc>
          <w:tcPr>
            <w:tcW w:w="7372" w:type="dxa"/>
            <w:vAlign w:val="center"/>
          </w:tcPr>
          <w:p>
            <w:pPr/>
            <w:r>
              <w:t xml:space="preserve">是否跨主备机房</w:t>
            </w:r>
          </w:p>
        </w:tc>
        <w:tc>
          <w:tcPr>
            <w:tcW w:w="7372" w:type="dxa"/>
            <w:vAlign w:val="center"/>
          </w:tcPr>
          <w:p>
            <w:pPr/>
            <w:r>
              <w:t xml:space="preserve">否</w:t>
            </w:r>
          </w:p>
        </w:tc>
      </w:tr>
      <w:tr>
        <w:trPr>
          <w:trHeight w:val="0"/>
        </w:trPr>
        <w:tc>
          <w:tcPr>
            <w:tcW w:w="7372" w:type="dxa"/>
            <w:vAlign w:val="center"/>
          </w:tcPr>
          <w:p>
            <w:pPr/>
            <w:r>
              <w:t xml:space="preserve">源ip地址</w:t>
            </w:r>
          </w:p>
        </w:tc>
        <w:tc>
          <w:tcPr>
            <w:tcW w:w="7372" w:type="dxa"/>
            <w:vAlign w:val="center"/>
          </w:tcPr>
          <w:p>
            <w:pPr/>
            <w:r>
              <w:t xml:space="preserve">你的物理机服务器ip</w:t>
            </w:r>
          </w:p>
        </w:tc>
      </w:tr>
      <w:tr>
        <w:trPr>
          <w:trHeight w:val="585"/>
        </w:trPr>
        <w:tc>
          <w:tcPr>
            <w:tcW w:w="7372" w:type="dxa"/>
          </w:tcPr>
          <w:p>
            <w:pPr/>
            <w:r>
              <w:t xml:space="preserve">目的ip地址、端口</w:t>
            </w:r>
          </w:p>
        </w:tc>
        <w:tc>
          <w:tcPr>
            <w:tcW w:w="7372" w:type="dxa"/>
          </w:tcPr>
          <w:p>
            <w:pPr/>
            <w:r>
              <w:rPr>
                <w:b w:val="1"/>
              </w:rPr>
              <w:t xml:space="preserve">10.150.109.1:80</w:t>
            </w:r>
          </w:p>
        </w:tc>
      </w:tr>
      <w:tr>
        <w:trPr>
          <w:trHeight w:val="0"/>
        </w:trPr>
        <w:tc>
          <w:tcPr>
            <w:tcW w:w="7372" w:type="dxa"/>
            <w:vAlign w:val="center"/>
          </w:tcPr>
          <w:p>
            <w:pPr/>
            <w:r>
              <w:t xml:space="preserve">申请理由</w:t>
            </w:r>
          </w:p>
        </w:tc>
        <w:tc>
          <w:tcPr>
            <w:tcW w:w="7372" w:type="dxa"/>
            <w:vAlign w:val="center"/>
          </w:tcPr>
          <w:p>
            <w:pPr/>
            <w:r>
              <w:t xml:space="preserve">申请开通开发服务器访问预发模型API网关权限，用于开发调试模型应用</w:t>
            </w:r>
          </w:p>
        </w:tc>
      </w:tr>
    </w:tbl>
    <w:p>
      <w:pPr>
        <w:jc w:val="center"/>
      </w:pPr>
      <w:r/>
    </w:p>
    <w:p>
      <w:pPr/>
      <w:r/>
      <w:r>
        <w:drawing>
          <wp:inline distT="0" distB="0" distL="0" distR="0">
            <wp:extent cx="7124700" cy="3881036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388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hk80z3ckt49n3ngrah" w:name="mhk80z3ckt49n3ngrah"/>
      <w:pPr>
        <w:pStyle w:val="dingding-heading2"/>
        <w:spacing w:line="206.76923076923075"/>
      </w:pPr>
      <w:r>
        <w:rPr>
          <w:sz w:val="36"/>
          <w:b w:val="1"/>
        </w:rPr>
        <w:t xml:space="preserve">测试访问</w:t>
      </w:r>
      <w:bookmarkEnd w:id="mhk80z3ckt49n3ngrah"/>
    </w:p>
    <w:p>
      <w:pPr/>
      <w:r>
        <w:t xml:space="preserve">登录开发服务器终端，执行网络测试脚本</w:t>
      </w:r>
    </w:p>
    <w:p>
      <w:pPr>
        <w:pStyle w:val="dingding_code"/>
        <w:shd w:val="clear" w:color="auto" w:fill="D0CECE"/>
      </w:pPr>
      <w:r>
        <w:t xml:space="preserve">kai.liu@192.168.160.55$ telnet 10.150.109.1 80</w:t>
      </w:r>
    </w:p>
    <w:p>
      <w:pPr/>
      <w:r/>
    </w:p>
    <w:p>
      <w:pPr/>
      <w:r/>
    </w:p>
    <w:p>
      <w:bookmarkStart w:id="mhlo83ctl9tw46rinv" w:name="mhlo83ctl9tw46rinv"/>
      <w:pPr>
        <w:pStyle w:val="dingding-heading1"/>
        <w:spacing w:line="206.76923076923075"/>
      </w:pPr>
      <w:r>
        <w:rPr>
          <w:sz w:val="42"/>
          <w:b w:val="1"/>
        </w:rPr>
        <w:t xml:space="preserve">K8S pod访问</w:t>
      </w:r>
      <w:r>
        <w:rPr>
          <w:sz w:val="42"/>
        </w:rPr>
        <w:t xml:space="preserve">百融大模型API网关（预发、生产）</w:t>
      </w:r>
      <w:bookmarkEnd w:id="mhlo83ctl9tw46rinv"/>
    </w:p>
    <w:p>
      <w:pPr>
        <w:numPr>
          <w:ilvl w:val="0"/>
          <w:numId w:val="4"/>
        </w:numPr>
      </w:pPr>
      <w:r>
        <w:t xml:space="preserve">使用cas账号登录</w:t>
      </w:r>
      <w:hyperlink r:id="rId8">
        <w:r>
          <w:rPr>
            <w:rStyle w:val="hyperlink"/>
          </w:rPr>
          <w:t xml:space="preserve">ITSM系统</w:t>
        </w:r>
      </w:hyperlink>
      <w:r/>
    </w:p>
    <w:p>
      <w:pPr>
        <w:numPr>
          <w:ilvl w:val="0"/>
          <w:numId w:val="4"/>
        </w:numPr>
      </w:pPr>
      <w:r>
        <w:t xml:space="preserve">选择《提交工单》-《</w:t>
      </w:r>
      <w:r>
        <w:rPr>
          <w:color w:val="262626"/>
        </w:rPr>
        <w:t xml:space="preserve">网络安全策略申请单(私有云)</w:t>
      </w:r>
      <w:r>
        <w:t xml:space="preserve">》</w:t>
      </w:r>
    </w:p>
    <w:p>
      <w:pPr>
        <w:numPr>
          <w:ilvl w:val="0"/>
          <w:numId w:val="4"/>
        </w:numPr>
      </w:pPr>
      <w:r>
        <w:t xml:space="preserve">填入如下关键信息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7382"/>
        <w:gridCol w:w="7362"/>
      </w:tblGrid>
      <w:tr>
        <w:trPr>
          <w:trHeight w:val="0"/>
        </w:trPr>
        <w:tc>
          <w:tcPr>
            <w:tcW w:w="7382" w:type="dxa"/>
            <w:vAlign w:val="center"/>
          </w:tcPr>
          <w:p>
            <w:pPr/>
            <w:r>
              <w:t xml:space="preserve">项目</w:t>
            </w:r>
          </w:p>
        </w:tc>
        <w:tc>
          <w:tcPr>
            <w:tcW w:w="7362" w:type="dxa"/>
            <w:vAlign w:val="center"/>
          </w:tcPr>
          <w:p>
            <w:pPr/>
            <w:r>
              <w:t xml:space="preserve">填写内容</w:t>
            </w:r>
          </w:p>
        </w:tc>
      </w:tr>
      <w:tr>
        <w:trPr>
          <w:trHeight w:val="600"/>
        </w:trPr>
        <w:tc>
          <w:tcPr>
            <w:tcW w:w="7382" w:type="dxa"/>
            <w:vAlign w:val="center"/>
          </w:tcPr>
          <w:p>
            <w:pPr/>
            <w:r>
              <w:t xml:space="preserve">是否跨主备机房</w:t>
            </w:r>
          </w:p>
        </w:tc>
        <w:tc>
          <w:tcPr>
            <w:tcW w:w="7362" w:type="dxa"/>
            <w:vAlign w:val="center"/>
          </w:tcPr>
          <w:p>
            <w:pPr/>
            <w:r>
              <w:t xml:space="preserve">否</w:t>
            </w:r>
          </w:p>
        </w:tc>
      </w:tr>
      <w:tr>
        <w:trPr>
          <w:trHeight w:val="0"/>
        </w:trPr>
        <w:tc>
          <w:tcPr>
            <w:tcW w:w="7382" w:type="dxa"/>
            <w:vAlign w:val="center"/>
          </w:tcPr>
          <w:p>
            <w:pPr/>
            <w:r>
              <w:t xml:space="preserve">源ip地址</w:t>
            </w:r>
          </w:p>
        </w:tc>
        <w:tc>
          <w:tcPr>
            <w:tcW w:w="7362" w:type="dxa"/>
            <w:vAlign w:val="center"/>
          </w:tcPr>
          <w:p>
            <w:pPr/>
            <w:r>
              <w:t xml:space="preserve">你的pod所在的物理机服务器ip</w:t>
            </w:r>
          </w:p>
        </w:tc>
      </w:tr>
      <w:tr>
        <w:trPr>
          <w:trHeight w:val="585"/>
        </w:trPr>
        <w:tc>
          <w:tcPr>
            <w:tcW w:w="7382" w:type="dxa"/>
            <w:vAlign w:val="center"/>
          </w:tcPr>
          <w:p>
            <w:pPr/>
            <w:r>
              <w:t xml:space="preserve">目的ip地址、端口（预发）</w:t>
            </w:r>
          </w:p>
        </w:tc>
        <w:tc>
          <w:tcPr>
            <w:tcW w:w="7362" w:type="dxa"/>
            <w:vAlign w:val="center"/>
          </w:tcPr>
          <w:p>
            <w:pPr/>
            <w:r>
              <w:rPr>
                <w:b w:val="1"/>
              </w:rPr>
              <w:t xml:space="preserve">10.150.109.1:80</w:t>
            </w:r>
          </w:p>
        </w:tc>
      </w:tr>
      <w:tr>
        <w:trPr>
          <w:trHeight w:val="0"/>
        </w:trPr>
        <w:tc>
          <w:tcPr>
            <w:tcW w:w="7382" w:type="dxa"/>
          </w:tcPr>
          <w:p>
            <w:pPr/>
            <w:r>
              <w:t xml:space="preserve">目的ip地址、端口（生产）</w:t>
            </w:r>
          </w:p>
        </w:tc>
        <w:tc>
          <w:tcPr>
            <w:tcW w:w="7362" w:type="dxa"/>
          </w:tcPr>
          <w:p>
            <w:pPr/>
            <w:r>
              <w:rPr>
                <w:b w:val="1"/>
              </w:rPr>
              <w:t xml:space="preserve">10.150.100.100:80</w:t>
            </w:r>
          </w:p>
        </w:tc>
      </w:tr>
      <w:tr>
        <w:trPr>
          <w:trHeight w:val="0"/>
        </w:trPr>
        <w:tc>
          <w:tcPr>
            <w:tcW w:w="7382" w:type="dxa"/>
            <w:vAlign w:val="center"/>
          </w:tcPr>
          <w:p>
            <w:pPr/>
            <w:r>
              <w:t xml:space="preserve">申请理由</w:t>
            </w:r>
          </w:p>
        </w:tc>
        <w:tc>
          <w:tcPr>
            <w:tcW w:w="7362" w:type="dxa"/>
            <w:vAlign w:val="center"/>
          </w:tcPr>
          <w:p>
            <w:pPr/>
            <w:r>
              <w:t xml:space="preserve">申请开通k8s预发服务器访问预发（or 生产）模型网关权限，用于预发（or 生产）环境模型调用</w:t>
            </w:r>
          </w:p>
        </w:tc>
      </w:tr>
    </w:tbl>
    <w:p>
      <w:pPr/>
      <w:r/>
    </w:p>
    <w:p>
      <w:pPr>
        <w:numPr>
          <w:ilvl w:val="0"/>
          <w:numId w:val="4"/>
        </w:numPr>
      </w:pPr>
      <w:r>
        <w:rPr>
          <w:strike w:val="1"/>
        </w:rPr>
        <w:t xml:space="preserve">新模型网关无需新增hosts解析规则</w:t>
      </w:r>
    </w:p>
    <w:p>
      <w:pPr/>
      <w:r/>
    </w:p>
    <w:p>
      <w:pPr/>
      <w:r>
        <w:t xml:space="preserve">一句话总结：</w:t>
      </w:r>
    </w:p>
    <w:p>
      <w:pPr/>
      <w:r>
        <w:rPr>
          <w:b w:val="1"/>
        </w:rPr>
        <w:t xml:space="preserve">预发环境只要开通好访问10.150.109.1:80策略，就可以通过 api-cybotforge-pre.brapp.com 这个域名直接访问到预发环境模型</w:t>
      </w:r>
    </w:p>
    <w:p>
      <w:pPr/>
      <w:r>
        <w:rPr>
          <w:b w:val="1"/>
        </w:rPr>
        <w:t xml:space="preserve">生产环境只要开通好访问10.150.100.100:80策略，就可以通过 api-cybotforge.brapp.com 这个域名直接访问到生产环境模型</w:t>
      </w:r>
    </w:p>
    <w:p>
      <w:pPr/>
      <w:r/>
    </w:p>
    <w:p>
      <w:bookmarkStart w:id="micl87ongv331ii3xgn" w:name="micl87ongv331ii3xgn"/>
      <w:pPr>
        <w:pStyle w:val="dingding-heading1"/>
        <w:spacing w:line="206.76923076923075"/>
      </w:pPr>
      <w:r>
        <w:rPr>
          <w:sz w:val="42"/>
          <w:b w:val="1"/>
        </w:rPr>
        <w:t xml:space="preserve">注意</w:t>
      </w:r>
      <w:bookmarkEnd w:id="micl87ongv331ii3xgn"/>
    </w:p>
    <w:p>
      <w:pPr/>
      <w:r>
        <w:rPr>
          <w:b w:val="1"/>
        </w:rPr>
        <w:t xml:space="preserve">生产环境大模型API网关不允许个人电脑sslvpn和开发服务器访问，仅限生产k8s访问</w:t>
      </w:r>
    </w:p>
    <w:p>
      <w:pPr/>
      <w:r/>
    </w:p>
    <w:p>
      <w:pPr/>
      <w:r/>
    </w:p>
    <w:p>
      <w:pPr>
        <w:numPr>
          <w:ilvl w:val="0"/>
          <w:numId w:val="5"/>
        </w:numPr>
      </w:pPr>
      <w:r>
        <w:t xml:space="preserve">生产环境网关，不支持非生产环境（比如个人sslvpn、开发机）的网络策略申请；</w:t>
      </w:r>
    </w:p>
    <w:p>
      <w:pPr>
        <w:numPr>
          <w:ilvl w:val="0"/>
          <w:numId w:val="5"/>
        </w:numPr>
      </w:pPr>
      <w:r>
        <w:t xml:space="preserve">生产环境一般指，通过公司内部sre平台，上线到公司运维的k8s集群里的生产环境；</w:t>
      </w:r>
    </w:p>
    <w:p>
      <w:pPr>
        <w:numPr>
          <w:ilvl w:val="0"/>
          <w:numId w:val="5"/>
        </w:numPr>
      </w:pPr>
      <w:r>
        <w:t xml:space="preserve">预发、生产网关，已做公司内部域名解析，在公司k8s集群内，找运维同学配置一下即可解析，无需绑hosts</w:t>
      </w:r>
    </w:p>
    <w:p>
      <w:pPr>
        <w:numPr>
          <w:ilvl w:val="0"/>
          <w:numId w:val="5"/>
        </w:numPr>
      </w:pPr>
      <w:r>
        <w:t xml:space="preserve">目前只开放内网，无使用https的必要，所以是http</w:t>
      </w:r>
    </w:p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5">
    <w:abstractNumId w:val="4"/>
  </w:num>
  <w:num w:numId="2">
    <w:abstractNumId w:val="1"/>
  </w:num>
  <w:num w:numId="1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itsm.100credit.cn/web/index.html#/Support/index" TargetMode="External" />
  <Relationship Id="rId5" Type="http://schemas.openxmlformats.org/officeDocument/2006/relationships/image" Target="media/image1.png" />
  <Relationship Id="rId6" Type="http://schemas.openxmlformats.org/officeDocument/2006/relationships/hyperlink" Target="https://itsm.100credit.cn/web/index.html#/Support/index" TargetMode="External" />
  <Relationship Id="rId7" Type="http://schemas.openxmlformats.org/officeDocument/2006/relationships/image" Target="media/image2.png" />
  <Relationship Id="rId8" Type="http://schemas.openxmlformats.org/officeDocument/2006/relationships/hyperlink" Target="https://itsm.100credit.cn/web/index.html#/Support/index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