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1、查询cas所有项目</w:t>
      </w:r>
    </w:p>
    <w:p>
      <w:pPr>
        <w:spacing w:before="100" w:after="400"/>
        <w:jc w:val="center"/>
      </w:pPr>
      <w:r>
        <w:rPr>
          <w:sz w:val="40"/>
          <w:rFonts w:ascii="宋体" w:hAnsi="宋体" w:cs="宋体" w:eastAsia="宋体"/>
          <w:b w:val="1"/>
        </w:rPr>
        <w:t xml:space="preserve">1、查询cas所有项目</w:t>
      </w:r>
    </w:p>
    <w:p>
      <w:pPr>
        <w:spacing w:after="300"/>
        <w:jc w:val="center"/>
      </w:pPr>
      <w:r>
        <w:rPr>
          <w:sz w:val="20"/>
          <w:color w:val="CCCCCC"/>
        </w:rPr>
        <w:t xml:space="preserve">━━━━━━━━━━━━━━━━━━━━━━━━━━━━━━━━━━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1、查询cas所有项目</w:t>
      </w:r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一、接口基本信息 二、请求参数 三、响应状态 四、响应参数 1. 整体响应参数 2. CasProjectVo 数据结构 五、响应示例</w:t>
      </w:r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一、接口基本信息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4867"/>
        <w:gridCol w:w="4867"/>
      </w:tblGrid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项目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内容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接口名称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查询所有项目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接口路径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GET /api/open/cas/projectList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请求数据类型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application/x-www-form-urlencoded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响应数据类型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[ "/" ]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操作功能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支持复制接口、复制文档、复制地址操作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预发环境域名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https://cas-pre.100credit.cn/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预发环境hosts配置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10.100.123.74 cas-pre.100credit.cn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生产环境域名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https://cas.100credit.cn/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生产环境hosts配置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192.168.162.111 cas.100credit.cn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二、请求参数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1622"/>
        <w:gridCol w:w="1622"/>
        <w:gridCol w:w="1622"/>
        <w:gridCol w:w="1622"/>
        <w:gridCol w:w="1622"/>
        <w:gridCol w:w="1622"/>
      </w:tblGrid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请求类型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是否必须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数据类型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</w:tr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token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token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query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true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-具体参数请咨询开发人员郭广旭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三、响应状态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3245"/>
        <w:gridCol w:w="3245"/>
        <w:gridCol w:w="3245"/>
      </w:tblGrid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状态码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说明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200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OK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结果 «List«CasProjectVo»»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401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Unauthorized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403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Forbidden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404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Not Found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四、响应参数</w:t>
      </w:r>
    </w:p>
    <w:p>
      <w:pPr>
        <w:spacing w:before="200" w:after="100"/>
      </w:pPr>
      <w:r>
        <w:rPr>
          <w:sz w:val="28"/>
          <w:rFonts w:ascii="宋体" w:hAnsi="宋体" w:cs="宋体" w:eastAsia="宋体"/>
          <w:color w:val="3D6F9D"/>
          <w:b w:val="1"/>
        </w:rPr>
        <w:t xml:space="preserve">1. 整体响应参数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2433"/>
        <w:gridCol w:w="2433"/>
        <w:gridCol w:w="2433"/>
        <w:gridCol w:w="2433"/>
      </w:tblGrid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类型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错误码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message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消息提示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result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数据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array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CasProjectVo</w:t>
            </w:r>
          </w:p>
        </w:tc>
      </w:tr>
    </w:tbl>
    <w:p>
      <w:pPr>
        <w:spacing w:after="200"/>
      </w:pPr>
      <w:r/>
    </w:p>
    <w:p>
      <w:pPr>
        <w:spacing w:before="200" w:after="100"/>
      </w:pPr>
      <w:r>
        <w:rPr>
          <w:sz w:val="28"/>
          <w:rFonts w:ascii="宋体" w:hAnsi="宋体" w:cs="宋体" w:eastAsia="宋体"/>
          <w:color w:val="3D6F9D"/>
          <w:b w:val="1"/>
        </w:rPr>
        <w:t xml:space="preserve">2. CasProjectVo 数据结构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3245"/>
        <w:gridCol w:w="3245"/>
        <w:gridCol w:w="3245"/>
      </w:tblGrid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类型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code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项目编码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id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 id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name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项目名称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remark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项目备注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五、响应示例</w:t>
      </w:r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{ "code": 0, "message": "", "result": [ { "code": "", "id": 0, "name": "", "remark": "" } ] }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1614773"/>
            <wp:effectExtent b="0" l="0" r="0" t="0"/>
            <wp:docPr id="1" name="Drawing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486400" cy="161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