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11、cas系统--应用入口前后端对接文档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11、cas系统--应用入口前后端对接文档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11、cas系统--应用入口前后端对接文档</w:t>
      </w:r>
    </w:p>
    <w:p>
      <w:pPr/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一、cas系统后台配置 1、SRE配置域名和ip： 2、新建项目并配置项目信息 3、配置cas后台管理权限 4、进入cas后台权限-配置角色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1、SRE配置域名和ip：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2、新建项目并配置项目信息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3、配置cas后台管理权限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4、进入cas后台权限-配置角色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二、后台系统对接cas登录 1、项目认证登录URL配置： 2、前端开发根据项目认证登录URL，来编写登录页面，对接后端登录和登出接口 3、后端开发登录接口，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1、项目认证登录URL配置：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2、前端开发根据项目认证登录URL，来编写登录页面，对接后端登录和登出接口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3、后端开发登录接口，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三、用户申请应用入口</w:t>
      </w:r>
    </w:p>
    <w:p>
      <w:pPr>
        <w:spacing w:after="100"/>
      </w:pPr>
      <w:r/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一、cas系统后台配置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找cas系统负责人郭广旭配置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1、SRE配置域名和ip：</w:t>
      </w:r>
    </w:p>
    <w:p>
      <w:pPr>
        <w:spacing w:after="100"/>
      </w:pPr>
      <w:r>
        <w:rPr>
          <w:sz w:val="22"/>
          <w:rFonts w:ascii="宋体" w:hAnsi="宋体" w:cs="宋体" w:eastAsia="宋体"/>
          <w:b w:val="1"/>
        </w:rPr>
        <w:t xml:space="preserve">10.100.123.74 cas-pre.100credit.cn</w:t>
      </w:r>
    </w:p>
    <w:p>
      <w:pPr>
        <w:spacing w:after="100"/>
      </w:pPr>
      <w:r>
        <w:rPr>
          <w:sz w:val="22"/>
          <w:rFonts w:ascii="宋体" w:hAnsi="宋体" w:cs="宋体" w:eastAsia="宋体"/>
          <w:b w:val="1"/>
        </w:rPr>
        <w:t xml:space="preserve">192.168.162.111 cas.100credit.cn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2、新建项目并配置项目信息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2613374"/>
            <wp:effectExtent b="0" l="0" r="0" t="0"/>
            <wp:docPr id="1" name="Drawing 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486400" cy="26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2623566"/>
            <wp:effectExtent b="0" l="0" r="0" t="0"/>
            <wp:docPr id="2" name="Drawing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486400" cy="26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3、配置cas后台管理权限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2422303"/>
            <wp:effectExtent b="0" l="0" r="0" t="0"/>
            <wp:docPr id="3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5486400" cy="24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4、进入cas后台权限-配置角色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1942719"/>
            <wp:effectExtent b="0" l="0" r="0" t="0"/>
            <wp:docPr id="4" name="Drawing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486400" cy="194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二、后台系统对接cas登录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1、项目认证登录URL配置：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1954054"/>
            <wp:effectExtent b="0" l="0" r="0" t="0"/>
            <wp:docPr id="5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5486400" cy="19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2、前端开发根据项目认证登录URL，来编写登录页面，对接后端登录和登出接口</w:t>
      </w:r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  <w:b w:val="0"/>
        </w:rPr>
        <w:t xml:space="preserve">例如：</w:t>
      </w:r>
      <w:hyperlink r:id="rId9">
        <w:r>
          <w:rPr>
            <w:sz w:val="22"/>
            <w:rFonts w:ascii="宋体" w:hAnsi="宋体" w:cs="宋体" w:eastAsia="宋体"/>
            <w:b w:val="0"/>
            <w:rStyle w:val="hyperlink"/>
          </w:rPr>
          <w:t xml:space="preserve">https://rst-pre.100credit.cn/ob/login?ticket=d22a6088fd2e4ce4b136717c5cd1c2fa</w:t>
        </w:r>
      </w:hyperlink>
      <w:r>
        <w:rPr>
          <w:sz w:val="22"/>
          <w:rFonts w:ascii="宋体" w:hAnsi="宋体" w:cs="宋体" w:eastAsia="宋体"/>
          <w:b w:val="0"/>
        </w:rPr>
        <w:t xml:space="preserve">，</w:t>
      </w:r>
    </w:p>
    <w:p>
      <w:pPr>
        <w:ind w:left="499.95"/>
        <w:spacing w:after="80"/>
      </w:pPr>
      <w:r>
        <w:rPr>
          <w:sz w:val="22"/>
          <w:rFonts w:ascii="宋体" w:hAnsi="宋体" w:cs="宋体" w:eastAsia="宋体"/>
          <w:b w:val="0"/>
        </w:rPr>
        <w:t xml:space="preserve">ticket的值是cas系统自动传的</w:t>
      </w:r>
    </w:p>
    <w:p>
      <w:pPr>
        <w:ind w:left="499.95"/>
        <w:spacing w:after="80"/>
      </w:pPr>
      <w:r>
        <w:rPr>
          <w:sz w:val="22"/>
          <w:rFonts w:ascii="宋体" w:hAnsi="宋体" w:cs="宋体" w:eastAsia="宋体"/>
          <w:b w:val="0"/>
        </w:rPr>
      </w:r>
      <w:hyperlink r:id="rId10">
        <w:r>
          <w:rPr>
            <w:sz w:val="22"/>
            <w:rFonts w:ascii="宋体" w:hAnsi="宋体" w:cs="宋体" w:eastAsia="宋体"/>
            <w:b w:val="0"/>
            <w:rStyle w:val="hyperlink"/>
          </w:rPr>
          <w:t xml:space="preserve">https://rst-pre.100credit.cn/ob/login</w:t>
        </w:r>
      </w:hyperlink>
      <w:r>
        <w:rPr>
          <w:sz w:val="22"/>
          <w:rFonts w:ascii="宋体" w:hAnsi="宋体" w:cs="宋体" w:eastAsia="宋体"/>
          <w:b w:val="0"/>
        </w:rPr>
        <w:t xml:space="preserve">是项目认证登录URL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3、后端开发登录接口，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通过前端传参的ticket查询用户信息，对接cas系统登录,对接git地址和文档：http://git.100credit.cn/br-tc/bootkit/cas-spring-boot-starter</w:t>
      </w:r>
    </w:p>
    <w:p>
      <w:pPr>
        <w:spacing w:after="100"/>
      </w:pPr>
      <w:r/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三、用户申请应用入口</w:t>
      </w:r>
    </w:p>
    <w:p>
      <w:pPr>
        <w:spacing w:before="100" w:after="100"/>
        <w:jc w:val="center"/>
      </w:pPr>
      <w:r/>
      <w:r>
        <w:drawing>
          <wp:inline distT="0" distB="0" distL="0" distR="0">
            <wp:extent cx="5486400" cy="2473166"/>
            <wp:effectExtent b="0" l="0" r="0" t="0"/>
            <wp:docPr id="6" name="Drawing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5486400" cy="24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hyperlink" Target="https://rst-pre.100credit.cn/ob/login?ticket=d22a6088fd2e4ce4b136717c5cd1c2fa" TargetMode="External" />
  <Relationship Id="rId10" Type="http://schemas.openxmlformats.org/officeDocument/2006/relationships/hyperlink" Target="https://rst-pre.100credit.cn/ob/login?ticket=d22a6088fd2e4ce4b136717c5cd1c2fa" TargetMode="External" />
  <Relationship Id="rId11" Type="http://schemas.openxmlformats.org/officeDocument/2006/relationships/image" Target="media/image6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