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GCC 新手完全手册 v5.340</w:t>
      </w:r>
    </w:p>
    <w:p>
      <w:r>
        <w:t>正式版本模型：5个免费基础层 + 3个付费核心层。</w:t>
      </w:r>
    </w:p>
    <w:p>
      <w:r>
        <w:t>免费基础层 = UI + L0 + L1 + L2 + L3</w:t>
      </w:r>
    </w:p>
    <w:p>
      <w:r>
        <w:t>付费核心层 = L4 + L5 + DA</w:t>
      </w:r>
    </w:p>
    <w:p>
      <w:r>
        <w:t>paid/l0-l3 为商业增强包，不是额外顶层，不计入主要分层。</w:t>
      </w:r>
    </w:p>
    <w:p>
      <w:pPr>
        <w:pStyle w:val="Heading1"/>
      </w:pPr>
      <w:r>
        <w:t>一、免费层命令</w:t>
      </w:r>
    </w:p>
    <w:p>
      <w:pPr>
        <w:ind w:left="360"/>
      </w:pPr>
      <w:r>
        <w:rPr>
          <w:rFonts w:ascii="Courier New" w:hAnsi="Courier New"/>
          <w:sz w:val="18"/>
        </w:rPr>
        <w:t>UI:  gcc-evo version | gcc-evo health</w:t>
      </w:r>
    </w:p>
    <w:p>
      <w:pPr>
        <w:ind w:left="360"/>
      </w:pPr>
      <w:r>
        <w:rPr>
          <w:rFonts w:ascii="Courier New" w:hAnsi="Courier New"/>
          <w:sz w:val="18"/>
        </w:rPr>
        <w:t>L0:  gcc-evo setup KEY-001 | gcc-evo l0 scaffold | gcc-evo l0 check</w:t>
      </w:r>
    </w:p>
    <w:p>
      <w:pPr>
        <w:ind w:left="360"/>
      </w:pPr>
      <w:r>
        <w:rPr>
          <w:rFonts w:ascii="Courier New" w:hAnsi="Courier New"/>
          <w:sz w:val="18"/>
        </w:rPr>
        <w:t xml:space="preserve">     gcc-evo l0 set-prereq &lt;name&gt; --status pass --evidence "说明"</w:t>
      </w:r>
    </w:p>
    <w:p>
      <w:pPr>
        <w:ind w:left="360"/>
      </w:pPr>
      <w:r>
        <w:rPr>
          <w:rFonts w:ascii="Courier New" w:hAnsi="Courier New"/>
          <w:sz w:val="18"/>
        </w:rPr>
        <w:t>L1:  gcc-evo memory compact | gcc-evo memory export</w:t>
      </w:r>
    </w:p>
    <w:p>
      <w:r>
        <w:t>L2：无独立 CLI，检索功能作为免费集成模块提供。</w:t>
      </w:r>
    </w:p>
    <w:p>
      <w:r>
        <w:t>L3：无独立 CLI，提炼功能通过免费运行时模块和任务输出开放。</w:t>
      </w:r>
    </w:p>
    <w:p>
      <w:pPr>
        <w:pStyle w:val="Heading2"/>
      </w:pPr>
      <w:r>
        <w:t>免费层标准工作流</w:t>
      </w:r>
    </w:p>
    <w:p>
      <w:pPr>
        <w:ind w:left="360"/>
      </w:pPr>
      <w:r>
        <w:rPr>
          <w:rFonts w:ascii="Courier New" w:hAnsi="Courier New"/>
          <w:sz w:val="18"/>
        </w:rPr>
        <w:t>gcc-evo init</w:t>
      </w:r>
    </w:p>
    <w:p>
      <w:pPr>
        <w:ind w:left="360"/>
      </w:pPr>
      <w:r>
        <w:rPr>
          <w:rFonts w:ascii="Courier New" w:hAnsi="Courier New"/>
          <w:sz w:val="18"/>
        </w:rPr>
        <w:t>-&gt; gcc-evo setup KEY-001</w:t>
      </w:r>
    </w:p>
    <w:p>
      <w:pPr>
        <w:ind w:left="360"/>
      </w:pPr>
      <w:r>
        <w:rPr>
          <w:rFonts w:ascii="Courier New" w:hAnsi="Courier New"/>
          <w:sz w:val="18"/>
        </w:rPr>
        <w:t>-&gt; gcc-evo l0 scaffold</w:t>
      </w:r>
    </w:p>
    <w:p>
      <w:pPr>
        <w:ind w:left="360"/>
      </w:pPr>
      <w:r>
        <w:rPr>
          <w:rFonts w:ascii="Courier New" w:hAnsi="Courier New"/>
          <w:sz w:val="18"/>
        </w:rPr>
        <w:t>-&gt; gcc-evo l0 check</w:t>
      </w:r>
    </w:p>
    <w:p>
      <w:pPr>
        <w:ind w:left="360"/>
      </w:pPr>
      <w:r>
        <w:rPr>
          <w:rFonts w:ascii="Courier New" w:hAnsi="Courier New"/>
          <w:sz w:val="18"/>
        </w:rPr>
        <w:t>-&gt; gcc-evo pipe task "改善检索质量" -k KEY-001 -m retrieval -p P1</w:t>
      </w:r>
    </w:p>
    <w:p>
      <w:pPr>
        <w:ind w:left="360"/>
      </w:pPr>
      <w:r>
        <w:rPr>
          <w:rFonts w:ascii="Courier New" w:hAnsi="Courier New"/>
          <w:sz w:val="18"/>
        </w:rPr>
        <w:t>-&gt; gcc-evo pipe list</w:t>
      </w:r>
    </w:p>
    <w:p>
      <w:pPr>
        <w:ind w:left="360"/>
      </w:pPr>
      <w:r>
        <w:rPr>
          <w:rFonts w:ascii="Courier New" w:hAnsi="Courier New"/>
          <w:sz w:val="18"/>
        </w:rPr>
        <w:t>-&gt; gcc-evo pipe status GCC-0001</w:t>
      </w:r>
    </w:p>
    <w:p>
      <w:pPr>
        <w:ind w:left="360"/>
      </w:pPr>
      <w:r>
        <w:rPr>
          <w:rFonts w:ascii="Courier New" w:hAnsi="Courier New"/>
          <w:sz w:val="18"/>
        </w:rPr>
        <w:t>-&gt; gcc-evo memory compact</w:t>
      </w:r>
    </w:p>
    <w:p>
      <w:pPr>
        <w:ind w:left="360"/>
      </w:pPr>
      <w:r>
        <w:rPr>
          <w:rFonts w:ascii="Courier New" w:hAnsi="Courier New"/>
          <w:sz w:val="18"/>
        </w:rPr>
        <w:t>-&gt; gcc-evo health</w:t>
      </w:r>
    </w:p>
    <w:p>
      <w:pPr>
        <w:pStyle w:val="Heading1"/>
      </w:pPr>
      <w:r>
        <w:t>二、付费核心命令</w:t>
      </w:r>
    </w:p>
    <w:p>
      <w:r>
        <w:t>L4：无独立公开 CLI，在付费决策进化引擎与 Skeptic 验收流程中激活。</w:t>
      </w:r>
    </w:p>
    <w:p>
      <w:pPr>
        <w:ind w:left="360"/>
      </w:pPr>
      <w:r>
        <w:rPr>
          <w:rFonts w:ascii="Courier New" w:hAnsi="Courier New"/>
          <w:sz w:val="18"/>
        </w:rPr>
        <w:t>L5: gcc-evo loop GCC-0001 --once</w:t>
      </w:r>
    </w:p>
    <w:p>
      <w:r>
        <w:t>DA：无独立公开 CLI，作为宪法式方向锚在企业部署中激活。</w:t>
      </w:r>
    </w:p>
    <w:p>
      <w:r>
        <w:t>付费核心目的：可量化决策验收、闭环编排、宪法式方向控制。</w:t>
      </w:r>
    </w:p>
    <w:p>
      <w:pPr>
        <w:pStyle w:val="Heading1"/>
      </w:pPr>
      <w:r>
        <w:t>三、IRS-001~008（GCC-0241）开源接口层</w:t>
      </w:r>
    </w:p>
    <w:p>
      <w:r>
        <w:t>接口类采用 Apache 2.0，私有引擎实现采用 BUSL 1.1。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规格编号</w:t>
            </w:r>
          </w:p>
        </w:tc>
        <w:tc>
          <w:tcPr>
            <w:tcW w:type="dxa" w:w="2880"/>
          </w:tcPr>
          <w:p>
            <w:r>
              <w:t>核心类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IRS-001</w:t>
            </w:r>
          </w:p>
        </w:tc>
        <w:tc>
          <w:tcPr>
            <w:tcW w:type="dxa" w:w="2880"/>
          </w:tcPr>
          <w:p>
            <w:r>
              <w:t>MemAction / PollutionGuard</w:t>
            </w:r>
          </w:p>
        </w:tc>
        <w:tc>
          <w:tcPr>
            <w:tcW w:type="dxa" w:w="2880"/>
          </w:tcPr>
          <w:p>
            <w:r>
              <w:t>内存写安全策略</w:t>
            </w:r>
          </w:p>
        </w:tc>
      </w:tr>
      <w:tr>
        <w:tc>
          <w:tcPr>
            <w:tcW w:type="dxa" w:w="2880"/>
          </w:tcPr>
          <w:p>
            <w:r>
              <w:t>IRS-002</w:t>
            </w:r>
          </w:p>
        </w:tc>
        <w:tc>
          <w:tcPr>
            <w:tcW w:type="dxa" w:w="2880"/>
          </w:tcPr>
          <w:p>
            <w:r>
              <w:t>RetrievalGate / SimpleThresholdGate</w:t>
            </w:r>
          </w:p>
        </w:tc>
        <w:tc>
          <w:tcPr>
            <w:tcW w:type="dxa" w:w="2880"/>
          </w:tcPr>
          <w:p>
            <w:r>
              <w:t>检索质量门控</w:t>
            </w:r>
          </w:p>
        </w:tc>
      </w:tr>
      <w:tr>
        <w:tc>
          <w:tcPr>
            <w:tcW w:type="dxa" w:w="2880"/>
          </w:tcPr>
          <w:p>
            <w:r>
              <w:t>IRS-003</w:t>
            </w:r>
          </w:p>
        </w:tc>
        <w:tc>
          <w:tcPr>
            <w:tcW w:type="dxa" w:w="2880"/>
          </w:tcPr>
          <w:p>
            <w:r>
              <w:t>DirectionAnchorValidator / DABlockedError</w:t>
            </w:r>
          </w:p>
        </w:tc>
        <w:tc>
          <w:tcPr>
            <w:tcW w:type="dxa" w:w="2880"/>
          </w:tcPr>
          <w:p>
            <w:r>
              <w:t>宪法式方向锚控制</w:t>
            </w:r>
          </w:p>
        </w:tc>
      </w:tr>
      <w:tr>
        <w:tc>
          <w:tcPr>
            <w:tcW w:type="dxa" w:w="2880"/>
          </w:tcPr>
          <w:p>
            <w:r>
              <w:t>IRS-004</w:t>
            </w:r>
          </w:p>
        </w:tc>
        <w:tc>
          <w:tcPr>
            <w:tcW w:type="dxa" w:w="2880"/>
          </w:tcPr>
          <w:p>
            <w:r>
              <w:t>DAViolationLog / DATransitionGuard</w:t>
            </w:r>
          </w:p>
        </w:tc>
        <w:tc>
          <w:tcPr>
            <w:tcW w:type="dxa" w:w="2880"/>
          </w:tcPr>
          <w:p>
            <w:r>
              <w:t>DA 审计 + 软锁</w:t>
            </w:r>
          </w:p>
        </w:tc>
      </w:tr>
      <w:tr>
        <w:tc>
          <w:tcPr>
            <w:tcW w:type="dxa" w:w="2880"/>
          </w:tcPr>
          <w:p>
            <w:r>
              <w:t>IRS-005</w:t>
            </w:r>
          </w:p>
        </w:tc>
        <w:tc>
          <w:tcPr>
            <w:tcW w:type="dxa" w:w="2880"/>
          </w:tcPr>
          <w:p>
            <w:r>
              <w:t>FaultIsolator / PhaseGuard / HeartbeatMonitor</w:t>
            </w:r>
          </w:p>
        </w:tc>
        <w:tc>
          <w:tcPr>
            <w:tcW w:type="dxa" w:w="2880"/>
          </w:tcPr>
          <w:p>
            <w:r>
              <w:t>容错与优雅降级</w:t>
            </w:r>
          </w:p>
        </w:tc>
      </w:tr>
      <w:tr>
        <w:tc>
          <w:tcPr>
            <w:tcW w:type="dxa" w:w="2880"/>
          </w:tcPr>
          <w:p>
            <w:r>
              <w:t>IRS-006</w:t>
            </w:r>
          </w:p>
        </w:tc>
        <w:tc>
          <w:tcPr>
            <w:tcW w:type="dxa" w:w="2880"/>
          </w:tcPr>
          <w:p>
            <w:r>
              <w:t>MonteCarloShapley / ShapleyLog</w:t>
            </w:r>
          </w:p>
        </w:tc>
        <w:tc>
          <w:tcPr>
            <w:tcW w:type="dxa" w:w="2880"/>
          </w:tcPr>
          <w:p>
            <w:r>
              <w:t>模块贡献 Shapley 归因</w:t>
            </w:r>
          </w:p>
        </w:tc>
      </w:tr>
      <w:tr>
        <w:tc>
          <w:tcPr>
            <w:tcW w:type="dxa" w:w="2880"/>
          </w:tcPr>
          <w:p>
            <w:r>
              <w:t>IRS-007</w:t>
            </w:r>
          </w:p>
        </w:tc>
        <w:tc>
          <w:tcPr>
            <w:tcW w:type="dxa" w:w="2880"/>
          </w:tcPr>
          <w:p>
            <w:r>
              <w:t>FleissKappaCalculator / DivergenceMonitor</w:t>
            </w:r>
          </w:p>
        </w:tc>
        <w:tc>
          <w:tcPr>
            <w:tcW w:type="dxa" w:w="2880"/>
          </w:tcPr>
          <w:p>
            <w:r>
              <w:t>多智能体分歧监控</w:t>
            </w:r>
          </w:p>
        </w:tc>
      </w:tr>
      <w:tr>
        <w:tc>
          <w:tcPr>
            <w:tcW w:type="dxa" w:w="2880"/>
          </w:tcPr>
          <w:p>
            <w:r>
              <w:t>IRS-008</w:t>
            </w:r>
          </w:p>
        </w:tc>
        <w:tc>
          <w:tcPr>
            <w:tcW w:type="dxa" w:w="2880"/>
          </w:tcPr>
          <w:p>
            <w:r>
              <w:t>TraceRecord / ReasoningTraceLog</w:t>
            </w:r>
          </w:p>
        </w:tc>
        <w:tc>
          <w:tcPr>
            <w:tcW w:type="dxa" w:w="2880"/>
          </w:tcPr>
          <w:p>
            <w:r>
              <w:t>推理过程审计追踪</w:t>
            </w:r>
          </w:p>
        </w:tc>
      </w:tr>
    </w:tbl>
    <w:p>
      <w:pPr>
        <w:pStyle w:val="Heading1"/>
      </w:pPr>
      <w:r>
        <w:t>四、定价层级</w:t>
      </w:r>
    </w:p>
    <w:p>
      <w:r>
        <w:rPr>
          <w:b/>
        </w:rPr>
        <w:t>Community（社区版）：</w:t>
      </w:r>
      <w:r>
        <w:t>UI + L0 + L1 + L2 + L3</w:t>
      </w:r>
    </w:p>
    <w:p>
      <w:r>
        <w:rPr>
          <w:b/>
        </w:rPr>
        <w:t>Evolve（进化版）：</w:t>
      </w:r>
      <w:r>
        <w:t>Community + paid/l0-l3（增强包）</w:t>
      </w:r>
    </w:p>
    <w:p>
      <w:r>
        <w:rPr>
          <w:b/>
        </w:rPr>
        <w:t>Pro（专业版）：</w:t>
      </w:r>
      <w:r>
        <w:t>Evolve + L4 + L5</w:t>
      </w:r>
    </w:p>
    <w:p>
      <w:r>
        <w:rPr>
          <w:b/>
        </w:rPr>
        <w:t>Enterprise（企业版）：</w:t>
      </w:r>
      <w:r>
        <w:t>Pro + DA + 企业部署</w:t>
      </w:r>
    </w:p>
    <w:p>
      <w:pPr>
        <w:pStyle w:val="Heading1"/>
      </w:pPr>
      <w:r>
        <w:t>五、稳定性规则</w:t>
      </w:r>
    </w:p>
    <w:p>
      <w:r>
        <w:t>免费命令必须独立运行，不依赖付费层。</w:t>
      </w:r>
    </w:p>
    <w:p>
      <w:r>
        <w:t>付费命令在不可用时必须以明确的升级指引报错，不得静默失败。</w:t>
      </w:r>
    </w:p>
    <w:p>
      <w:r>
        <w:t>所有面向发布的文档和安装包必须始终遵循"5免费 + 3付费"模型。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