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COURSERA HANDS-ON LEARNING PROJECT REPORT</w:t>
      </w:r>
    </w:p>
    <w:p>
      <w:pPr>
        <w:pStyle w:val="Subtitle"/>
        <w:rPr/>
      </w:pPr>
      <w:r>
        <w:rPr/>
        <w:t>SystemVerilog Tutorials: Hardware Design &amp; Verification Practice</w:t>
      </w:r>
    </w:p>
    <w:p>
      <w:pPr>
        <w:pStyle w:val="Title"/>
        <w:rPr/>
      </w:pPr>
      <w:r>
        <w:rPr/>
        <w:t>SCALABLE MULTI-OPERATION FPGA CALCULATOR IP</w:t>
      </w:r>
    </w:p>
    <w:p>
      <w:pPr>
        <w:pStyle w:val="Subtitle"/>
        <w:rPr/>
      </w:pPr>
      <w:r>
        <w:rPr/>
        <w:t>DESIGN SPECIFICATION &amp; VERIFICATION REPORT</w:t>
      </w:r>
    </w:p>
    <w:p>
      <w:pPr>
        <w:pStyle w:val="Heading2"/>
        <w:rPr/>
      </w:pPr>
      <w:bookmarkStart w:id="0" w:name="__RefHeading___Toc802_2539424505"/>
      <w:bookmarkEnd w:id="0"/>
      <w:r>
        <w:rPr/>
        <w:t>METADATA &amp; PROJECT SUMMARY</w:t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</w:r>
    </w:p>
    <w:tbl>
      <w:tblPr>
        <w:tblW w:w="5000" w:type="pct"/>
        <w:jc w:val="start"/>
        <w:tblInd w:w="5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479"/>
        <w:gridCol w:w="6889"/>
      </w:tblGrid>
      <w:tr>
        <w:trPr/>
        <w:tc>
          <w:tcPr>
            <w:tcW w:w="34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DEE6EF" w:val="clear"/>
          </w:tcPr>
          <w:p>
            <w:pPr>
              <w:pStyle w:val="ListBullet"/>
              <w:numPr>
                <w:ilvl w:val="0"/>
                <w:numId w:val="0"/>
              </w:numPr>
              <w:spacing w:before="0" w:after="140"/>
              <w:contextualSpacing/>
              <w:rPr/>
            </w:pPr>
            <w:r>
              <w:rPr>
                <w:b/>
              </w:rPr>
              <w:t>Author / Student:</w:t>
            </w:r>
          </w:p>
        </w:tc>
        <w:tc>
          <w:tcPr>
            <w:tcW w:w="68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EE6EF" w:val="clear"/>
          </w:tcPr>
          <w:p>
            <w:pPr>
              <w:pStyle w:val="ListBullet"/>
              <w:numPr>
                <w:ilvl w:val="0"/>
                <w:numId w:val="0"/>
              </w:numPr>
              <w:spacing w:before="0" w:after="140"/>
              <w:contextualSpacing/>
              <w:rPr/>
            </w:pPr>
            <w:r>
              <w:rPr/>
              <w:t>Hoàng Ngọc Gia Bão</w:t>
            </w:r>
          </w:p>
        </w:tc>
      </w:tr>
      <w:tr>
        <w:trPr/>
        <w:tc>
          <w:tcPr>
            <w:tcW w:w="3479" w:type="dxa"/>
            <w:tcBorders>
              <w:start w:val="single" w:sz="4" w:space="0" w:color="000000"/>
              <w:bottom w:val="single" w:sz="4" w:space="0" w:color="000000"/>
            </w:tcBorders>
            <w:shd w:fill="DEE6EF" w:val="clear"/>
          </w:tcPr>
          <w:p>
            <w:pPr>
              <w:pStyle w:val="ListBullet"/>
              <w:numPr>
                <w:ilvl w:val="0"/>
                <w:numId w:val="0"/>
              </w:numPr>
              <w:spacing w:before="0" w:after="140"/>
              <w:contextualSpacing/>
              <w:rPr/>
            </w:pPr>
            <w:r>
              <w:rPr>
                <w:b/>
              </w:rPr>
              <w:t>Course Module:</w:t>
            </w:r>
          </w:p>
        </w:tc>
        <w:tc>
          <w:tcPr>
            <w:tcW w:w="68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EE6EF" w:val="clear"/>
          </w:tcPr>
          <w:p>
            <w:pPr>
              <w:pStyle w:val="ListBullet"/>
              <w:numPr>
                <w:ilvl w:val="0"/>
                <w:numId w:val="0"/>
              </w:numPr>
              <w:spacing w:before="0" w:after="140"/>
              <w:contextualSpacing/>
              <w:rPr/>
            </w:pPr>
            <w:r>
              <w:rPr/>
              <w:t>Hands-on-Learning: Core Architecture &amp; Module Foundations</w:t>
            </w:r>
          </w:p>
        </w:tc>
      </w:tr>
      <w:tr>
        <w:trPr/>
        <w:tc>
          <w:tcPr>
            <w:tcW w:w="3479" w:type="dxa"/>
            <w:tcBorders>
              <w:start w:val="single" w:sz="4" w:space="0" w:color="000000"/>
              <w:bottom w:val="single" w:sz="4" w:space="0" w:color="000000"/>
            </w:tcBorders>
            <w:shd w:fill="DEE6EF" w:val="clear"/>
          </w:tcPr>
          <w:p>
            <w:pPr>
              <w:pStyle w:val="ListBullet"/>
              <w:numPr>
                <w:ilvl w:val="0"/>
                <w:numId w:val="0"/>
              </w:numPr>
              <w:spacing w:before="0" w:after="140"/>
              <w:contextualSpacing/>
              <w:rPr/>
            </w:pPr>
            <w:r>
              <w:rPr>
                <w:b/>
              </w:rPr>
              <w:t>Target Hardware Architecture:</w:t>
            </w:r>
          </w:p>
        </w:tc>
        <w:tc>
          <w:tcPr>
            <w:tcW w:w="68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EE6EF" w:val="clear"/>
          </w:tcPr>
          <w:p>
            <w:pPr>
              <w:pStyle w:val="ListBullet"/>
              <w:numPr>
                <w:ilvl w:val="0"/>
                <w:numId w:val="0"/>
              </w:numPr>
              <w:spacing w:before="0" w:after="140"/>
              <w:contextualSpacing/>
              <w:rPr/>
            </w:pPr>
            <w:r>
              <w:rPr/>
              <w:t>IEEE 1800 SystemVerilog RTL on Intel Quartus Prime FPGA</w:t>
            </w:r>
          </w:p>
        </w:tc>
      </w:tr>
      <w:tr>
        <w:trPr/>
        <w:tc>
          <w:tcPr>
            <w:tcW w:w="3479" w:type="dxa"/>
            <w:tcBorders>
              <w:start w:val="single" w:sz="4" w:space="0" w:color="000000"/>
              <w:bottom w:val="single" w:sz="4" w:space="0" w:color="000000"/>
            </w:tcBorders>
            <w:shd w:fill="DEE6EF" w:val="clear"/>
          </w:tcPr>
          <w:p>
            <w:pPr>
              <w:pStyle w:val="ListBullet"/>
              <w:numPr>
                <w:ilvl w:val="0"/>
                <w:numId w:val="0"/>
              </w:numPr>
              <w:spacing w:before="0" w:after="140"/>
              <w:contextualSpacing/>
              <w:rPr/>
            </w:pPr>
            <w:r>
              <w:rPr>
                <w:b/>
              </w:rPr>
              <w:t>Verification Environment:</w:t>
            </w:r>
          </w:p>
        </w:tc>
        <w:tc>
          <w:tcPr>
            <w:tcW w:w="68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EE6EF" w:val="clear"/>
          </w:tcPr>
          <w:p>
            <w:pPr>
              <w:pStyle w:val="ListBullet"/>
              <w:numPr>
                <w:ilvl w:val="0"/>
                <w:numId w:val="0"/>
              </w:numPr>
              <w:spacing w:before="0" w:after="140"/>
              <w:contextualSpacing/>
              <w:rPr/>
            </w:pPr>
            <w:r>
              <w:rPr/>
              <w:t>QuestaSim / ModelSim Automated Coverage Suite (Self-Checking Testbench)</w:t>
            </w:r>
          </w:p>
        </w:tc>
      </w:tr>
      <w:tr>
        <w:trPr/>
        <w:tc>
          <w:tcPr>
            <w:tcW w:w="3479" w:type="dxa"/>
            <w:tcBorders>
              <w:start w:val="single" w:sz="4" w:space="0" w:color="000000"/>
              <w:bottom w:val="single" w:sz="4" w:space="0" w:color="000000"/>
            </w:tcBorders>
            <w:shd w:fill="DEE6EF" w:val="clear"/>
          </w:tcPr>
          <w:p>
            <w:pPr>
              <w:pStyle w:val="ListBullet"/>
              <w:numPr>
                <w:ilvl w:val="0"/>
                <w:numId w:val="0"/>
              </w:numPr>
              <w:spacing w:before="0" w:after="140"/>
              <w:contextualSpacing/>
              <w:rPr/>
            </w:pPr>
            <w:r>
              <w:rPr>
                <w:b/>
              </w:rPr>
              <w:t>Status:</w:t>
            </w:r>
          </w:p>
        </w:tc>
        <w:tc>
          <w:tcPr>
            <w:tcW w:w="68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EE6EF" w:val="clear"/>
          </w:tcPr>
          <w:p>
            <w:pPr>
              <w:pStyle w:val="ListBullet"/>
              <w:numPr>
                <w:ilvl w:val="0"/>
                <w:numId w:val="0"/>
              </w:numPr>
              <w:spacing w:before="0" w:after="140"/>
              <w:contextualSpacing/>
              <w:rPr/>
            </w:pPr>
            <w:r>
              <w:rPr/>
              <w:t>Fully Verified (100% Code &amp; Functional Coverage)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bookmarkStart w:id="1" w:name="__RefHeading___Toc804_2539424505"/>
      <w:bookmarkEnd w:id="1"/>
      <w:r>
        <w:rPr/>
        <w:t>TABLE OF CONTENTS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2"/>
            <w:tabs>
              <w:tab w:val="clear" w:pos="10085"/>
              <w:tab w:val="right" w:pos="10367" w:leader="dot"/>
            </w:tabs>
            <w:rPr/>
          </w:pPr>
          <w:r>
            <w:fldChar w:fldCharType="begin"/>
          </w:r>
          <w:r>
            <w:rPr>
              <w:rStyle w:val="IndexLink"/>
            </w:rPr>
            <w:instrText xml:space="preserve"> TOC \f \o "1-2" \h</w:instrText>
          </w:r>
          <w:r>
            <w:rPr>
              <w:rStyle w:val="IndexLink"/>
            </w:rPr>
            <w:fldChar w:fldCharType="separate"/>
          </w:r>
          <w:r>
            <w:rPr>
              <w:rStyle w:val="IndexLink"/>
            </w:rPr>
            <w:t>METADATA &amp; PROJECT SUMMARY</w:t>
          </w:r>
          <w:r>
            <w:rPr/>
            <w:tab/>
            <w:t>1</w:t>
          </w:r>
        </w:p>
        <w:p>
          <w:pPr>
            <w:pStyle w:val="TOC1"/>
            <w:tabs>
              <w:tab w:val="clear" w:pos="10368"/>
              <w:tab w:val="right" w:pos="10367" w:leader="dot"/>
            </w:tabs>
            <w:rPr/>
          </w:pPr>
          <w:r>
            <w:rPr/>
            <w:t>TABLE OF CONTENTS</w:t>
            <w:tab/>
            <w:t>2</w:t>
          </w:r>
        </w:p>
        <w:p>
          <w:pPr>
            <w:pStyle w:val="TOC1"/>
            <w:tabs>
              <w:tab w:val="clear" w:pos="10368"/>
              <w:tab w:val="right" w:pos="10367" w:leader="dot"/>
            </w:tabs>
            <w:rPr/>
          </w:pPr>
          <w:r>
            <w:rPr/>
            <w:t>1. Overview</w:t>
            <w:tab/>
            <w:t>3</w:t>
          </w:r>
        </w:p>
        <w:p>
          <w:pPr>
            <w:pStyle w:val="TOC2"/>
            <w:tabs>
              <w:tab w:val="clear" w:pos="10085"/>
              <w:tab w:val="right" w:pos="10367" w:leader="dot"/>
            </w:tabs>
            <w:rPr/>
          </w:pPr>
          <w:r>
            <w:rPr/>
            <w:t>1.1. Introduction &amp; Background</w:t>
            <w:tab/>
            <w:t>3</w:t>
          </w:r>
        </w:p>
        <w:p>
          <w:pPr>
            <w:pStyle w:val="TOC2"/>
            <w:tabs>
              <w:tab w:val="clear" w:pos="10085"/>
              <w:tab w:val="right" w:pos="10367" w:leader="dot"/>
            </w:tabs>
            <w:rPr/>
          </w:pPr>
          <w:r>
            <w:rPr/>
            <w:t>1.2. Key Architectural Features</w:t>
            <w:tab/>
            <w:t>3</w:t>
          </w:r>
        </w:p>
        <w:p>
          <w:pPr>
            <w:pStyle w:val="TOC2"/>
            <w:tabs>
              <w:tab w:val="clear" w:pos="10085"/>
              <w:tab w:val="right" w:pos="10367" w:leader="dot"/>
            </w:tabs>
            <w:rPr/>
          </w:pPr>
          <w:r>
            <w:rPr/>
            <w:t>1.3. System Block Diagram</w:t>
            <w:tab/>
            <w:t>3</w:t>
          </w:r>
        </w:p>
        <w:p>
          <w:pPr>
            <w:pStyle w:val="TOC2"/>
            <w:tabs>
              <w:tab w:val="clear" w:pos="10085"/>
              <w:tab w:val="right" w:pos="10367" w:leader="dot"/>
            </w:tabs>
            <w:rPr/>
          </w:pPr>
          <w:r>
            <w:rPr/>
            <w:t>1.4. Interface Signal Specification</w:t>
            <w:tab/>
            <w:t>4</w:t>
          </w:r>
        </w:p>
        <w:p>
          <w:pPr>
            <w:pStyle w:val="TOC1"/>
            <w:tabs>
              <w:tab w:val="clear" w:pos="10368"/>
              <w:tab w:val="right" w:pos="10367" w:leader="dot"/>
            </w:tabs>
            <w:rPr/>
          </w:pPr>
          <w:r>
            <w:rPr/>
            <w:t>2. Architectural &amp; Functional Specification</w:t>
            <w:tab/>
            <w:t>5</w:t>
          </w:r>
        </w:p>
        <w:p>
          <w:pPr>
            <w:pStyle w:val="TOC2"/>
            <w:tabs>
              <w:tab w:val="clear" w:pos="10085"/>
              <w:tab w:val="right" w:pos="10367" w:leader="dot"/>
            </w:tabs>
            <w:rPr/>
          </w:pPr>
          <w:r>
            <w:rPr/>
            <w:t>2.1. Top-Level Controller &amp; Handshake Protocol (calculator_top)</w:t>
            <w:tab/>
            <w:t>5</w:t>
          </w:r>
        </w:p>
        <w:p>
          <w:pPr>
            <w:pStyle w:val="TOC2"/>
            <w:tabs>
              <w:tab w:val="clear" w:pos="10085"/>
              <w:tab w:val="right" w:pos="10367" w:leader="dot"/>
            </w:tabs>
            <w:rPr/>
          </w:pPr>
          <w:r>
            <w:rPr/>
            <w:t>2.2. Dual-Port Asynchronous Register Bank (storage_unit)</w:t>
            <w:tab/>
            <w:t>5</w:t>
          </w:r>
        </w:p>
        <w:p>
          <w:pPr>
            <w:pStyle w:val="TOC2"/>
            <w:tabs>
              <w:tab w:val="clear" w:pos="10085"/>
              <w:tab w:val="right" w:pos="10367" w:leader="dot"/>
            </w:tabs>
            <w:rPr/>
          </w:pPr>
          <w:r>
            <w:rPr/>
            <w:t>2.3. Extended Precision Combinational ALU Core (alu_core)</w:t>
            <w:tab/>
            <w:t>5</w:t>
          </w:r>
        </w:p>
        <w:p>
          <w:pPr>
            <w:pStyle w:val="TOC2"/>
            <w:tabs>
              <w:tab w:val="clear" w:pos="10085"/>
              <w:tab w:val="right" w:pos="10367" w:leader="dot"/>
            </w:tabs>
            <w:rPr/>
          </w:pPr>
          <w:r>
            <w:rPr/>
            <w:t>2.4. Zero-Division Hardware Exception Protection</w:t>
            <w:tab/>
            <w:t>6</w:t>
          </w:r>
        </w:p>
        <w:p>
          <w:pPr>
            <w:pStyle w:val="TOC1"/>
            <w:tabs>
              <w:tab w:val="clear" w:pos="10368"/>
              <w:tab w:val="right" w:pos="10367" w:leader="dot"/>
            </w:tabs>
            <w:rPr/>
          </w:pPr>
          <w:r>
            <w:rPr/>
            <w:t>3. Verification Strategy &amp; Testbench Framework</w:t>
            <w:tab/>
            <w:t>6</w:t>
          </w:r>
        </w:p>
        <w:p>
          <w:pPr>
            <w:pStyle w:val="TOC2"/>
            <w:tabs>
              <w:tab w:val="clear" w:pos="10085"/>
              <w:tab w:val="right" w:pos="10367" w:leader="dot"/>
            </w:tabs>
            <w:rPr/>
          </w:pPr>
          <w:r>
            <w:rPr/>
            <w:t>3.1. Self-Checking Verification Architecture</w:t>
            <w:tab/>
            <w:t>6</w:t>
          </w:r>
        </w:p>
        <w:p>
          <w:pPr>
            <w:pStyle w:val="TOC2"/>
            <w:tabs>
              <w:tab w:val="clear" w:pos="10085"/>
              <w:tab w:val="right" w:pos="10367" w:leader="dot"/>
            </w:tabs>
            <w:rPr/>
          </w:pPr>
          <w:r>
            <w:rPr/>
            <w:t>3.2. Stimulus Generation &amp; Corner Case Strategy</w:t>
            <w:tab/>
            <w:t>6</w:t>
          </w:r>
        </w:p>
        <w:p>
          <w:pPr>
            <w:pStyle w:val="TOC2"/>
            <w:tabs>
              <w:tab w:val="clear" w:pos="10085"/>
              <w:tab w:val="right" w:pos="10367" w:leader="dot"/>
            </w:tabs>
            <w:rPr/>
          </w:pPr>
          <w:r>
            <w:rPr/>
            <w:t>3.3. QuestaSim Timing Waveform Verification</w:t>
            <w:tab/>
            <w:t>7</w:t>
          </w:r>
        </w:p>
        <w:p>
          <w:pPr>
            <w:pStyle w:val="TOC1"/>
            <w:tabs>
              <w:tab w:val="clear" w:pos="10368"/>
              <w:tab w:val="right" w:pos="10367" w:leader="dot"/>
            </w:tabs>
            <w:rPr/>
          </w:pPr>
          <w:r>
            <w:rPr/>
            <w:t>4. Coverage Analysis &amp; Quality Metrics</w:t>
            <w:tab/>
            <w:t>7</w:t>
          </w:r>
        </w:p>
        <w:p>
          <w:pPr>
            <w:pStyle w:val="TOC2"/>
            <w:tabs>
              <w:tab w:val="clear" w:pos="10085"/>
              <w:tab w:val="right" w:pos="10367" w:leader="dot"/>
            </w:tabs>
            <w:rPr/>
          </w:pPr>
          <w:r>
            <w:rPr/>
            <w:t>4.1. Coverage Closure Results (100% Target vs. Actual)</w:t>
            <w:tab/>
            <w:t>7</w:t>
          </w:r>
        </w:p>
        <w:p>
          <w:pPr>
            <w:pStyle w:val="TOC2"/>
            <w:tabs>
              <w:tab w:val="clear" w:pos="10085"/>
              <w:tab w:val="right" w:pos="10367" w:leader="dot"/>
            </w:tabs>
            <w:rPr/>
          </w:pPr>
          <w:r>
            <w:rPr/>
            <w:t>4.2. Hierarchical Instance Coverage Verification</w:t>
            <w:tab/>
            <w:t>8</w:t>
          </w:r>
        </w:p>
        <w:p>
          <w:pPr>
            <w:pStyle w:val="TOC1"/>
            <w:tabs>
              <w:tab w:val="clear" w:pos="10368"/>
              <w:tab w:val="right" w:pos="10367" w:leader="dot"/>
            </w:tabs>
            <w:rPr/>
          </w:pPr>
          <w:r>
            <w:rPr/>
            <w:t>5. Build Automation &amp; Reproducibility (Makefile)</w:t>
            <w:tab/>
            <w:t>9</w:t>
          </w:r>
        </w:p>
        <w:p>
          <w:pPr>
            <w:pStyle w:val="TOC1"/>
            <w:tabs>
              <w:tab w:val="clear" w:pos="10368"/>
              <w:tab w:val="right" w:pos="10367" w:leader="dot"/>
            </w:tabs>
            <w:rPr/>
          </w:pPr>
          <w:r>
            <w:rPr/>
            <w:t>6. Document Revision History</w:t>
            <w:tab/>
            <w:t>10</w:t>
          </w:r>
          <w:r>
            <w:rPr/>
            <w:fldChar w:fldCharType="end"/>
          </w:r>
        </w:p>
      </w:sdtContent>
    </w:sdt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bookmarkStart w:id="2" w:name="__RefHeading___Toc806_2539424505"/>
      <w:bookmarkEnd w:id="2"/>
      <w:r>
        <w:rPr/>
        <w:t>1. Overview</w:t>
      </w:r>
    </w:p>
    <w:p>
      <w:pPr>
        <w:pStyle w:val="Heading2"/>
        <w:rPr/>
      </w:pPr>
      <w:bookmarkStart w:id="3" w:name="__RefHeading___Toc808_2539424505"/>
      <w:bookmarkEnd w:id="3"/>
      <w:r>
        <w:rPr/>
        <w:t>1.1. Introduction &amp; Background</w:t>
      </w:r>
    </w:p>
    <w:p>
      <w:pPr>
        <w:pStyle w:val="Normal"/>
        <w:rPr/>
      </w:pPr>
      <w:r>
        <w:rPr/>
        <w:t>Arithmetic compute engines form the backbone of modern digital signal processors (DSP), microcontrollers, and application-specific accelerators. This design document presents the specification, architecture, and verification results of a parameterizable, synthesizable multi-operation arithmetic calculator IP implemented in SystemVerilog (IEEE 1800).</w:t>
      </w:r>
    </w:p>
    <w:p>
      <w:pPr>
        <w:pStyle w:val="Normal"/>
        <w:rPr/>
      </w:pPr>
      <w:r>
        <w:rPr/>
        <w:t xml:space="preserve">Originating from the Coursera project </w:t>
      </w:r>
      <w:r>
        <w:rPr>
          <w:i/>
        </w:rPr>
        <w:t>"Hands-on-Learning: Core Architecture &amp; Module Foundations"</w:t>
      </w:r>
      <w:r>
        <w:rPr/>
        <w:t xml:space="preserve">, this work significantly expands the original high-level architectural plan into a complete, tapeout-ready hardware implementation featuring dedicated register-file memory staging, zero-stall dual-bus operand retrieval, and a fully automated, self-checking verification suite achieving </w:t>
      </w:r>
      <w:r>
        <w:rPr>
          <w:b/>
        </w:rPr>
        <w:t>100% Code Coverage</w:t>
      </w:r>
      <w:r>
        <w:rPr/>
        <w:t>.</w:t>
      </w:r>
    </w:p>
    <w:p>
      <w:pPr>
        <w:pStyle w:val="Heading2"/>
        <w:rPr/>
      </w:pPr>
      <w:bookmarkStart w:id="4" w:name="__RefHeading___Toc810_2539424505"/>
      <w:bookmarkEnd w:id="4"/>
      <w:r>
        <w:rPr/>
        <w:t>1.2. Key Architectural Features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Modular Multi-Module Partitioning:</w:t>
      </w:r>
      <w:r>
        <w:rPr/>
        <w:t xml:space="preserve"> Decoupled storage (</w:t>
      </w:r>
      <w:r>
        <w:rPr>
          <w:rFonts w:ascii="DejaVu Sans Mono" w:hAnsi="DejaVu Sans Mono"/>
          <w:sz w:val="18"/>
        </w:rPr>
        <w:t>storage_unit</w:t>
      </w:r>
      <w:r>
        <w:rPr/>
        <w:t>) and combinational arithmetic processing (</w:t>
      </w:r>
      <w:r>
        <w:rPr>
          <w:rFonts w:ascii="DejaVu Sans Mono" w:hAnsi="DejaVu Sans Mono"/>
          <w:sz w:val="18"/>
        </w:rPr>
        <w:t>alu_core</w:t>
      </w:r>
      <w:r>
        <w:rPr/>
        <w:t>), orchestrated under a single-cycle registered pipeline controller (</w:t>
      </w:r>
      <w:r>
        <w:rPr>
          <w:rFonts w:ascii="DejaVu Sans Mono" w:hAnsi="DejaVu Sans Mono"/>
          <w:sz w:val="18"/>
        </w:rPr>
        <w:t>calculator_top</w:t>
      </w:r>
      <w:r>
        <w:rPr/>
        <w:t>).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Fully Parameterizable Datapath:</w:t>
      </w:r>
      <w:r>
        <w:rPr/>
        <w:t xml:space="preserve"> Generic configuration parameters (</w:t>
      </w:r>
      <w:r>
        <w:rPr>
          <w:rFonts w:ascii="DejaVu Sans Mono" w:hAnsi="DejaVu Sans Mono"/>
          <w:sz w:val="18"/>
        </w:rPr>
        <w:t>DATA_WIDTH = 16</w:t>
      </w:r>
      <w:r>
        <w:rPr/>
        <w:t xml:space="preserve">, </w:t>
      </w:r>
      <w:r>
        <w:rPr>
          <w:rFonts w:ascii="DejaVu Sans Mono" w:hAnsi="DejaVu Sans Mono"/>
          <w:sz w:val="18"/>
        </w:rPr>
        <w:t>OUT_WIDTH = 32</w:t>
      </w:r>
      <w:r>
        <w:rPr/>
        <w:t xml:space="preserve">, </w:t>
      </w:r>
      <w:r>
        <w:rPr>
          <w:rFonts w:ascii="DejaVu Sans Mono" w:hAnsi="DejaVu Sans Mono"/>
          <w:sz w:val="18"/>
        </w:rPr>
        <w:t>NUM_REGS = 4</w:t>
      </w:r>
      <w:r>
        <w:rPr/>
        <w:t>) allowing flexible adaptation across diverse FPGA platforms.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Dual-Port Asynchronous Read Access:</w:t>
      </w:r>
      <w:r>
        <w:rPr/>
        <w:t xml:space="preserve"> Independent combinational read multiplexers provide zero-latency concurrent access to two operands simultaneously without memory pipeline stalls.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Signed Two's Complement Precision:</w:t>
      </w:r>
      <w:r>
        <w:rPr/>
        <w:t xml:space="preserve"> Native support for 16-bit signed operands with an extended 32-bit output datapath to eliminate overflow during wide multiplications and additions.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Deterministic Hardware Exception Trapping:</w:t>
      </w:r>
      <w:r>
        <w:rPr/>
        <w:t xml:space="preserve"> Combinational zero-divisor comparator triggers dedicated status flags (</w:t>
      </w:r>
      <w:r>
        <w:rPr>
          <w:rFonts w:ascii="DejaVu Sans Mono" w:hAnsi="DejaVu Sans Mono"/>
          <w:sz w:val="18"/>
        </w:rPr>
        <w:t>div_by_zero_flag</w:t>
      </w:r>
      <w:r>
        <w:rPr/>
        <w:t>) and immediately clamps outputs to zero, protecting downstream systems from invalid states.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Industrial-Grade Verification Closure:</w:t>
      </w:r>
      <w:r>
        <w:rPr/>
        <w:t xml:space="preserve"> Automated QuestaSim testbench with randomized corner cases achieving </w:t>
      </w:r>
      <w:r>
        <w:rPr>
          <w:b/>
        </w:rPr>
        <w:t>100% Statement, Branch, Condition, Toggle, and Assertion coverage</w:t>
      </w:r>
      <w:r>
        <w:rPr/>
        <w:t>.</w:t>
      </w:r>
    </w:p>
    <w:p>
      <w:pPr>
        <w:pStyle w:val="Heading2"/>
        <w:rPr/>
      </w:pPr>
      <w:bookmarkStart w:id="5" w:name="__RefHeading___Toc812_2539424505"/>
      <w:bookmarkEnd w:id="5"/>
      <w:r>
        <w:rPr/>
        <w:t>1.3. System Block Diagram</w:t>
      </w:r>
    </w:p>
    <w:p>
      <w:pPr>
        <w:pStyle w:val="Normal"/>
        <w:rPr/>
      </w:pPr>
      <w:r>
        <w:rPr/>
        <w:t>The top-level calculator encapsulates an internal dual-bus storage bank and an arithmetic logic core. Communication is handled synchronously with registered valid-flag handshaking.</w:t>
      </w:r>
    </w:p>
    <w:p>
      <w:pPr>
        <w:pStyle w:val="Normal"/>
        <w:keepNext w:val="true"/>
        <w:rPr/>
      </w:pPr>
      <w:r>
        <w:rPr/>
      </w:r>
    </w:p>
    <w:tbl>
      <w:tblPr>
        <w:tblW w:w="10368" w:type="dxa"/>
        <w:jc w:val="start"/>
        <w:tblInd w:w="79" w:type="dxa"/>
        <w:tblLayout w:type="fixed"/>
        <w:tblCellMar>
          <w:top w:w="85" w:type="dxa"/>
          <w:start w:w="85" w:type="dxa"/>
          <w:bottom w:w="85" w:type="dxa"/>
          <w:end w:w="85" w:type="dxa"/>
        </w:tblCellMar>
        <w:tblLook w:noHBand="0" w:noVBand="1" w:firstColumn="1" w:lastRow="0" w:lastColumn="0" w:firstRow="1" w:val="04a0"/>
      </w:tblPr>
      <w:tblGrid>
        <w:gridCol w:w="10368"/>
      </w:tblGrid>
      <w:tr>
        <w:trPr>
          <w:tblHeader w:val="true"/>
          <w:trHeight w:val="6569" w:hRule="atLeast"/>
          <w:cantSplit/>
        </w:trPr>
        <w:tc>
          <w:tcPr>
            <w:tcW w:w="10368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FFFFF" w:val="clear"/>
            <w:vAlign w:val="center"/>
          </w:tcPr>
          <w:p>
            <w:pPr>
              <w:pStyle w:val="Normal"/>
              <w:spacing w:before="60" w:after="60"/>
              <w:jc w:val="center"/>
              <w:rPr>
                <w:rFonts w:ascii="Calibri" w:hAnsi="Calibri"/>
                <w:b/>
                <w:color w:val="646464"/>
                <w:sz w:val="18"/>
              </w:rPr>
            </w:pPr>
            <w:r>
              <w:rPr>
                <w:b/>
                <w:color w:val="646464"/>
                <w:sz w:val="18"/>
              </w:rPr>
              <w:drawing>
                <wp:anchor distT="0" distB="0" distL="0" distR="0" simplePos="0" relativeHeight="2" behindDoc="0" locked="0" layoutInCell="0" allowOverlap="1">
                  <wp:simplePos x="0" y="0"/>
                  <wp:positionH relativeFrom="margin">
                    <wp:align>center</wp:align>
                  </wp:positionH>
                  <wp:positionV relativeFrom="paragraph">
                    <wp:posOffset>635</wp:posOffset>
                  </wp:positionV>
                  <wp:extent cx="6475730" cy="4099560"/>
                  <wp:effectExtent l="0" t="0" r="0" b="0"/>
                  <wp:wrapSquare wrapText="largest"/>
                  <wp:docPr id="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5730" cy="40995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Caption"/>
        <w:jc w:val="center"/>
        <w:rPr/>
      </w:pPr>
      <w:r>
        <w:rPr/>
        <w:t>Figure 1: Scalable FPGA Calculator Architecture Diagram</w:t>
      </w:r>
    </w:p>
    <w:p>
      <w:pPr>
        <w:pStyle w:val="Heading2"/>
        <w:rPr/>
      </w:pPr>
      <w:bookmarkStart w:id="6" w:name="__RefHeading___Toc814_2539424505"/>
      <w:bookmarkEnd w:id="6"/>
      <w:r>
        <w:rPr/>
        <w:t>1.4. Interface Signal Specification</w:t>
      </w:r>
    </w:p>
    <w:tbl>
      <w:tblPr>
        <w:tblW w:w="10368" w:type="dxa"/>
        <w:jc w:val="start"/>
        <w:tblInd w:w="79" w:type="dxa"/>
        <w:tblLayout w:type="fixed"/>
        <w:tblCellMar>
          <w:top w:w="85" w:type="dxa"/>
          <w:start w:w="85" w:type="dxa"/>
          <w:bottom w:w="85" w:type="dxa"/>
          <w:end w:w="85" w:type="dxa"/>
        </w:tblCellMar>
        <w:tblLook w:noHBand="0" w:noVBand="1" w:firstColumn="1" w:lastRow="0" w:lastColumn="0" w:firstRow="1" w:val="04a0"/>
      </w:tblPr>
      <w:tblGrid>
        <w:gridCol w:w="1654"/>
        <w:gridCol w:w="722"/>
        <w:gridCol w:w="934"/>
        <w:gridCol w:w="1226"/>
        <w:gridCol w:w="1296"/>
        <w:gridCol w:w="4536"/>
      </w:tblGrid>
      <w:tr>
        <w:trPr>
          <w:tblHeader w:val="true"/>
          <w:cantSplit/>
        </w:trPr>
        <w:tc>
          <w:tcPr>
            <w:tcW w:w="1654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DCE6F1" w:val="clear"/>
            <w:vAlign w:val="center"/>
          </w:tcPr>
          <w:p>
            <w:pPr>
              <w:pStyle w:val="Normal"/>
              <w:spacing w:before="60" w:after="60"/>
              <w:rPr/>
            </w:pPr>
            <w:r>
              <w:rPr>
                <w:b/>
                <w:sz w:val="18"/>
              </w:rPr>
              <w:t>Signal Name</w:t>
            </w:r>
          </w:p>
        </w:tc>
        <w:tc>
          <w:tcPr>
            <w:tcW w:w="722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DCE6F1" w:val="clear"/>
            <w:vAlign w:val="center"/>
          </w:tcPr>
          <w:p>
            <w:pPr>
              <w:pStyle w:val="Normal"/>
              <w:spacing w:before="60" w:after="60"/>
              <w:rPr/>
            </w:pPr>
            <w:r>
              <w:rPr>
                <w:b/>
                <w:sz w:val="18"/>
              </w:rPr>
              <w:t>Width</w:t>
            </w:r>
          </w:p>
        </w:tc>
        <w:tc>
          <w:tcPr>
            <w:tcW w:w="934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DCE6F1" w:val="clear"/>
            <w:vAlign w:val="center"/>
          </w:tcPr>
          <w:p>
            <w:pPr>
              <w:pStyle w:val="Normal"/>
              <w:spacing w:before="60" w:after="60"/>
              <w:rPr/>
            </w:pPr>
            <w:r>
              <w:rPr>
                <w:b/>
                <w:sz w:val="18"/>
              </w:rPr>
              <w:t>Direction</w:t>
            </w:r>
          </w:p>
        </w:tc>
        <w:tc>
          <w:tcPr>
            <w:tcW w:w="1226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DCE6F1" w:val="clear"/>
            <w:vAlign w:val="center"/>
          </w:tcPr>
          <w:p>
            <w:pPr>
              <w:pStyle w:val="Normal"/>
              <w:spacing w:before="60" w:after="60"/>
              <w:rPr/>
            </w:pPr>
            <w:r>
              <w:rPr>
                <w:b/>
                <w:sz w:val="18"/>
              </w:rPr>
              <w:t>Clock Domain</w:t>
            </w:r>
          </w:p>
        </w:tc>
        <w:tc>
          <w:tcPr>
            <w:tcW w:w="1296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DCE6F1" w:val="clear"/>
            <w:vAlign w:val="center"/>
          </w:tcPr>
          <w:p>
            <w:pPr>
              <w:pStyle w:val="Normal"/>
              <w:spacing w:before="60" w:after="60"/>
              <w:rPr/>
            </w:pPr>
            <w:r>
              <w:rPr>
                <w:b/>
                <w:sz w:val="18"/>
              </w:rPr>
              <w:t>Reset State</w:t>
            </w:r>
          </w:p>
        </w:tc>
        <w:tc>
          <w:tcPr>
            <w:tcW w:w="4536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DCE6F1" w:val="clear"/>
            <w:vAlign w:val="center"/>
          </w:tcPr>
          <w:p>
            <w:pPr>
              <w:pStyle w:val="Normal"/>
              <w:spacing w:before="60" w:after="60"/>
              <w:rPr/>
            </w:pPr>
            <w:r>
              <w:rPr>
                <w:b/>
                <w:sz w:val="18"/>
              </w:rPr>
              <w:t>Functional Description</w:t>
            </w:r>
          </w:p>
        </w:tc>
      </w:tr>
      <w:tr>
        <w:trPr>
          <w:cantSplit/>
        </w:trPr>
        <w:tc>
          <w:tcPr>
            <w:tcW w:w="1654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FFFFF" w:val="clear"/>
            <w:vAlign w:val="center"/>
          </w:tcPr>
          <w:p>
            <w:pPr>
              <w:pStyle w:val="Normal"/>
              <w:spacing w:before="60" w:after="60"/>
              <w:rPr/>
            </w:pPr>
            <w:r>
              <w:rPr>
                <w:rFonts w:ascii="DejaVu Sans Mono" w:hAnsi="DejaVu Sans Mono"/>
                <w:b w:val="false"/>
                <w:sz w:val="18"/>
              </w:rPr>
              <w:t>clk</w:t>
            </w:r>
          </w:p>
        </w:tc>
        <w:tc>
          <w:tcPr>
            <w:tcW w:w="722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FFFFF" w:val="clear"/>
            <w:vAlign w:val="center"/>
          </w:tcPr>
          <w:p>
            <w:pPr>
              <w:pStyle w:val="Normal"/>
              <w:spacing w:before="60" w:after="60"/>
              <w:rPr/>
            </w:pPr>
            <w:r>
              <w:rPr>
                <w:b w:val="false"/>
                <w:sz w:val="18"/>
              </w:rPr>
              <w:t>1</w:t>
            </w:r>
          </w:p>
        </w:tc>
        <w:tc>
          <w:tcPr>
            <w:tcW w:w="934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FFFFF" w:val="clear"/>
            <w:vAlign w:val="center"/>
          </w:tcPr>
          <w:p>
            <w:pPr>
              <w:pStyle w:val="Normal"/>
              <w:spacing w:before="60" w:after="60"/>
              <w:rPr/>
            </w:pPr>
            <w:r>
              <w:rPr>
                <w:b w:val="false"/>
                <w:sz w:val="18"/>
              </w:rPr>
              <w:t>Input</w:t>
            </w:r>
          </w:p>
        </w:tc>
        <w:tc>
          <w:tcPr>
            <w:tcW w:w="1226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FFFFF" w:val="clear"/>
            <w:vAlign w:val="center"/>
          </w:tcPr>
          <w:p>
            <w:pPr>
              <w:pStyle w:val="Normal"/>
              <w:spacing w:before="60" w:after="60"/>
              <w:rPr/>
            </w:pPr>
            <w:r>
              <w:rPr>
                <w:b w:val="false"/>
                <w:sz w:val="18"/>
              </w:rPr>
              <w:t>System</w:t>
            </w:r>
          </w:p>
        </w:tc>
        <w:tc>
          <w:tcPr>
            <w:tcW w:w="1296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FFFFF" w:val="clear"/>
            <w:vAlign w:val="center"/>
          </w:tcPr>
          <w:p>
            <w:pPr>
              <w:pStyle w:val="Normal"/>
              <w:spacing w:before="60" w:after="60"/>
              <w:rPr/>
            </w:pPr>
            <w:r>
              <w:rPr>
                <w:b w:val="false"/>
                <w:sz w:val="18"/>
              </w:rPr>
              <w:t>N/A</w:t>
            </w:r>
          </w:p>
        </w:tc>
        <w:tc>
          <w:tcPr>
            <w:tcW w:w="4536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FFFFF" w:val="clear"/>
            <w:vAlign w:val="center"/>
          </w:tcPr>
          <w:p>
            <w:pPr>
              <w:pStyle w:val="Normal"/>
              <w:spacing w:before="60" w:after="60"/>
              <w:rPr/>
            </w:pPr>
            <w:r>
              <w:rPr>
                <w:b w:val="false"/>
                <w:sz w:val="18"/>
              </w:rPr>
              <w:t>Primary system clock reference (50 MHz, 20 ns period).</w:t>
            </w:r>
          </w:p>
        </w:tc>
      </w:tr>
      <w:tr>
        <w:trPr>
          <w:cantSplit/>
        </w:trPr>
        <w:tc>
          <w:tcPr>
            <w:tcW w:w="1654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4F7FA" w:val="clear"/>
            <w:vAlign w:val="center"/>
          </w:tcPr>
          <w:p>
            <w:pPr>
              <w:pStyle w:val="Normal"/>
              <w:spacing w:before="60" w:after="60"/>
              <w:rPr/>
            </w:pPr>
            <w:r>
              <w:rPr>
                <w:rFonts w:ascii="DejaVu Sans Mono" w:hAnsi="DejaVu Sans Mono"/>
                <w:b w:val="false"/>
                <w:sz w:val="18"/>
              </w:rPr>
              <w:t>rst_n</w:t>
            </w:r>
          </w:p>
        </w:tc>
        <w:tc>
          <w:tcPr>
            <w:tcW w:w="722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4F7FA" w:val="clear"/>
            <w:vAlign w:val="center"/>
          </w:tcPr>
          <w:p>
            <w:pPr>
              <w:pStyle w:val="Normal"/>
              <w:spacing w:before="60" w:after="60"/>
              <w:rPr/>
            </w:pPr>
            <w:r>
              <w:rPr>
                <w:b w:val="false"/>
                <w:sz w:val="18"/>
              </w:rPr>
              <w:t>1</w:t>
            </w:r>
          </w:p>
        </w:tc>
        <w:tc>
          <w:tcPr>
            <w:tcW w:w="934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4F7FA" w:val="clear"/>
            <w:vAlign w:val="center"/>
          </w:tcPr>
          <w:p>
            <w:pPr>
              <w:pStyle w:val="Normal"/>
              <w:spacing w:before="60" w:after="60"/>
              <w:rPr/>
            </w:pPr>
            <w:r>
              <w:rPr>
                <w:b w:val="false"/>
                <w:sz w:val="18"/>
              </w:rPr>
              <w:t>Input</w:t>
            </w:r>
          </w:p>
        </w:tc>
        <w:tc>
          <w:tcPr>
            <w:tcW w:w="1226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4F7FA" w:val="clear"/>
            <w:vAlign w:val="center"/>
          </w:tcPr>
          <w:p>
            <w:pPr>
              <w:pStyle w:val="Normal"/>
              <w:spacing w:before="60" w:after="60"/>
              <w:rPr/>
            </w:pPr>
            <w:r>
              <w:rPr>
                <w:b w:val="false"/>
                <w:sz w:val="18"/>
              </w:rPr>
              <w:t>Asynchronous</w:t>
            </w:r>
          </w:p>
        </w:tc>
        <w:tc>
          <w:tcPr>
            <w:tcW w:w="1296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4F7FA" w:val="clear"/>
            <w:vAlign w:val="center"/>
          </w:tcPr>
          <w:p>
            <w:pPr>
              <w:pStyle w:val="Normal"/>
              <w:spacing w:before="60" w:after="60"/>
              <w:rPr/>
            </w:pPr>
            <w:r>
              <w:rPr>
                <w:b w:val="false"/>
                <w:sz w:val="18"/>
              </w:rPr>
              <w:t>Active-Low</w:t>
            </w:r>
          </w:p>
        </w:tc>
        <w:tc>
          <w:tcPr>
            <w:tcW w:w="4536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4F7FA" w:val="clear"/>
            <w:vAlign w:val="center"/>
          </w:tcPr>
          <w:p>
            <w:pPr>
              <w:pStyle w:val="Normal"/>
              <w:spacing w:before="60" w:after="60"/>
              <w:rPr/>
            </w:pPr>
            <w:r>
              <w:rPr>
                <w:b w:val="false"/>
                <w:sz w:val="18"/>
              </w:rPr>
              <w:t xml:space="preserve">System reset. Resets internal registers and flags to </w:t>
            </w:r>
            <w:r>
              <w:rPr>
                <w:rFonts w:ascii="DejaVu Sans Mono" w:hAnsi="DejaVu Sans Mono"/>
                <w:b w:val="false"/>
                <w:sz w:val="18"/>
              </w:rPr>
              <w:t>0</w:t>
            </w:r>
            <w:r>
              <w:rPr>
                <w:b w:val="false"/>
                <w:sz w:val="18"/>
              </w:rPr>
              <w:t>.</w:t>
            </w:r>
          </w:p>
        </w:tc>
      </w:tr>
      <w:tr>
        <w:trPr>
          <w:cantSplit/>
        </w:trPr>
        <w:tc>
          <w:tcPr>
            <w:tcW w:w="1654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FFFFF" w:val="clear"/>
            <w:vAlign w:val="center"/>
          </w:tcPr>
          <w:p>
            <w:pPr>
              <w:pStyle w:val="Normal"/>
              <w:spacing w:before="60" w:after="60"/>
              <w:rPr/>
            </w:pPr>
            <w:r>
              <w:rPr>
                <w:rFonts w:ascii="DejaVu Sans Mono" w:hAnsi="DejaVu Sans Mono"/>
                <w:b w:val="false"/>
                <w:sz w:val="18"/>
              </w:rPr>
              <w:t>wr_en</w:t>
            </w:r>
          </w:p>
        </w:tc>
        <w:tc>
          <w:tcPr>
            <w:tcW w:w="722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FFFFF" w:val="clear"/>
            <w:vAlign w:val="center"/>
          </w:tcPr>
          <w:p>
            <w:pPr>
              <w:pStyle w:val="Normal"/>
              <w:spacing w:before="60" w:after="60"/>
              <w:rPr/>
            </w:pPr>
            <w:r>
              <w:rPr>
                <w:b w:val="false"/>
                <w:sz w:val="18"/>
              </w:rPr>
              <w:t>1</w:t>
            </w:r>
          </w:p>
        </w:tc>
        <w:tc>
          <w:tcPr>
            <w:tcW w:w="934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FFFFF" w:val="clear"/>
            <w:vAlign w:val="center"/>
          </w:tcPr>
          <w:p>
            <w:pPr>
              <w:pStyle w:val="Normal"/>
              <w:spacing w:before="60" w:after="60"/>
              <w:rPr/>
            </w:pPr>
            <w:r>
              <w:rPr>
                <w:b w:val="false"/>
                <w:sz w:val="18"/>
              </w:rPr>
              <w:t>Input</w:t>
            </w:r>
          </w:p>
        </w:tc>
        <w:tc>
          <w:tcPr>
            <w:tcW w:w="1226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FFFFF" w:val="clear"/>
            <w:vAlign w:val="center"/>
          </w:tcPr>
          <w:p>
            <w:pPr>
              <w:pStyle w:val="Normal"/>
              <w:spacing w:before="60" w:after="60"/>
              <w:rPr/>
            </w:pPr>
            <w:r>
              <w:rPr>
                <w:rFonts w:ascii="DejaVu Sans Mono" w:hAnsi="DejaVu Sans Mono"/>
                <w:b w:val="false"/>
                <w:sz w:val="18"/>
              </w:rPr>
              <w:t>clk</w:t>
            </w:r>
            <w:r>
              <w:rPr>
                <w:b w:val="false"/>
                <w:sz w:val="18"/>
              </w:rPr>
              <w:t xml:space="preserve"> (sync)</w:t>
            </w:r>
          </w:p>
        </w:tc>
        <w:tc>
          <w:tcPr>
            <w:tcW w:w="1296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FFFFF" w:val="clear"/>
            <w:vAlign w:val="center"/>
          </w:tcPr>
          <w:p>
            <w:pPr>
              <w:pStyle w:val="Normal"/>
              <w:spacing w:before="60" w:after="60"/>
              <w:rPr/>
            </w:pPr>
            <w:r>
              <w:rPr>
                <w:b w:val="false"/>
                <w:sz w:val="18"/>
              </w:rPr>
              <w:t>N/A</w:t>
            </w:r>
          </w:p>
        </w:tc>
        <w:tc>
          <w:tcPr>
            <w:tcW w:w="4536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FFFFF" w:val="clear"/>
            <w:vAlign w:val="center"/>
          </w:tcPr>
          <w:p>
            <w:pPr>
              <w:pStyle w:val="Normal"/>
              <w:spacing w:before="60" w:after="60"/>
              <w:rPr/>
            </w:pPr>
            <w:r>
              <w:rPr>
                <w:b w:val="false"/>
                <w:sz w:val="18"/>
              </w:rPr>
              <w:t>Synchronous write enable strobe for the internal register bank.</w:t>
            </w:r>
          </w:p>
        </w:tc>
      </w:tr>
      <w:tr>
        <w:trPr>
          <w:cantSplit/>
        </w:trPr>
        <w:tc>
          <w:tcPr>
            <w:tcW w:w="1654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4F7FA" w:val="clear"/>
            <w:vAlign w:val="center"/>
          </w:tcPr>
          <w:p>
            <w:pPr>
              <w:pStyle w:val="Normal"/>
              <w:spacing w:before="60" w:after="60"/>
              <w:rPr/>
            </w:pPr>
            <w:r>
              <w:rPr>
                <w:rFonts w:ascii="DejaVu Sans Mono" w:hAnsi="DejaVu Sans Mono"/>
                <w:b w:val="false"/>
                <w:sz w:val="18"/>
              </w:rPr>
              <w:t>wr_addr</w:t>
            </w:r>
          </w:p>
        </w:tc>
        <w:tc>
          <w:tcPr>
            <w:tcW w:w="722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4F7FA" w:val="clear"/>
            <w:vAlign w:val="center"/>
          </w:tcPr>
          <w:p>
            <w:pPr>
              <w:pStyle w:val="Normal"/>
              <w:spacing w:before="60" w:after="60"/>
              <w:rPr/>
            </w:pPr>
            <w:r>
              <w:rPr>
                <w:b w:val="false"/>
                <w:sz w:val="18"/>
              </w:rPr>
              <w:t>2</w:t>
            </w:r>
          </w:p>
        </w:tc>
        <w:tc>
          <w:tcPr>
            <w:tcW w:w="934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4F7FA" w:val="clear"/>
            <w:vAlign w:val="center"/>
          </w:tcPr>
          <w:p>
            <w:pPr>
              <w:pStyle w:val="Normal"/>
              <w:spacing w:before="60" w:after="60"/>
              <w:rPr/>
            </w:pPr>
            <w:r>
              <w:rPr>
                <w:b w:val="false"/>
                <w:sz w:val="18"/>
              </w:rPr>
              <w:t>Input</w:t>
            </w:r>
          </w:p>
        </w:tc>
        <w:tc>
          <w:tcPr>
            <w:tcW w:w="1226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4F7FA" w:val="clear"/>
            <w:vAlign w:val="center"/>
          </w:tcPr>
          <w:p>
            <w:pPr>
              <w:pStyle w:val="Normal"/>
              <w:spacing w:before="60" w:after="60"/>
              <w:rPr/>
            </w:pPr>
            <w:r>
              <w:rPr>
                <w:rFonts w:ascii="DejaVu Sans Mono" w:hAnsi="DejaVu Sans Mono"/>
                <w:b w:val="false"/>
                <w:sz w:val="18"/>
              </w:rPr>
              <w:t>clk</w:t>
            </w:r>
            <w:r>
              <w:rPr>
                <w:b w:val="false"/>
                <w:sz w:val="18"/>
              </w:rPr>
              <w:t xml:space="preserve"> (sync)</w:t>
            </w:r>
          </w:p>
        </w:tc>
        <w:tc>
          <w:tcPr>
            <w:tcW w:w="1296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4F7FA" w:val="clear"/>
            <w:vAlign w:val="center"/>
          </w:tcPr>
          <w:p>
            <w:pPr>
              <w:pStyle w:val="Normal"/>
              <w:spacing w:before="60" w:after="60"/>
              <w:rPr/>
            </w:pPr>
            <w:r>
              <w:rPr>
                <w:b w:val="false"/>
                <w:sz w:val="18"/>
              </w:rPr>
              <w:t>N/A</w:t>
            </w:r>
          </w:p>
        </w:tc>
        <w:tc>
          <w:tcPr>
            <w:tcW w:w="4536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4F7FA" w:val="clear"/>
            <w:vAlign w:val="center"/>
          </w:tcPr>
          <w:p>
            <w:pPr>
              <w:pStyle w:val="Normal"/>
              <w:spacing w:before="60" w:after="60"/>
              <w:rPr/>
            </w:pPr>
            <w:r>
              <w:rPr>
                <w:b w:val="false"/>
                <w:sz w:val="18"/>
              </w:rPr>
              <w:t>Target register destination address (</w:t>
            </w:r>
            <w:r>
              <w:rPr>
                <w:rFonts w:ascii="DejaVu Sans Mono" w:hAnsi="DejaVu Sans Mono"/>
                <w:b w:val="false"/>
                <w:sz w:val="18"/>
              </w:rPr>
              <w:t>2'b00</w:t>
            </w:r>
            <w:r>
              <w:rPr>
                <w:b w:val="false"/>
                <w:sz w:val="18"/>
              </w:rPr>
              <w:t xml:space="preserve"> to </w:t>
            </w:r>
            <w:r>
              <w:rPr>
                <w:rFonts w:ascii="DejaVu Sans Mono" w:hAnsi="DejaVu Sans Mono"/>
                <w:b w:val="false"/>
                <w:sz w:val="18"/>
              </w:rPr>
              <w:t>2'b11</w:t>
            </w:r>
            <w:r>
              <w:rPr>
                <w:b w:val="false"/>
                <w:sz w:val="18"/>
              </w:rPr>
              <w:t>).</w:t>
            </w:r>
          </w:p>
        </w:tc>
      </w:tr>
      <w:tr>
        <w:trPr>
          <w:cantSplit/>
        </w:trPr>
        <w:tc>
          <w:tcPr>
            <w:tcW w:w="1654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FFFFF" w:val="clear"/>
            <w:vAlign w:val="center"/>
          </w:tcPr>
          <w:p>
            <w:pPr>
              <w:pStyle w:val="Normal"/>
              <w:spacing w:before="60" w:after="60"/>
              <w:rPr/>
            </w:pPr>
            <w:r>
              <w:rPr>
                <w:rFonts w:ascii="DejaVu Sans Mono" w:hAnsi="DejaVu Sans Mono"/>
                <w:b w:val="false"/>
                <w:sz w:val="18"/>
              </w:rPr>
              <w:t>data_in</w:t>
            </w:r>
          </w:p>
        </w:tc>
        <w:tc>
          <w:tcPr>
            <w:tcW w:w="722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FFFFF" w:val="clear"/>
            <w:vAlign w:val="center"/>
          </w:tcPr>
          <w:p>
            <w:pPr>
              <w:pStyle w:val="Normal"/>
              <w:spacing w:before="60" w:after="60"/>
              <w:rPr/>
            </w:pPr>
            <w:r>
              <w:rPr>
                <w:b w:val="false"/>
                <w:sz w:val="18"/>
              </w:rPr>
              <w:t>16</w:t>
            </w:r>
          </w:p>
        </w:tc>
        <w:tc>
          <w:tcPr>
            <w:tcW w:w="934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FFFFF" w:val="clear"/>
            <w:vAlign w:val="center"/>
          </w:tcPr>
          <w:p>
            <w:pPr>
              <w:pStyle w:val="Normal"/>
              <w:spacing w:before="60" w:after="60"/>
              <w:rPr/>
            </w:pPr>
            <w:r>
              <w:rPr>
                <w:b w:val="false"/>
                <w:sz w:val="18"/>
              </w:rPr>
              <w:t>Input</w:t>
            </w:r>
          </w:p>
        </w:tc>
        <w:tc>
          <w:tcPr>
            <w:tcW w:w="1226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FFFFF" w:val="clear"/>
            <w:vAlign w:val="center"/>
          </w:tcPr>
          <w:p>
            <w:pPr>
              <w:pStyle w:val="Normal"/>
              <w:spacing w:before="60" w:after="60"/>
              <w:rPr/>
            </w:pPr>
            <w:r>
              <w:rPr>
                <w:rFonts w:ascii="DejaVu Sans Mono" w:hAnsi="DejaVu Sans Mono"/>
                <w:b w:val="false"/>
                <w:sz w:val="18"/>
              </w:rPr>
              <w:t>clk</w:t>
            </w:r>
            <w:r>
              <w:rPr>
                <w:b w:val="false"/>
                <w:sz w:val="18"/>
              </w:rPr>
              <w:t xml:space="preserve"> (sync)</w:t>
            </w:r>
          </w:p>
        </w:tc>
        <w:tc>
          <w:tcPr>
            <w:tcW w:w="1296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FFFFF" w:val="clear"/>
            <w:vAlign w:val="center"/>
          </w:tcPr>
          <w:p>
            <w:pPr>
              <w:pStyle w:val="Normal"/>
              <w:spacing w:before="60" w:after="60"/>
              <w:rPr/>
            </w:pPr>
            <w:r>
              <w:rPr>
                <w:b w:val="false"/>
                <w:sz w:val="18"/>
              </w:rPr>
              <w:t>N/A</w:t>
            </w:r>
          </w:p>
        </w:tc>
        <w:tc>
          <w:tcPr>
            <w:tcW w:w="4536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FFFFF" w:val="clear"/>
            <w:vAlign w:val="center"/>
          </w:tcPr>
          <w:p>
            <w:pPr>
              <w:pStyle w:val="Normal"/>
              <w:spacing w:before="60" w:after="60"/>
              <w:rPr/>
            </w:pPr>
            <w:r>
              <w:rPr>
                <w:b w:val="false"/>
                <w:sz w:val="18"/>
              </w:rPr>
              <w:t>16-bit signed input data to be stored into the targeted register.</w:t>
            </w:r>
          </w:p>
        </w:tc>
      </w:tr>
      <w:tr>
        <w:trPr>
          <w:cantSplit/>
        </w:trPr>
        <w:tc>
          <w:tcPr>
            <w:tcW w:w="1654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4F7FA" w:val="clear"/>
            <w:vAlign w:val="center"/>
          </w:tcPr>
          <w:p>
            <w:pPr>
              <w:pStyle w:val="Normal"/>
              <w:spacing w:before="60" w:after="60"/>
              <w:rPr/>
            </w:pPr>
            <w:r>
              <w:rPr>
                <w:rFonts w:ascii="DejaVu Sans Mono" w:hAnsi="DejaVu Sans Mono"/>
                <w:b w:val="false"/>
                <w:sz w:val="18"/>
              </w:rPr>
              <w:t>rd_addr_a</w:t>
            </w:r>
          </w:p>
        </w:tc>
        <w:tc>
          <w:tcPr>
            <w:tcW w:w="722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4F7FA" w:val="clear"/>
            <w:vAlign w:val="center"/>
          </w:tcPr>
          <w:p>
            <w:pPr>
              <w:pStyle w:val="Normal"/>
              <w:spacing w:before="60" w:after="60"/>
              <w:rPr/>
            </w:pPr>
            <w:r>
              <w:rPr>
                <w:b w:val="false"/>
                <w:sz w:val="18"/>
              </w:rPr>
              <w:t>2</w:t>
            </w:r>
          </w:p>
        </w:tc>
        <w:tc>
          <w:tcPr>
            <w:tcW w:w="934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4F7FA" w:val="clear"/>
            <w:vAlign w:val="center"/>
          </w:tcPr>
          <w:p>
            <w:pPr>
              <w:pStyle w:val="Normal"/>
              <w:spacing w:before="60" w:after="60"/>
              <w:rPr/>
            </w:pPr>
            <w:r>
              <w:rPr>
                <w:b w:val="false"/>
                <w:sz w:val="18"/>
              </w:rPr>
              <w:t>Input</w:t>
            </w:r>
          </w:p>
        </w:tc>
        <w:tc>
          <w:tcPr>
            <w:tcW w:w="1226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4F7FA" w:val="clear"/>
            <w:vAlign w:val="center"/>
          </w:tcPr>
          <w:p>
            <w:pPr>
              <w:pStyle w:val="Normal"/>
              <w:spacing w:before="60" w:after="60"/>
              <w:rPr/>
            </w:pPr>
            <w:r>
              <w:rPr>
                <w:b w:val="false"/>
                <w:sz w:val="18"/>
              </w:rPr>
              <w:t>Combinational</w:t>
            </w:r>
          </w:p>
        </w:tc>
        <w:tc>
          <w:tcPr>
            <w:tcW w:w="1296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4F7FA" w:val="clear"/>
            <w:vAlign w:val="center"/>
          </w:tcPr>
          <w:p>
            <w:pPr>
              <w:pStyle w:val="Normal"/>
              <w:spacing w:before="60" w:after="60"/>
              <w:rPr/>
            </w:pPr>
            <w:r>
              <w:rPr>
                <w:b w:val="false"/>
                <w:sz w:val="18"/>
              </w:rPr>
              <w:t>N/A</w:t>
            </w:r>
          </w:p>
        </w:tc>
        <w:tc>
          <w:tcPr>
            <w:tcW w:w="4536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4F7FA" w:val="clear"/>
            <w:vAlign w:val="center"/>
          </w:tcPr>
          <w:p>
            <w:pPr>
              <w:pStyle w:val="Normal"/>
              <w:spacing w:before="60" w:after="60"/>
              <w:rPr/>
            </w:pPr>
            <w:r>
              <w:rPr>
                <w:b w:val="false"/>
                <w:sz w:val="18"/>
              </w:rPr>
              <w:t>Source address pointer for Operand A.</w:t>
            </w:r>
          </w:p>
        </w:tc>
      </w:tr>
      <w:tr>
        <w:trPr>
          <w:cantSplit/>
        </w:trPr>
        <w:tc>
          <w:tcPr>
            <w:tcW w:w="1654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FFFFF" w:val="clear"/>
            <w:vAlign w:val="center"/>
          </w:tcPr>
          <w:p>
            <w:pPr>
              <w:pStyle w:val="Normal"/>
              <w:spacing w:before="60" w:after="60"/>
              <w:rPr/>
            </w:pPr>
            <w:r>
              <w:rPr>
                <w:rFonts w:ascii="DejaVu Sans Mono" w:hAnsi="DejaVu Sans Mono"/>
                <w:b w:val="false"/>
                <w:sz w:val="18"/>
              </w:rPr>
              <w:t>rd_addr_b</w:t>
            </w:r>
          </w:p>
        </w:tc>
        <w:tc>
          <w:tcPr>
            <w:tcW w:w="722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FFFFF" w:val="clear"/>
            <w:vAlign w:val="center"/>
          </w:tcPr>
          <w:p>
            <w:pPr>
              <w:pStyle w:val="Normal"/>
              <w:spacing w:before="60" w:after="60"/>
              <w:rPr/>
            </w:pPr>
            <w:r>
              <w:rPr>
                <w:b w:val="false"/>
                <w:sz w:val="18"/>
              </w:rPr>
              <w:t>2</w:t>
            </w:r>
          </w:p>
        </w:tc>
        <w:tc>
          <w:tcPr>
            <w:tcW w:w="934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FFFFF" w:val="clear"/>
            <w:vAlign w:val="center"/>
          </w:tcPr>
          <w:p>
            <w:pPr>
              <w:pStyle w:val="Normal"/>
              <w:spacing w:before="60" w:after="60"/>
              <w:rPr/>
            </w:pPr>
            <w:r>
              <w:rPr>
                <w:b w:val="false"/>
                <w:sz w:val="18"/>
              </w:rPr>
              <w:t>Input</w:t>
            </w:r>
          </w:p>
        </w:tc>
        <w:tc>
          <w:tcPr>
            <w:tcW w:w="1226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FFFFF" w:val="clear"/>
            <w:vAlign w:val="center"/>
          </w:tcPr>
          <w:p>
            <w:pPr>
              <w:pStyle w:val="Normal"/>
              <w:spacing w:before="60" w:after="60"/>
              <w:rPr/>
            </w:pPr>
            <w:r>
              <w:rPr>
                <w:b w:val="false"/>
                <w:sz w:val="18"/>
              </w:rPr>
              <w:t>Combinational</w:t>
            </w:r>
          </w:p>
        </w:tc>
        <w:tc>
          <w:tcPr>
            <w:tcW w:w="1296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FFFFF" w:val="clear"/>
            <w:vAlign w:val="center"/>
          </w:tcPr>
          <w:p>
            <w:pPr>
              <w:pStyle w:val="Normal"/>
              <w:spacing w:before="60" w:after="60"/>
              <w:rPr/>
            </w:pPr>
            <w:r>
              <w:rPr>
                <w:b w:val="false"/>
                <w:sz w:val="18"/>
              </w:rPr>
              <w:t>N/A</w:t>
            </w:r>
          </w:p>
        </w:tc>
        <w:tc>
          <w:tcPr>
            <w:tcW w:w="4536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FFFFF" w:val="clear"/>
            <w:vAlign w:val="center"/>
          </w:tcPr>
          <w:p>
            <w:pPr>
              <w:pStyle w:val="Normal"/>
              <w:spacing w:before="60" w:after="60"/>
              <w:rPr/>
            </w:pPr>
            <w:r>
              <w:rPr>
                <w:b w:val="false"/>
                <w:sz w:val="18"/>
              </w:rPr>
              <w:t>Source address pointer for Operand B.</w:t>
            </w:r>
          </w:p>
        </w:tc>
      </w:tr>
      <w:tr>
        <w:trPr>
          <w:cantSplit/>
        </w:trPr>
        <w:tc>
          <w:tcPr>
            <w:tcW w:w="1654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4F7FA" w:val="clear"/>
            <w:vAlign w:val="center"/>
          </w:tcPr>
          <w:p>
            <w:pPr>
              <w:pStyle w:val="Normal"/>
              <w:spacing w:before="60" w:after="60"/>
              <w:rPr/>
            </w:pPr>
            <w:r>
              <w:rPr>
                <w:rFonts w:ascii="DejaVu Sans Mono" w:hAnsi="DejaVu Sans Mono"/>
                <w:b w:val="false"/>
                <w:sz w:val="18"/>
              </w:rPr>
              <w:t>opcode</w:t>
            </w:r>
          </w:p>
        </w:tc>
        <w:tc>
          <w:tcPr>
            <w:tcW w:w="722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4F7FA" w:val="clear"/>
            <w:vAlign w:val="center"/>
          </w:tcPr>
          <w:p>
            <w:pPr>
              <w:pStyle w:val="Normal"/>
              <w:spacing w:before="60" w:after="60"/>
              <w:rPr/>
            </w:pPr>
            <w:r>
              <w:rPr>
                <w:b w:val="false"/>
                <w:sz w:val="18"/>
              </w:rPr>
              <w:t>3</w:t>
            </w:r>
          </w:p>
        </w:tc>
        <w:tc>
          <w:tcPr>
            <w:tcW w:w="934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4F7FA" w:val="clear"/>
            <w:vAlign w:val="center"/>
          </w:tcPr>
          <w:p>
            <w:pPr>
              <w:pStyle w:val="Normal"/>
              <w:spacing w:before="60" w:after="60"/>
              <w:rPr/>
            </w:pPr>
            <w:r>
              <w:rPr>
                <w:b w:val="false"/>
                <w:sz w:val="18"/>
              </w:rPr>
              <w:t>Input</w:t>
            </w:r>
          </w:p>
        </w:tc>
        <w:tc>
          <w:tcPr>
            <w:tcW w:w="1226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4F7FA" w:val="clear"/>
            <w:vAlign w:val="center"/>
          </w:tcPr>
          <w:p>
            <w:pPr>
              <w:pStyle w:val="Normal"/>
              <w:spacing w:before="60" w:after="60"/>
              <w:rPr/>
            </w:pPr>
            <w:r>
              <w:rPr>
                <w:rFonts w:ascii="DejaVu Sans Mono" w:hAnsi="DejaVu Sans Mono"/>
                <w:b w:val="false"/>
                <w:sz w:val="18"/>
              </w:rPr>
              <w:t>clk</w:t>
            </w:r>
            <w:r>
              <w:rPr>
                <w:b w:val="false"/>
                <w:sz w:val="18"/>
              </w:rPr>
              <w:t xml:space="preserve"> (sync)</w:t>
            </w:r>
          </w:p>
        </w:tc>
        <w:tc>
          <w:tcPr>
            <w:tcW w:w="1296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4F7FA" w:val="clear"/>
            <w:vAlign w:val="center"/>
          </w:tcPr>
          <w:p>
            <w:pPr>
              <w:pStyle w:val="Normal"/>
              <w:spacing w:before="60" w:after="60"/>
              <w:rPr/>
            </w:pPr>
            <w:r>
              <w:rPr>
                <w:b w:val="false"/>
                <w:sz w:val="18"/>
              </w:rPr>
              <w:t>N/A</w:t>
            </w:r>
          </w:p>
        </w:tc>
        <w:tc>
          <w:tcPr>
            <w:tcW w:w="4536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4F7FA" w:val="clear"/>
            <w:vAlign w:val="center"/>
          </w:tcPr>
          <w:p>
            <w:pPr>
              <w:pStyle w:val="Normal"/>
              <w:spacing w:before="60" w:after="60"/>
              <w:rPr/>
            </w:pPr>
            <w:r>
              <w:rPr>
                <w:b w:val="false"/>
                <w:sz w:val="18"/>
              </w:rPr>
              <w:t>Operation selection code (NOP, ADD, SUB, MUL, DIV).</w:t>
            </w:r>
          </w:p>
        </w:tc>
      </w:tr>
      <w:tr>
        <w:trPr>
          <w:cantSplit/>
        </w:trPr>
        <w:tc>
          <w:tcPr>
            <w:tcW w:w="1654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FFFFF" w:val="clear"/>
            <w:vAlign w:val="center"/>
          </w:tcPr>
          <w:p>
            <w:pPr>
              <w:pStyle w:val="Normal"/>
              <w:spacing w:before="60" w:after="60"/>
              <w:rPr/>
            </w:pPr>
            <w:r>
              <w:rPr>
                <w:rFonts w:ascii="DejaVu Sans Mono" w:hAnsi="DejaVu Sans Mono"/>
                <w:b w:val="false"/>
                <w:sz w:val="18"/>
              </w:rPr>
              <w:t>op_valid</w:t>
            </w:r>
          </w:p>
        </w:tc>
        <w:tc>
          <w:tcPr>
            <w:tcW w:w="722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FFFFF" w:val="clear"/>
            <w:vAlign w:val="center"/>
          </w:tcPr>
          <w:p>
            <w:pPr>
              <w:pStyle w:val="Normal"/>
              <w:spacing w:before="60" w:after="60"/>
              <w:rPr/>
            </w:pPr>
            <w:r>
              <w:rPr>
                <w:b w:val="false"/>
                <w:sz w:val="18"/>
              </w:rPr>
              <w:t>1</w:t>
            </w:r>
          </w:p>
        </w:tc>
        <w:tc>
          <w:tcPr>
            <w:tcW w:w="934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FFFFF" w:val="clear"/>
            <w:vAlign w:val="center"/>
          </w:tcPr>
          <w:p>
            <w:pPr>
              <w:pStyle w:val="Normal"/>
              <w:spacing w:before="60" w:after="60"/>
              <w:rPr/>
            </w:pPr>
            <w:r>
              <w:rPr>
                <w:b w:val="false"/>
                <w:sz w:val="18"/>
              </w:rPr>
              <w:t>Input</w:t>
            </w:r>
          </w:p>
        </w:tc>
        <w:tc>
          <w:tcPr>
            <w:tcW w:w="1226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FFFFF" w:val="clear"/>
            <w:vAlign w:val="center"/>
          </w:tcPr>
          <w:p>
            <w:pPr>
              <w:pStyle w:val="Normal"/>
              <w:spacing w:before="60" w:after="60"/>
              <w:rPr/>
            </w:pPr>
            <w:r>
              <w:rPr>
                <w:rFonts w:ascii="DejaVu Sans Mono" w:hAnsi="DejaVu Sans Mono"/>
                <w:b w:val="false"/>
                <w:sz w:val="18"/>
              </w:rPr>
              <w:t>clk</w:t>
            </w:r>
            <w:r>
              <w:rPr>
                <w:b w:val="false"/>
                <w:sz w:val="18"/>
              </w:rPr>
              <w:t xml:space="preserve"> (sync)</w:t>
            </w:r>
          </w:p>
        </w:tc>
        <w:tc>
          <w:tcPr>
            <w:tcW w:w="1296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FFFFF" w:val="clear"/>
            <w:vAlign w:val="center"/>
          </w:tcPr>
          <w:p>
            <w:pPr>
              <w:pStyle w:val="Normal"/>
              <w:spacing w:before="60" w:after="60"/>
              <w:rPr/>
            </w:pPr>
            <w:r>
              <w:rPr>
                <w:b w:val="false"/>
                <w:sz w:val="18"/>
              </w:rPr>
              <w:t>N/A</w:t>
            </w:r>
          </w:p>
        </w:tc>
        <w:tc>
          <w:tcPr>
            <w:tcW w:w="4536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FFFFF" w:val="clear"/>
            <w:vAlign w:val="center"/>
          </w:tcPr>
          <w:p>
            <w:pPr>
              <w:pStyle w:val="Normal"/>
              <w:spacing w:before="60" w:after="60"/>
              <w:rPr/>
            </w:pPr>
            <w:r>
              <w:rPr>
                <w:b w:val="false"/>
                <w:sz w:val="18"/>
              </w:rPr>
              <w:t>Instruction trigger strobe indicating valid inputs.</w:t>
            </w:r>
          </w:p>
        </w:tc>
      </w:tr>
      <w:tr>
        <w:trPr>
          <w:cantSplit/>
        </w:trPr>
        <w:tc>
          <w:tcPr>
            <w:tcW w:w="1654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4F7FA" w:val="clear"/>
            <w:vAlign w:val="center"/>
          </w:tcPr>
          <w:p>
            <w:pPr>
              <w:pStyle w:val="Normal"/>
              <w:spacing w:before="60" w:after="60"/>
              <w:rPr/>
            </w:pPr>
            <w:r>
              <w:rPr>
                <w:rFonts w:ascii="DejaVu Sans Mono" w:hAnsi="DejaVu Sans Mono"/>
                <w:b w:val="false"/>
                <w:sz w:val="18"/>
              </w:rPr>
              <w:t>data_out</w:t>
            </w:r>
          </w:p>
        </w:tc>
        <w:tc>
          <w:tcPr>
            <w:tcW w:w="722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4F7FA" w:val="clear"/>
            <w:vAlign w:val="center"/>
          </w:tcPr>
          <w:p>
            <w:pPr>
              <w:pStyle w:val="Normal"/>
              <w:spacing w:before="60" w:after="60"/>
              <w:rPr/>
            </w:pPr>
            <w:r>
              <w:rPr>
                <w:b w:val="false"/>
                <w:sz w:val="18"/>
              </w:rPr>
              <w:t>32</w:t>
            </w:r>
          </w:p>
        </w:tc>
        <w:tc>
          <w:tcPr>
            <w:tcW w:w="934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4F7FA" w:val="clear"/>
            <w:vAlign w:val="center"/>
          </w:tcPr>
          <w:p>
            <w:pPr>
              <w:pStyle w:val="Normal"/>
              <w:spacing w:before="60" w:after="60"/>
              <w:rPr/>
            </w:pPr>
            <w:r>
              <w:rPr>
                <w:b w:val="false"/>
                <w:sz w:val="18"/>
              </w:rPr>
              <w:t>Output</w:t>
            </w:r>
          </w:p>
        </w:tc>
        <w:tc>
          <w:tcPr>
            <w:tcW w:w="1226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4F7FA" w:val="clear"/>
            <w:vAlign w:val="center"/>
          </w:tcPr>
          <w:p>
            <w:pPr>
              <w:pStyle w:val="Normal"/>
              <w:spacing w:before="60" w:after="60"/>
              <w:rPr/>
            </w:pPr>
            <w:r>
              <w:rPr>
                <w:rFonts w:ascii="DejaVu Sans Mono" w:hAnsi="DejaVu Sans Mono"/>
                <w:b w:val="false"/>
                <w:sz w:val="18"/>
              </w:rPr>
              <w:t>clk</w:t>
            </w:r>
            <w:r>
              <w:rPr>
                <w:b w:val="false"/>
                <w:sz w:val="18"/>
              </w:rPr>
              <w:t xml:space="preserve"> (sync)</w:t>
            </w:r>
          </w:p>
        </w:tc>
        <w:tc>
          <w:tcPr>
            <w:tcW w:w="1296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4F7FA" w:val="clear"/>
            <w:vAlign w:val="center"/>
          </w:tcPr>
          <w:p>
            <w:pPr>
              <w:pStyle w:val="Normal"/>
              <w:spacing w:before="60" w:after="60"/>
              <w:rPr/>
            </w:pPr>
            <w:r>
              <w:rPr>
                <w:rFonts w:ascii="DejaVu Sans Mono" w:hAnsi="DejaVu Sans Mono"/>
                <w:b w:val="false"/>
                <w:sz w:val="18"/>
              </w:rPr>
              <w:t>32'sh0000_0000</w:t>
            </w:r>
          </w:p>
        </w:tc>
        <w:tc>
          <w:tcPr>
            <w:tcW w:w="4536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4F7FA" w:val="clear"/>
            <w:vAlign w:val="center"/>
          </w:tcPr>
          <w:p>
            <w:pPr>
              <w:pStyle w:val="Normal"/>
              <w:spacing w:before="60" w:after="60"/>
              <w:rPr/>
            </w:pPr>
            <w:r>
              <w:rPr>
                <w:b w:val="false"/>
                <w:sz w:val="18"/>
              </w:rPr>
              <w:t>Registered 32-bit signed computational result.</w:t>
            </w:r>
          </w:p>
        </w:tc>
      </w:tr>
      <w:tr>
        <w:trPr>
          <w:cantSplit/>
        </w:trPr>
        <w:tc>
          <w:tcPr>
            <w:tcW w:w="1654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FFFFF" w:val="clear"/>
            <w:vAlign w:val="center"/>
          </w:tcPr>
          <w:p>
            <w:pPr>
              <w:pStyle w:val="Normal"/>
              <w:spacing w:before="60" w:after="60"/>
              <w:rPr/>
            </w:pPr>
            <w:r>
              <w:rPr>
                <w:rFonts w:ascii="DejaVu Sans Mono" w:hAnsi="DejaVu Sans Mono"/>
                <w:b w:val="false"/>
                <w:sz w:val="18"/>
              </w:rPr>
              <w:t>result_valid</w:t>
            </w:r>
          </w:p>
        </w:tc>
        <w:tc>
          <w:tcPr>
            <w:tcW w:w="722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FFFFF" w:val="clear"/>
            <w:vAlign w:val="center"/>
          </w:tcPr>
          <w:p>
            <w:pPr>
              <w:pStyle w:val="Normal"/>
              <w:spacing w:before="60" w:after="60"/>
              <w:rPr/>
            </w:pPr>
            <w:r>
              <w:rPr>
                <w:b w:val="false"/>
                <w:sz w:val="18"/>
              </w:rPr>
              <w:t>1</w:t>
            </w:r>
          </w:p>
        </w:tc>
        <w:tc>
          <w:tcPr>
            <w:tcW w:w="934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FFFFF" w:val="clear"/>
            <w:vAlign w:val="center"/>
          </w:tcPr>
          <w:p>
            <w:pPr>
              <w:pStyle w:val="Normal"/>
              <w:spacing w:before="60" w:after="60"/>
              <w:rPr/>
            </w:pPr>
            <w:r>
              <w:rPr>
                <w:b w:val="false"/>
                <w:sz w:val="18"/>
              </w:rPr>
              <w:t>Output</w:t>
            </w:r>
          </w:p>
        </w:tc>
        <w:tc>
          <w:tcPr>
            <w:tcW w:w="1226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FFFFF" w:val="clear"/>
            <w:vAlign w:val="center"/>
          </w:tcPr>
          <w:p>
            <w:pPr>
              <w:pStyle w:val="Normal"/>
              <w:spacing w:before="60" w:after="60"/>
              <w:rPr/>
            </w:pPr>
            <w:r>
              <w:rPr>
                <w:rFonts w:ascii="DejaVu Sans Mono" w:hAnsi="DejaVu Sans Mono"/>
                <w:b w:val="false"/>
                <w:sz w:val="18"/>
              </w:rPr>
              <w:t>clk</w:t>
            </w:r>
            <w:r>
              <w:rPr>
                <w:b w:val="false"/>
                <w:sz w:val="18"/>
              </w:rPr>
              <w:t xml:space="preserve"> (sync)</w:t>
            </w:r>
          </w:p>
        </w:tc>
        <w:tc>
          <w:tcPr>
            <w:tcW w:w="1296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FFFFF" w:val="clear"/>
            <w:vAlign w:val="center"/>
          </w:tcPr>
          <w:p>
            <w:pPr>
              <w:pStyle w:val="Normal"/>
              <w:spacing w:before="60" w:after="60"/>
              <w:rPr/>
            </w:pPr>
            <w:r>
              <w:rPr>
                <w:rFonts w:ascii="DejaVu Sans Mono" w:hAnsi="DejaVu Sans Mono"/>
                <w:b w:val="false"/>
                <w:sz w:val="18"/>
              </w:rPr>
              <w:t>1'b0</w:t>
            </w:r>
          </w:p>
        </w:tc>
        <w:tc>
          <w:tcPr>
            <w:tcW w:w="4536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FFFFF" w:val="clear"/>
            <w:vAlign w:val="center"/>
          </w:tcPr>
          <w:p>
            <w:pPr>
              <w:pStyle w:val="Normal"/>
              <w:spacing w:before="60" w:after="60"/>
              <w:rPr/>
            </w:pPr>
            <w:r>
              <w:rPr>
                <w:b w:val="false"/>
                <w:sz w:val="18"/>
              </w:rPr>
              <w:t xml:space="preserve">Active-high validity flag. Asserts 1 cycle after </w:t>
            </w:r>
            <w:r>
              <w:rPr>
                <w:rFonts w:ascii="DejaVu Sans Mono" w:hAnsi="DejaVu Sans Mono"/>
                <w:b w:val="false"/>
                <w:sz w:val="18"/>
              </w:rPr>
              <w:t>op_valid</w:t>
            </w:r>
            <w:r>
              <w:rPr>
                <w:b w:val="false"/>
                <w:sz w:val="18"/>
              </w:rPr>
              <w:t>.</w:t>
            </w:r>
          </w:p>
        </w:tc>
      </w:tr>
      <w:tr>
        <w:trPr>
          <w:cantSplit/>
        </w:trPr>
        <w:tc>
          <w:tcPr>
            <w:tcW w:w="1654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4F7FA" w:val="clear"/>
            <w:vAlign w:val="center"/>
          </w:tcPr>
          <w:p>
            <w:pPr>
              <w:pStyle w:val="Normal"/>
              <w:spacing w:before="60" w:after="60"/>
              <w:rPr/>
            </w:pPr>
            <w:r>
              <w:rPr>
                <w:rFonts w:ascii="DejaVu Sans Mono" w:hAnsi="DejaVu Sans Mono"/>
                <w:b w:val="false"/>
                <w:sz w:val="18"/>
              </w:rPr>
              <w:t>div_by_zero_flag</w:t>
            </w:r>
          </w:p>
        </w:tc>
        <w:tc>
          <w:tcPr>
            <w:tcW w:w="722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4F7FA" w:val="clear"/>
            <w:vAlign w:val="center"/>
          </w:tcPr>
          <w:p>
            <w:pPr>
              <w:pStyle w:val="Normal"/>
              <w:spacing w:before="60" w:after="60"/>
              <w:rPr/>
            </w:pPr>
            <w:r>
              <w:rPr>
                <w:b w:val="false"/>
                <w:sz w:val="18"/>
              </w:rPr>
              <w:t>1</w:t>
            </w:r>
          </w:p>
        </w:tc>
        <w:tc>
          <w:tcPr>
            <w:tcW w:w="934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4F7FA" w:val="clear"/>
            <w:vAlign w:val="center"/>
          </w:tcPr>
          <w:p>
            <w:pPr>
              <w:pStyle w:val="Normal"/>
              <w:spacing w:before="60" w:after="60"/>
              <w:rPr/>
            </w:pPr>
            <w:r>
              <w:rPr>
                <w:b w:val="false"/>
                <w:sz w:val="18"/>
              </w:rPr>
              <w:t>Output</w:t>
            </w:r>
          </w:p>
        </w:tc>
        <w:tc>
          <w:tcPr>
            <w:tcW w:w="1226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4F7FA" w:val="clear"/>
            <w:vAlign w:val="center"/>
          </w:tcPr>
          <w:p>
            <w:pPr>
              <w:pStyle w:val="Normal"/>
              <w:spacing w:before="60" w:after="60"/>
              <w:rPr/>
            </w:pPr>
            <w:r>
              <w:rPr>
                <w:rFonts w:ascii="DejaVu Sans Mono" w:hAnsi="DejaVu Sans Mono"/>
                <w:b w:val="false"/>
                <w:sz w:val="18"/>
              </w:rPr>
              <w:t>clk</w:t>
            </w:r>
            <w:r>
              <w:rPr>
                <w:b w:val="false"/>
                <w:sz w:val="18"/>
              </w:rPr>
              <w:t xml:space="preserve"> (sync)</w:t>
            </w:r>
          </w:p>
        </w:tc>
        <w:tc>
          <w:tcPr>
            <w:tcW w:w="1296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4F7FA" w:val="clear"/>
            <w:vAlign w:val="center"/>
          </w:tcPr>
          <w:p>
            <w:pPr>
              <w:pStyle w:val="Normal"/>
              <w:spacing w:before="60" w:after="60"/>
              <w:rPr/>
            </w:pPr>
            <w:r>
              <w:rPr>
                <w:rFonts w:ascii="DejaVu Sans Mono" w:hAnsi="DejaVu Sans Mono"/>
                <w:b w:val="false"/>
                <w:sz w:val="18"/>
              </w:rPr>
              <w:t>1'b0</w:t>
            </w:r>
          </w:p>
        </w:tc>
        <w:tc>
          <w:tcPr>
            <w:tcW w:w="4536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4F7FA" w:val="clear"/>
            <w:vAlign w:val="center"/>
          </w:tcPr>
          <w:p>
            <w:pPr>
              <w:pStyle w:val="Normal"/>
              <w:spacing w:before="60" w:after="60"/>
              <w:rPr/>
            </w:pPr>
            <w:r>
              <w:rPr>
                <w:b w:val="false"/>
                <w:sz w:val="18"/>
              </w:rPr>
              <w:t>Active-high hardware exception flag indicating zero denominator.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1"/>
        <w:rPr/>
      </w:pPr>
      <w:bookmarkStart w:id="7" w:name="__RefHeading___Toc816_2539424505"/>
      <w:bookmarkEnd w:id="7"/>
      <w:r>
        <w:rPr/>
        <w:t>2. Architectural &amp; Functional Specification</w:t>
      </w:r>
    </w:p>
    <w:p>
      <w:pPr>
        <w:pStyle w:val="Heading2"/>
        <w:rPr/>
      </w:pPr>
      <w:bookmarkStart w:id="8" w:name="__RefHeading___Toc818_2539424505"/>
      <w:bookmarkEnd w:id="8"/>
      <w:r>
        <w:rPr/>
        <w:t>2.1. Top-Level Controller &amp; Handshake Protocol (</w:t>
      </w:r>
      <w:r>
        <w:rPr>
          <w:rFonts w:ascii="DejaVu Sans Mono" w:hAnsi="DejaVu Sans Mono"/>
          <w:sz w:val="18"/>
        </w:rPr>
        <w:t>calculator_top</w:t>
      </w:r>
      <w:r>
        <w:rPr/>
        <w:t>)</w:t>
      </w:r>
    </w:p>
    <w:p>
      <w:pPr>
        <w:pStyle w:val="Normal"/>
        <w:rPr/>
      </w:pPr>
      <w:r>
        <w:rPr/>
        <w:t>The top-level module functions as a single-cycle registered pipeline coordinator:</w:t>
      </w:r>
    </w:p>
    <w:p>
      <w:pPr>
        <w:pStyle w:val="Normal"/>
        <w:rPr/>
      </w:pPr>
      <w:r>
        <w:rPr/>
        <w:t xml:space="preserve">1. </w:t>
      </w:r>
      <w:r>
        <w:rPr>
          <w:b/>
        </w:rPr>
        <w:t>Data Ingestion:</w:t>
      </w:r>
      <w:r>
        <w:rPr/>
        <w:t xml:space="preserve"> When </w:t>
      </w:r>
      <w:r>
        <w:rPr>
          <w:rFonts w:ascii="DejaVu Sans Mono" w:hAnsi="DejaVu Sans Mono"/>
          <w:sz w:val="18"/>
        </w:rPr>
        <w:t>wr_en</w:t>
      </w:r>
      <w:r>
        <w:rPr/>
        <w:t xml:space="preserve"> is asserted at the rising edge of </w:t>
      </w:r>
      <w:r>
        <w:rPr>
          <w:rFonts w:ascii="DejaVu Sans Mono" w:hAnsi="DejaVu Sans Mono"/>
          <w:sz w:val="18"/>
        </w:rPr>
        <w:t>clk</w:t>
      </w:r>
      <w:r>
        <w:rPr/>
        <w:t xml:space="preserve">, </w:t>
      </w:r>
      <w:r>
        <w:rPr>
          <w:rFonts w:ascii="DejaVu Sans Mono" w:hAnsi="DejaVu Sans Mono"/>
          <w:sz w:val="18"/>
        </w:rPr>
        <w:t>data_in</w:t>
      </w:r>
      <w:r>
        <w:rPr/>
        <w:t xml:space="preserve"> is loaded into the register indexed by </w:t>
      </w:r>
      <w:r>
        <w:rPr>
          <w:rFonts w:ascii="DejaVu Sans Mono" w:hAnsi="DejaVu Sans Mono"/>
          <w:sz w:val="18"/>
        </w:rPr>
        <w:t>wr_addr</w:t>
      </w:r>
      <w:r>
        <w:rPr/>
        <w:t>.</w:t>
      </w:r>
    </w:p>
    <w:p>
      <w:pPr>
        <w:pStyle w:val="Normal"/>
        <w:rPr/>
      </w:pPr>
      <w:r>
        <w:rPr/>
        <w:t xml:space="preserve">2. </w:t>
      </w:r>
      <w:r>
        <w:rPr>
          <w:b/>
        </w:rPr>
        <w:t>Concurrent Fetch:</w:t>
      </w:r>
      <w:r>
        <w:rPr/>
        <w:t xml:space="preserve"> Address lines </w:t>
      </w:r>
      <w:r>
        <w:rPr>
          <w:rFonts w:ascii="DejaVu Sans Mono" w:hAnsi="DejaVu Sans Mono"/>
          <w:sz w:val="18"/>
        </w:rPr>
        <w:t>rd_addr_a</w:t>
      </w:r>
      <w:r>
        <w:rPr/>
        <w:t xml:space="preserve"> and </w:t>
      </w:r>
      <w:r>
        <w:rPr>
          <w:rFonts w:ascii="DejaVu Sans Mono" w:hAnsi="DejaVu Sans Mono"/>
          <w:sz w:val="18"/>
        </w:rPr>
        <w:t>rd_addr_b</w:t>
      </w:r>
      <w:r>
        <w:rPr/>
        <w:t xml:space="preserve"> continuously route the internal stored contents directly into the ALU input ports via combinational decoding.</w:t>
      </w:r>
    </w:p>
    <w:p>
      <w:pPr>
        <w:pStyle w:val="Normal"/>
        <w:rPr/>
      </w:pPr>
      <w:r>
        <w:rPr/>
        <w:t xml:space="preserve">3. </w:t>
      </w:r>
      <w:r>
        <w:rPr>
          <w:b/>
        </w:rPr>
        <w:t>Execution &amp; Staging:</w:t>
      </w:r>
      <w:r>
        <w:rPr/>
        <w:t xml:space="preserve"> When </w:t>
      </w:r>
      <w:r>
        <w:rPr>
          <w:rFonts w:ascii="DejaVu Sans Mono" w:hAnsi="DejaVu Sans Mono"/>
          <w:sz w:val="18"/>
        </w:rPr>
        <w:t>op_valid</w:t>
      </w:r>
      <w:r>
        <w:rPr/>
        <w:t xml:space="preserve"> is asserted, </w:t>
      </w:r>
      <w:r>
        <w:rPr>
          <w:rFonts w:ascii="DejaVu Sans Mono" w:hAnsi="DejaVu Sans Mono"/>
          <w:sz w:val="18"/>
        </w:rPr>
        <w:t>alu_core</w:t>
      </w:r>
      <w:r>
        <w:rPr/>
        <w:t xml:space="preserve"> evaluates the arithmetic result combinatorially. On the next rising clock edge, </w:t>
      </w:r>
      <w:r>
        <w:rPr>
          <w:rFonts w:ascii="DejaVu Sans Mono" w:hAnsi="DejaVu Sans Mono"/>
          <w:sz w:val="18"/>
        </w:rPr>
        <w:t>data_out</w:t>
      </w:r>
      <w:r>
        <w:rPr/>
        <w:t xml:space="preserve"> latches the evaluated data, while </w:t>
      </w:r>
      <w:r>
        <w:rPr>
          <w:rFonts w:ascii="DejaVu Sans Mono" w:hAnsi="DejaVu Sans Mono"/>
          <w:sz w:val="18"/>
        </w:rPr>
        <w:t>result_valid</w:t>
      </w:r>
      <w:r>
        <w:rPr/>
        <w:t xml:space="preserve"> asserts to notify the receiver.</w:t>
      </w:r>
    </w:p>
    <w:p>
      <w:pPr>
        <w:pStyle w:val="Heading2"/>
        <w:rPr/>
      </w:pPr>
      <w:bookmarkStart w:id="9" w:name="__RefHeading___Toc820_2539424505"/>
      <w:bookmarkEnd w:id="9"/>
      <w:r>
        <w:rPr/>
        <w:t>2.2. Dual-Port Asynchronous Register Bank (</w:t>
      </w:r>
      <w:r>
        <w:rPr>
          <w:rFonts w:ascii="DejaVu Sans Mono" w:hAnsi="DejaVu Sans Mono"/>
          <w:sz w:val="18"/>
        </w:rPr>
        <w:t>storage_unit</w:t>
      </w:r>
      <w:r>
        <w:rPr/>
        <w:t>)</w:t>
      </w:r>
    </w:p>
    <w:p>
      <w:pPr>
        <w:pStyle w:val="Normal"/>
        <w:rPr/>
      </w:pPr>
      <w:r>
        <w:rPr/>
        <w:t>The storage unit contains an internal array declared as:</w:t>
      </w:r>
    </w:p>
    <w:p>
      <w:pPr>
        <w:pStyle w:val="Normal"/>
        <w:keepLines/>
        <w:rPr/>
      </w:pPr>
      <w:r>
        <w:rPr>
          <w:rFonts w:ascii="DejaVu Sans Mono" w:hAnsi="DejaVu Sans Mono"/>
          <w:sz w:val="18"/>
        </w:rPr>
        <w:t>logic signed [DATA_WIDTH-1:0] reg_bank [0:NUM_REGS-1];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Synchronous Write:</w:t>
      </w:r>
      <w:r>
        <w:rPr/>
        <w:t xml:space="preserve"> A single write port commits data strictly on </w:t>
      </w:r>
      <w:r>
        <w:rPr>
          <w:rFonts w:ascii="DejaVu Sans Mono" w:hAnsi="DejaVu Sans Mono"/>
          <w:sz w:val="18"/>
        </w:rPr>
        <w:t>posedge clk</w:t>
      </w:r>
      <w:r>
        <w:rPr/>
        <w:t xml:space="preserve"> when </w:t>
      </w:r>
      <w:r>
        <w:rPr>
          <w:rFonts w:ascii="DejaVu Sans Mono" w:hAnsi="DejaVu Sans Mono"/>
          <w:sz w:val="18"/>
        </w:rPr>
        <w:t>wr_en = 1</w:t>
      </w:r>
      <w:r>
        <w:rPr/>
        <w:t xml:space="preserve"> and </w:t>
      </w:r>
      <w:r>
        <w:rPr>
          <w:rFonts w:ascii="DejaVu Sans Mono" w:hAnsi="DejaVu Sans Mono"/>
          <w:sz w:val="18"/>
        </w:rPr>
        <w:t>rst_n = 1</w:t>
      </w:r>
      <w:r>
        <w:rPr/>
        <w:t>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Combinational Dual-Bus Read:</w:t>
      </w:r>
      <w:r>
        <w:rPr/>
        <w:t xml:space="preserve"> Two separate output buses operate independently:</w:t>
      </w:r>
    </w:p>
    <w:p>
      <w:pPr>
        <w:pStyle w:val="Normal"/>
        <w:keepLines/>
        <w:rPr/>
      </w:pPr>
      <w:r>
        <w:rPr>
          <w:rFonts w:ascii="DejaVu Sans Mono" w:hAnsi="DejaVu Sans Mono"/>
          <w:sz w:val="18"/>
        </w:rPr>
        <w:t>assign rd_data_a = reg_bank[rd_addr_a];</w:t>
        <w:br/>
        <w:t>assign rd_data_b = reg_bank[rd_addr_b];</w:t>
      </w:r>
    </w:p>
    <w:p>
      <w:pPr>
        <w:pStyle w:val="Normal"/>
        <w:rPr/>
      </w:pPr>
      <w:r>
        <w:rPr/>
        <w:t>This architecture guarantees that the execution unit receives both operands instantaneously without consuming additional clock cycles for memory read handshakes.</w:t>
      </w:r>
    </w:p>
    <w:p>
      <w:pPr>
        <w:pStyle w:val="Heading2"/>
        <w:rPr/>
      </w:pPr>
      <w:bookmarkStart w:id="10" w:name="__RefHeading___Toc822_2539424505"/>
      <w:bookmarkEnd w:id="10"/>
      <w:r>
        <w:rPr/>
        <w:t>2.3. Extended Precision Combinational ALU Core (</w:t>
      </w:r>
      <w:r>
        <w:rPr>
          <w:rFonts w:ascii="DejaVu Sans Mono" w:hAnsi="DejaVu Sans Mono"/>
          <w:sz w:val="18"/>
        </w:rPr>
        <w:t>alu_core</w:t>
      </w:r>
      <w:r>
        <w:rPr/>
        <w:t>)</w:t>
      </w:r>
    </w:p>
    <w:p>
      <w:pPr>
        <w:pStyle w:val="Normal"/>
        <w:rPr/>
      </w:pPr>
      <w:r>
        <w:rPr/>
        <w:t>The execution unit operates purely combinationally. To eliminate arithmetic truncation and handle signed 2's complement representations accurately, all 16-bit operands are sign-extended to 32 bits before operation execution.</w:t>
      </w:r>
    </w:p>
    <w:tbl>
      <w:tblPr>
        <w:tblW w:w="10368" w:type="dxa"/>
        <w:jc w:val="start"/>
        <w:tblInd w:w="79" w:type="dxa"/>
        <w:tblLayout w:type="fixed"/>
        <w:tblCellMar>
          <w:top w:w="85" w:type="dxa"/>
          <w:start w:w="85" w:type="dxa"/>
          <w:bottom w:w="85" w:type="dxa"/>
          <w:end w:w="85" w:type="dxa"/>
        </w:tblCellMar>
        <w:tblLook w:noHBand="0" w:noVBand="1" w:firstColumn="1" w:lastRow="0" w:lastColumn="0" w:firstRow="1" w:val="04a0"/>
      </w:tblPr>
      <w:tblGrid>
        <w:gridCol w:w="1224"/>
        <w:gridCol w:w="1008"/>
        <w:gridCol w:w="5614"/>
        <w:gridCol w:w="2522"/>
      </w:tblGrid>
      <w:tr>
        <w:trPr>
          <w:tblHeader w:val="true"/>
          <w:cantSplit/>
        </w:trPr>
        <w:tc>
          <w:tcPr>
            <w:tcW w:w="1224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DCE6F1" w:val="clear"/>
            <w:vAlign w:val="center"/>
          </w:tcPr>
          <w:p>
            <w:pPr>
              <w:pStyle w:val="Normal"/>
              <w:spacing w:before="60" w:after="60"/>
              <w:rPr/>
            </w:pPr>
            <w:r>
              <w:rPr>
                <w:b/>
                <w:sz w:val="18"/>
              </w:rPr>
              <w:t xml:space="preserve">Opcode </w:t>
            </w:r>
            <w:r>
              <w:rPr>
                <w:rFonts w:ascii="DejaVu Sans Mono" w:hAnsi="DejaVu Sans Mono"/>
                <w:b/>
                <w:sz w:val="18"/>
              </w:rPr>
              <w:t>[2:0]</w:t>
            </w:r>
          </w:p>
        </w:tc>
        <w:tc>
          <w:tcPr>
            <w:tcW w:w="1008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DCE6F1" w:val="clear"/>
            <w:vAlign w:val="center"/>
          </w:tcPr>
          <w:p>
            <w:pPr>
              <w:pStyle w:val="Normal"/>
              <w:spacing w:before="60" w:after="60"/>
              <w:rPr/>
            </w:pPr>
            <w:r>
              <w:rPr>
                <w:b/>
                <w:sz w:val="18"/>
              </w:rPr>
              <w:t>Mnemonic</w:t>
            </w:r>
          </w:p>
        </w:tc>
        <w:tc>
          <w:tcPr>
            <w:tcW w:w="5614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DCE6F1" w:val="clear"/>
            <w:vAlign w:val="center"/>
          </w:tcPr>
          <w:p>
            <w:pPr>
              <w:pStyle w:val="Normal"/>
              <w:spacing w:before="60" w:after="60"/>
              <w:rPr/>
            </w:pPr>
            <w:r>
              <w:rPr>
                <w:b/>
                <w:sz w:val="18"/>
              </w:rPr>
              <w:t>Hardware RTL Implementation</w:t>
            </w:r>
          </w:p>
        </w:tc>
        <w:tc>
          <w:tcPr>
            <w:tcW w:w="2522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DCE6F1" w:val="clear"/>
            <w:vAlign w:val="center"/>
          </w:tcPr>
          <w:p>
            <w:pPr>
              <w:pStyle w:val="Normal"/>
              <w:spacing w:before="60" w:after="60"/>
              <w:rPr/>
            </w:pPr>
            <w:r>
              <w:rPr>
                <w:b/>
                <w:sz w:val="18"/>
              </w:rPr>
              <w:t>Hardware Exception Trigger</w:t>
            </w:r>
          </w:p>
        </w:tc>
      </w:tr>
      <w:tr>
        <w:trPr>
          <w:cantSplit/>
        </w:trPr>
        <w:tc>
          <w:tcPr>
            <w:tcW w:w="1224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FFFFF" w:val="clear"/>
            <w:vAlign w:val="center"/>
          </w:tcPr>
          <w:p>
            <w:pPr>
              <w:pStyle w:val="Normal"/>
              <w:spacing w:before="60" w:after="60"/>
              <w:rPr/>
            </w:pPr>
            <w:r>
              <w:rPr>
                <w:rFonts w:ascii="DejaVu Sans Mono" w:hAnsi="DejaVu Sans Mono"/>
                <w:b w:val="false"/>
                <w:sz w:val="18"/>
              </w:rPr>
              <w:t>3'b000</w:t>
            </w:r>
          </w:p>
        </w:tc>
        <w:tc>
          <w:tcPr>
            <w:tcW w:w="1008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FFFFF" w:val="clear"/>
            <w:vAlign w:val="center"/>
          </w:tcPr>
          <w:p>
            <w:pPr>
              <w:pStyle w:val="Normal"/>
              <w:spacing w:before="60" w:after="60"/>
              <w:rPr/>
            </w:pPr>
            <w:r>
              <w:rPr>
                <w:b w:val="false"/>
                <w:sz w:val="18"/>
              </w:rPr>
              <w:t>NOP</w:t>
            </w:r>
          </w:p>
        </w:tc>
        <w:tc>
          <w:tcPr>
            <w:tcW w:w="5614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FFFFF" w:val="clear"/>
            <w:vAlign w:val="center"/>
          </w:tcPr>
          <w:p>
            <w:pPr>
              <w:pStyle w:val="Normal"/>
              <w:spacing w:before="60" w:after="60"/>
              <w:rPr/>
            </w:pPr>
            <w:r>
              <w:rPr>
                <w:rFonts w:ascii="DejaVu Sans Mono" w:hAnsi="DejaVu Sans Mono"/>
                <w:b w:val="false"/>
                <w:sz w:val="18"/>
              </w:rPr>
              <w:t>alu_result = 32'sh0; zero_div_err = 1'b0;</w:t>
            </w:r>
          </w:p>
        </w:tc>
        <w:tc>
          <w:tcPr>
            <w:tcW w:w="2522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FFFFF" w:val="clear"/>
            <w:vAlign w:val="center"/>
          </w:tcPr>
          <w:p>
            <w:pPr>
              <w:pStyle w:val="Normal"/>
              <w:spacing w:before="60" w:after="60"/>
              <w:rPr/>
            </w:pPr>
            <w:r>
              <w:rPr>
                <w:b w:val="false"/>
                <w:sz w:val="18"/>
              </w:rPr>
              <w:t>None</w:t>
            </w:r>
          </w:p>
        </w:tc>
      </w:tr>
      <w:tr>
        <w:trPr>
          <w:cantSplit/>
        </w:trPr>
        <w:tc>
          <w:tcPr>
            <w:tcW w:w="1224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4F7FA" w:val="clear"/>
            <w:vAlign w:val="center"/>
          </w:tcPr>
          <w:p>
            <w:pPr>
              <w:pStyle w:val="Normal"/>
              <w:spacing w:before="60" w:after="60"/>
              <w:rPr/>
            </w:pPr>
            <w:r>
              <w:rPr>
                <w:rFonts w:ascii="DejaVu Sans Mono" w:hAnsi="DejaVu Sans Mono"/>
                <w:b w:val="false"/>
                <w:sz w:val="18"/>
              </w:rPr>
              <w:t>3'b001</w:t>
            </w:r>
          </w:p>
        </w:tc>
        <w:tc>
          <w:tcPr>
            <w:tcW w:w="1008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4F7FA" w:val="clear"/>
            <w:vAlign w:val="center"/>
          </w:tcPr>
          <w:p>
            <w:pPr>
              <w:pStyle w:val="Normal"/>
              <w:spacing w:before="60" w:after="60"/>
              <w:rPr/>
            </w:pPr>
            <w:r>
              <w:rPr>
                <w:b w:val="false"/>
                <w:sz w:val="18"/>
              </w:rPr>
              <w:t>ADD</w:t>
            </w:r>
          </w:p>
        </w:tc>
        <w:tc>
          <w:tcPr>
            <w:tcW w:w="5614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4F7FA" w:val="clear"/>
            <w:vAlign w:val="center"/>
          </w:tcPr>
          <w:p>
            <w:pPr>
              <w:pStyle w:val="Normal"/>
              <w:spacing w:before="60" w:after="60"/>
              <w:rPr/>
            </w:pPr>
            <w:r>
              <w:rPr>
                <w:rFonts w:ascii="DejaVu Sans Mono" w:hAnsi="DejaVu Sans Mono"/>
                <w:b w:val="false"/>
                <w:sz w:val="18"/>
              </w:rPr>
              <w:t>alu_result = 32'(operand_a) + 32'(operand_b);</w:t>
            </w:r>
          </w:p>
        </w:tc>
        <w:tc>
          <w:tcPr>
            <w:tcW w:w="2522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4F7FA" w:val="clear"/>
            <w:vAlign w:val="center"/>
          </w:tcPr>
          <w:p>
            <w:pPr>
              <w:pStyle w:val="Normal"/>
              <w:spacing w:before="60" w:after="60"/>
              <w:rPr/>
            </w:pPr>
            <w:r>
              <w:rPr>
                <w:b w:val="false"/>
                <w:sz w:val="18"/>
              </w:rPr>
              <w:t>None</w:t>
            </w:r>
          </w:p>
        </w:tc>
      </w:tr>
      <w:tr>
        <w:trPr>
          <w:cantSplit/>
        </w:trPr>
        <w:tc>
          <w:tcPr>
            <w:tcW w:w="1224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FFFFF" w:val="clear"/>
            <w:vAlign w:val="center"/>
          </w:tcPr>
          <w:p>
            <w:pPr>
              <w:pStyle w:val="Normal"/>
              <w:spacing w:before="60" w:after="60"/>
              <w:rPr/>
            </w:pPr>
            <w:r>
              <w:rPr>
                <w:rFonts w:ascii="DejaVu Sans Mono" w:hAnsi="DejaVu Sans Mono"/>
                <w:b w:val="false"/>
                <w:sz w:val="18"/>
              </w:rPr>
              <w:t>3'b010</w:t>
            </w:r>
          </w:p>
        </w:tc>
        <w:tc>
          <w:tcPr>
            <w:tcW w:w="1008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FFFFF" w:val="clear"/>
            <w:vAlign w:val="center"/>
          </w:tcPr>
          <w:p>
            <w:pPr>
              <w:pStyle w:val="Normal"/>
              <w:spacing w:before="60" w:after="60"/>
              <w:rPr/>
            </w:pPr>
            <w:r>
              <w:rPr>
                <w:b w:val="false"/>
                <w:sz w:val="18"/>
              </w:rPr>
              <w:t>SUB</w:t>
            </w:r>
          </w:p>
        </w:tc>
        <w:tc>
          <w:tcPr>
            <w:tcW w:w="5614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FFFFF" w:val="clear"/>
            <w:vAlign w:val="center"/>
          </w:tcPr>
          <w:p>
            <w:pPr>
              <w:pStyle w:val="Normal"/>
              <w:spacing w:before="60" w:after="60"/>
              <w:rPr/>
            </w:pPr>
            <w:r>
              <w:rPr>
                <w:rFonts w:ascii="DejaVu Sans Mono" w:hAnsi="DejaVu Sans Mono"/>
                <w:b w:val="false"/>
                <w:sz w:val="18"/>
              </w:rPr>
              <w:t>alu_result = 32'(operand_a) - 32'(operand_b);</w:t>
            </w:r>
          </w:p>
        </w:tc>
        <w:tc>
          <w:tcPr>
            <w:tcW w:w="2522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FFFFF" w:val="clear"/>
            <w:vAlign w:val="center"/>
          </w:tcPr>
          <w:p>
            <w:pPr>
              <w:pStyle w:val="Normal"/>
              <w:spacing w:before="60" w:after="60"/>
              <w:rPr/>
            </w:pPr>
            <w:r>
              <w:rPr>
                <w:b w:val="false"/>
                <w:sz w:val="18"/>
              </w:rPr>
              <w:t>None</w:t>
            </w:r>
          </w:p>
        </w:tc>
      </w:tr>
      <w:tr>
        <w:trPr>
          <w:cantSplit/>
        </w:trPr>
        <w:tc>
          <w:tcPr>
            <w:tcW w:w="1224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4F7FA" w:val="clear"/>
            <w:vAlign w:val="center"/>
          </w:tcPr>
          <w:p>
            <w:pPr>
              <w:pStyle w:val="Normal"/>
              <w:spacing w:before="60" w:after="60"/>
              <w:rPr/>
            </w:pPr>
            <w:r>
              <w:rPr>
                <w:rFonts w:ascii="DejaVu Sans Mono" w:hAnsi="DejaVu Sans Mono"/>
                <w:b w:val="false"/>
                <w:sz w:val="18"/>
              </w:rPr>
              <w:t>3'b011</w:t>
            </w:r>
          </w:p>
        </w:tc>
        <w:tc>
          <w:tcPr>
            <w:tcW w:w="1008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4F7FA" w:val="clear"/>
            <w:vAlign w:val="center"/>
          </w:tcPr>
          <w:p>
            <w:pPr>
              <w:pStyle w:val="Normal"/>
              <w:spacing w:before="60" w:after="60"/>
              <w:rPr/>
            </w:pPr>
            <w:r>
              <w:rPr>
                <w:b w:val="false"/>
                <w:sz w:val="18"/>
              </w:rPr>
              <w:t>MUL</w:t>
            </w:r>
          </w:p>
        </w:tc>
        <w:tc>
          <w:tcPr>
            <w:tcW w:w="5614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4F7FA" w:val="clear"/>
            <w:vAlign w:val="center"/>
          </w:tcPr>
          <w:p>
            <w:pPr>
              <w:pStyle w:val="Normal"/>
              <w:spacing w:before="60" w:after="60"/>
              <w:rPr/>
            </w:pPr>
            <w:r>
              <w:rPr>
                <w:rFonts w:ascii="DejaVu Sans Mono" w:hAnsi="DejaVu Sans Mono"/>
                <w:b w:val="false"/>
                <w:sz w:val="18"/>
              </w:rPr>
              <w:t>alu_result = 32'(operand_a) * 32'(operand_b);</w:t>
            </w:r>
          </w:p>
        </w:tc>
        <w:tc>
          <w:tcPr>
            <w:tcW w:w="2522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4F7FA" w:val="clear"/>
            <w:vAlign w:val="center"/>
          </w:tcPr>
          <w:p>
            <w:pPr>
              <w:pStyle w:val="Normal"/>
              <w:spacing w:before="60" w:after="60"/>
              <w:rPr/>
            </w:pPr>
            <w:r>
              <w:rPr>
                <w:b w:val="false"/>
                <w:sz w:val="18"/>
              </w:rPr>
              <w:t>None (Mapped to FPGA DSP blocks)</w:t>
            </w:r>
          </w:p>
        </w:tc>
      </w:tr>
      <w:tr>
        <w:trPr>
          <w:cantSplit/>
        </w:trPr>
        <w:tc>
          <w:tcPr>
            <w:tcW w:w="1224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FFFFF" w:val="clear"/>
            <w:vAlign w:val="center"/>
          </w:tcPr>
          <w:p>
            <w:pPr>
              <w:pStyle w:val="Normal"/>
              <w:spacing w:before="60" w:after="60"/>
              <w:rPr/>
            </w:pPr>
            <w:r>
              <w:rPr>
                <w:rFonts w:ascii="DejaVu Sans Mono" w:hAnsi="DejaVu Sans Mono"/>
                <w:b w:val="false"/>
                <w:sz w:val="18"/>
              </w:rPr>
              <w:t>3'b100</w:t>
            </w:r>
          </w:p>
        </w:tc>
        <w:tc>
          <w:tcPr>
            <w:tcW w:w="1008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FFFFF" w:val="clear"/>
            <w:vAlign w:val="center"/>
          </w:tcPr>
          <w:p>
            <w:pPr>
              <w:pStyle w:val="Normal"/>
              <w:spacing w:before="60" w:after="60"/>
              <w:rPr/>
            </w:pPr>
            <w:r>
              <w:rPr>
                <w:b w:val="false"/>
                <w:sz w:val="18"/>
              </w:rPr>
              <w:t>DIV</w:t>
            </w:r>
          </w:p>
        </w:tc>
        <w:tc>
          <w:tcPr>
            <w:tcW w:w="5614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FFFFF" w:val="clear"/>
            <w:vAlign w:val="center"/>
          </w:tcPr>
          <w:p>
            <w:pPr>
              <w:pStyle w:val="Normal"/>
              <w:spacing w:before="60" w:after="60"/>
              <w:rPr/>
            </w:pPr>
            <w:r>
              <w:rPr>
                <w:rFonts w:ascii="DejaVu Sans Mono" w:hAnsi="DejaVu Sans Mono"/>
                <w:b w:val="false"/>
                <w:sz w:val="18"/>
              </w:rPr>
              <w:t>alu_result = (operand_b == 0) ? 0 : 32'(operand_a / operand_b);</w:t>
            </w:r>
          </w:p>
        </w:tc>
        <w:tc>
          <w:tcPr>
            <w:tcW w:w="2522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FFFFF" w:val="clear"/>
            <w:vAlign w:val="center"/>
          </w:tcPr>
          <w:p>
            <w:pPr>
              <w:pStyle w:val="Normal"/>
              <w:spacing w:before="60" w:after="60"/>
              <w:rPr/>
            </w:pPr>
            <w:r>
              <w:rPr>
                <w:rFonts w:ascii="DejaVu Sans Mono" w:hAnsi="DejaVu Sans Mono"/>
                <w:b w:val="false"/>
                <w:sz w:val="18"/>
              </w:rPr>
              <w:t>operand_b == 16'sh0000</w:t>
            </w:r>
          </w:p>
        </w:tc>
      </w:tr>
      <w:tr>
        <w:trPr>
          <w:cantSplit/>
        </w:trPr>
        <w:tc>
          <w:tcPr>
            <w:tcW w:w="1224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4F7FA" w:val="clear"/>
            <w:vAlign w:val="center"/>
          </w:tcPr>
          <w:p>
            <w:pPr>
              <w:pStyle w:val="Normal"/>
              <w:spacing w:before="60" w:after="60"/>
              <w:rPr/>
            </w:pPr>
            <w:r>
              <w:rPr>
                <w:b w:val="false"/>
                <w:sz w:val="18"/>
              </w:rPr>
              <w:t>Others</w:t>
            </w:r>
          </w:p>
        </w:tc>
        <w:tc>
          <w:tcPr>
            <w:tcW w:w="1008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4F7FA" w:val="clear"/>
            <w:vAlign w:val="center"/>
          </w:tcPr>
          <w:p>
            <w:pPr>
              <w:pStyle w:val="Normal"/>
              <w:spacing w:before="60" w:after="60"/>
              <w:rPr/>
            </w:pPr>
            <w:r>
              <w:rPr>
                <w:b w:val="false"/>
                <w:sz w:val="18"/>
              </w:rPr>
              <w:t>DEFAULT</w:t>
            </w:r>
          </w:p>
        </w:tc>
        <w:tc>
          <w:tcPr>
            <w:tcW w:w="5614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4F7FA" w:val="clear"/>
            <w:vAlign w:val="center"/>
          </w:tcPr>
          <w:p>
            <w:pPr>
              <w:pStyle w:val="Normal"/>
              <w:spacing w:before="60" w:after="60"/>
              <w:rPr/>
            </w:pPr>
            <w:r>
              <w:rPr>
                <w:rFonts w:ascii="DejaVu Sans Mono" w:hAnsi="DejaVu Sans Mono"/>
                <w:b w:val="false"/>
                <w:sz w:val="18"/>
              </w:rPr>
              <w:t>alu_result = 32'sh0; zero_div_err = 1'b0;</w:t>
            </w:r>
          </w:p>
        </w:tc>
        <w:tc>
          <w:tcPr>
            <w:tcW w:w="2522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4F7FA" w:val="clear"/>
            <w:vAlign w:val="center"/>
          </w:tcPr>
          <w:p>
            <w:pPr>
              <w:pStyle w:val="Normal"/>
              <w:spacing w:before="60" w:after="60"/>
              <w:rPr/>
            </w:pPr>
            <w:r>
              <w:rPr>
                <w:b w:val="false"/>
                <w:sz w:val="18"/>
              </w:rPr>
              <w:t>Safe State Clamping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2"/>
        <w:rPr/>
      </w:pPr>
      <w:bookmarkStart w:id="11" w:name="__RefHeading___Toc824_2539424505"/>
      <w:bookmarkEnd w:id="11"/>
      <w:r>
        <w:rPr/>
        <w:t>2.4. Zero-Division Hardware Exception Protection</w:t>
      </w:r>
    </w:p>
    <w:p>
      <w:pPr>
        <w:pStyle w:val="Normal"/>
        <w:rPr/>
      </w:pPr>
      <w:r>
        <w:rPr/>
        <w:t>When an operation requests division (</w:t>
      </w:r>
      <w:r>
        <w:rPr>
          <w:rFonts w:ascii="DejaVu Sans Mono" w:hAnsi="DejaVu Sans Mono"/>
          <w:sz w:val="18"/>
        </w:rPr>
        <w:t>opcode = 3'b100</w:t>
      </w:r>
      <w:r>
        <w:rPr/>
        <w:t xml:space="preserve">) and </w:t>
      </w:r>
      <w:r>
        <w:rPr>
          <w:rFonts w:ascii="DejaVu Sans Mono" w:hAnsi="DejaVu Sans Mono"/>
          <w:sz w:val="18"/>
        </w:rPr>
        <w:t>operand_b</w:t>
      </w:r>
      <w:r>
        <w:rPr/>
        <w:t xml:space="preserve"> equals zero:</w:t>
      </w:r>
    </w:p>
    <w:p>
      <w:pPr>
        <w:pStyle w:val="Normal"/>
        <w:rPr/>
      </w:pPr>
      <w:r>
        <w:rPr/>
        <w:t xml:space="preserve">1. The combinational comparator immediately drives </w:t>
      </w:r>
      <w:r>
        <w:rPr>
          <w:rFonts w:ascii="DejaVu Sans Mono" w:hAnsi="DejaVu Sans Mono"/>
          <w:sz w:val="18"/>
        </w:rPr>
        <w:t>zero_div_err = 1'b1</w:t>
      </w:r>
      <w:r>
        <w:rPr/>
        <w:t xml:space="preserve"> and forces </w:t>
      </w:r>
      <w:r>
        <w:rPr>
          <w:rFonts w:ascii="DejaVu Sans Mono" w:hAnsi="DejaVu Sans Mono"/>
          <w:sz w:val="18"/>
        </w:rPr>
        <w:t>alu_result = 32'sh0</w:t>
      </w:r>
      <w:r>
        <w:rPr/>
        <w:t>.</w:t>
      </w:r>
    </w:p>
    <w:p>
      <w:pPr>
        <w:pStyle w:val="Normal"/>
        <w:rPr/>
      </w:pPr>
      <w:r>
        <w:rPr/>
        <w:t xml:space="preserve">2. At the subsequent rising clock edge, </w:t>
      </w:r>
      <w:r>
        <w:rPr>
          <w:rFonts w:ascii="DejaVu Sans Mono" w:hAnsi="DejaVu Sans Mono"/>
          <w:sz w:val="18"/>
        </w:rPr>
        <w:t>calculator_top</w:t>
      </w:r>
      <w:r>
        <w:rPr/>
        <w:t xml:space="preserve"> synchronously asserts </w:t>
      </w:r>
      <w:r>
        <w:rPr>
          <w:rFonts w:ascii="DejaVu Sans Mono" w:hAnsi="DejaVu Sans Mono"/>
          <w:sz w:val="18"/>
        </w:rPr>
        <w:t>div_by_zero_flag &lt;= 1'b1</w:t>
      </w:r>
      <w:r>
        <w:rPr/>
        <w:t xml:space="preserve"> and latches </w:t>
      </w:r>
      <w:r>
        <w:rPr>
          <w:rFonts w:ascii="DejaVu Sans Mono" w:hAnsi="DejaVu Sans Mono"/>
          <w:sz w:val="18"/>
        </w:rPr>
        <w:t>data_out &lt;= 32'sh0000_0000</w:t>
      </w:r>
      <w:r>
        <w:rPr/>
        <w:t>.</w:t>
      </w:r>
    </w:p>
    <w:p>
      <w:pPr>
        <w:pStyle w:val="Normal"/>
        <w:rPr/>
      </w:pPr>
      <w:r>
        <w:rPr/>
        <w:t>3. This fail-safe mechanism prevents hardware deadlock and ensures deterministic behavior across all corner cases.</w:t>
      </w:r>
    </w:p>
    <w:p>
      <w:pPr>
        <w:pStyle w:val="Heading1"/>
        <w:rPr/>
      </w:pPr>
      <w:bookmarkStart w:id="12" w:name="__RefHeading___Toc826_2539424505"/>
      <w:bookmarkEnd w:id="12"/>
      <w:r>
        <w:rPr/>
        <w:t>3. Verification Strategy &amp; Testbench Framework</w:t>
      </w:r>
    </w:p>
    <w:p>
      <w:pPr>
        <w:pStyle w:val="Heading2"/>
        <w:rPr/>
      </w:pPr>
      <w:bookmarkStart w:id="13" w:name="__RefHeading___Toc828_2539424505"/>
      <w:bookmarkEnd w:id="13"/>
      <w:r>
        <w:rPr/>
        <w:t>3.1. Self-Checking Verification Architecture</w:t>
      </w:r>
    </w:p>
    <w:p>
      <w:pPr>
        <w:pStyle w:val="Normal"/>
        <w:rPr/>
      </w:pPr>
      <w:r>
        <w:rPr/>
        <w:t>The test environment (</w:t>
      </w:r>
      <w:r>
        <w:rPr>
          <w:rFonts w:ascii="DejaVu Sans Mono" w:hAnsi="DejaVu Sans Mono"/>
          <w:sz w:val="18"/>
        </w:rPr>
        <w:t>tb/tb_calculator_top.sv</w:t>
      </w:r>
      <w:r>
        <w:rPr/>
        <w:t>) applies modern verification methodologies utilizing reusable automatic tasks and assertions:</w:t>
      </w:r>
    </w:p>
    <w:p>
      <w:pPr>
        <w:pStyle w:val="ListBullet"/>
        <w:numPr>
          <w:ilvl w:val="0"/>
          <w:numId w:val="1"/>
        </w:numPr>
        <w:rPr/>
      </w:pPr>
      <w:r>
        <w:rPr>
          <w:rFonts w:ascii="DejaVu Sans Mono" w:hAnsi="DejaVu Sans Mono"/>
          <w:sz w:val="18"/>
        </w:rPr>
        <w:t>apply_reset()</w:t>
      </w:r>
      <w:r>
        <w:rPr/>
        <w:t>: Enforces asynchronous reset assertion for 3 clock periods and verifies register bank initialization.</w:t>
      </w:r>
    </w:p>
    <w:p>
      <w:pPr>
        <w:pStyle w:val="ListBullet"/>
        <w:numPr>
          <w:ilvl w:val="0"/>
          <w:numId w:val="1"/>
        </w:numPr>
        <w:rPr/>
      </w:pPr>
      <w:r>
        <w:rPr>
          <w:rFonts w:ascii="DejaVu Sans Mono" w:hAnsi="DejaVu Sans Mono"/>
          <w:sz w:val="18"/>
        </w:rPr>
        <w:t>write_reg(addr, val)</w:t>
      </w:r>
      <w:r>
        <w:rPr/>
        <w:t xml:space="preserve">: Drives data ingestion cleanly at </w:t>
      </w:r>
      <w:r>
        <w:rPr>
          <w:rFonts w:ascii="DejaVu Sans Mono" w:hAnsi="DejaVu Sans Mono"/>
          <w:sz w:val="18"/>
        </w:rPr>
        <w:t>negedge clk</w:t>
      </w:r>
      <w:r>
        <w:rPr/>
        <w:t xml:space="preserve"> with setup/hold margin protection.</w:t>
      </w:r>
    </w:p>
    <w:p>
      <w:pPr>
        <w:pStyle w:val="ListBullet"/>
        <w:numPr>
          <w:ilvl w:val="0"/>
          <w:numId w:val="1"/>
        </w:numPr>
        <w:rPr/>
      </w:pPr>
      <w:r>
        <w:rPr>
          <w:rFonts w:ascii="DejaVu Sans Mono" w:hAnsi="DejaVu Sans Mono"/>
          <w:sz w:val="18"/>
        </w:rPr>
        <w:t>run_op(op, a, b, exp_out, exp_err)</w:t>
      </w:r>
      <w:r>
        <w:rPr/>
        <w:t>: Stimulates arithmetic instructions, measures pipeline latency, and checks actual responses against a golden reference model using SystemVerilog assertions:</w:t>
      </w:r>
    </w:p>
    <w:p>
      <w:pPr>
        <w:pStyle w:val="Normal"/>
        <w:keepLines/>
        <w:rPr/>
      </w:pPr>
      <w:r>
        <w:rPr>
          <w:rFonts w:ascii="DejaVu Sans Mono" w:hAnsi="DejaVu Sans Mono"/>
          <w:sz w:val="18"/>
        </w:rPr>
        <w:t>assert (result_valid === 1'b1) else $error("[FAIL] Valid deasserted!");</w:t>
        <w:br/>
        <w:t>assert (data_out === exp_out &amp;&amp; div_by_zero_flag === exp_err)</w:t>
        <w:br/>
        <w:t xml:space="preserve">    else $error("[FAIL] Result mismatch! Expected: %0d, Got: %0d", exp_out, data_out);</w:t>
      </w:r>
    </w:p>
    <w:p>
      <w:pPr>
        <w:pStyle w:val="Heading2"/>
        <w:rPr/>
      </w:pPr>
      <w:bookmarkStart w:id="14" w:name="__RefHeading___Toc830_2539424505"/>
      <w:bookmarkEnd w:id="14"/>
      <w:r>
        <w:rPr/>
        <w:t>3.2. Stimulus Generation &amp; Corner Case Strategy</w:t>
      </w:r>
    </w:p>
    <w:p>
      <w:pPr>
        <w:pStyle w:val="Normal"/>
        <w:rPr/>
      </w:pPr>
      <w:r>
        <w:rPr/>
        <w:t xml:space="preserve">The test suite in </w:t>
      </w:r>
      <w:r>
        <w:rPr>
          <w:rFonts w:ascii="DejaVu Sans Mono" w:hAnsi="DejaVu Sans Mono"/>
          <w:sz w:val="18"/>
        </w:rPr>
        <w:t>tc/tc_basic_arithmetic.sv</w:t>
      </w:r>
      <w:r>
        <w:rPr/>
        <w:t xml:space="preserve"> is divided into two distinct functional phases: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Phase 1: Datapath Toggle Exhaustion:</w:t>
      </w:r>
      <w:r>
        <w:rPr/>
        <w:t xml:space="preserve"> Alternating bit-patterns (</w:t>
      </w:r>
      <w:r>
        <w:rPr>
          <w:rFonts w:ascii="DejaVu Sans Mono" w:hAnsi="DejaVu Sans Mono"/>
          <w:sz w:val="18"/>
        </w:rPr>
        <w:t>0x5555</w:t>
      </w:r>
      <w:r>
        <w:rPr/>
        <w:t xml:space="preserve">, </w:t>
      </w:r>
      <w:r>
        <w:rPr>
          <w:rFonts w:ascii="DejaVu Sans Mono" w:hAnsi="DejaVu Sans Mono"/>
          <w:sz w:val="18"/>
        </w:rPr>
        <w:t>0xAAAA</w:t>
      </w:r>
      <w:r>
        <w:rPr/>
        <w:t xml:space="preserve">, </w:t>
      </w:r>
      <w:r>
        <w:rPr>
          <w:rFonts w:ascii="DejaVu Sans Mono" w:hAnsi="DejaVu Sans Mono"/>
          <w:sz w:val="18"/>
        </w:rPr>
        <w:t>0xFFFF</w:t>
      </w:r>
      <w:r>
        <w:rPr/>
        <w:t xml:space="preserve">, </w:t>
      </w:r>
      <w:r>
        <w:rPr>
          <w:rFonts w:ascii="DejaVu Sans Mono" w:hAnsi="DejaVu Sans Mono"/>
          <w:sz w:val="18"/>
        </w:rPr>
        <w:t>0x0000</w:t>
      </w:r>
      <w:r>
        <w:rPr/>
        <w:t>) are sequentially loaded into registers R0-R3. This guarantees that every individual bit wire on both read multiplexers transitions through both 0 → 1 and 1 → 0 states.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Phase 2: Comprehensive Arithmetic &amp; Exception Verification:</w:t>
      </w:r>
      <w:r>
        <w:rPr/>
        <w:t xml:space="preserve"> Evaluates signed combinations including:</w:t>
      </w:r>
    </w:p>
    <w:p>
      <w:pPr>
        <w:pStyle w:val="ListBullet"/>
        <w:numPr>
          <w:ilvl w:val="0"/>
          <w:numId w:val="1"/>
        </w:numPr>
        <w:rPr/>
      </w:pPr>
      <w:r>
        <w:rPr/>
        <w:t>Addition: 100 + (-25) = 75</w:t>
      </w:r>
    </w:p>
    <w:p>
      <w:pPr>
        <w:pStyle w:val="ListBullet"/>
        <w:numPr>
          <w:ilvl w:val="0"/>
          <w:numId w:val="1"/>
        </w:numPr>
        <w:rPr/>
      </w:pPr>
      <w:r>
        <w:rPr/>
        <w:t>Subtraction: 100 - (-25) = 125</w:t>
      </w:r>
    </w:p>
    <w:p>
      <w:pPr>
        <w:pStyle w:val="ListBullet"/>
        <w:numPr>
          <w:ilvl w:val="0"/>
          <w:numId w:val="1"/>
        </w:numPr>
        <w:rPr/>
      </w:pPr>
      <w:r>
        <w:rPr/>
        <w:t>Multiplication: (-25) × 300 = -7500 (32-bit product generation)</w:t>
      </w:r>
    </w:p>
    <w:p>
      <w:pPr>
        <w:pStyle w:val="ListBullet"/>
        <w:numPr>
          <w:ilvl w:val="0"/>
          <w:numId w:val="1"/>
        </w:numPr>
        <w:rPr/>
      </w:pPr>
      <w:r>
        <w:rPr/>
        <w:t>Division: 100 / (-25) = -4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Division by Zero: 100 / 0 = 0 with </w:t>
      </w:r>
      <w:r>
        <w:rPr>
          <w:rFonts w:ascii="DejaVu Sans Mono" w:hAnsi="DejaVu Sans Mono"/>
          <w:sz w:val="18"/>
        </w:rPr>
        <w:t>div_by_zero_flag = 1</w:t>
      </w:r>
    </w:p>
    <w:p>
      <w:pPr>
        <w:pStyle w:val="Heading2"/>
        <w:rPr/>
      </w:pPr>
      <w:bookmarkStart w:id="15" w:name="__RefHeading___Toc832_2539424505"/>
      <w:bookmarkEnd w:id="15"/>
      <w:r>
        <w:rPr/>
        <w:t>3.3. QuestaSim Timing Waveform Verification</w:t>
      </w:r>
    </w:p>
    <w:p>
      <w:pPr>
        <w:pStyle w:val="Normal"/>
        <w:rPr/>
      </w:pPr>
      <w:r>
        <w:rPr/>
        <w:t xml:space="preserve">The timing diagram illustrates synchronous register ingestion, dual-operand fetch, back-to-back arithmetic execution, and proper 1-cycle pipeline delay on </w:t>
      </w:r>
      <w:r>
        <w:rPr>
          <w:rFonts w:ascii="DejaVu Sans Mono" w:hAnsi="DejaVu Sans Mono"/>
          <w:sz w:val="18"/>
        </w:rPr>
        <w:t>result_valid</w:t>
      </w:r>
      <w:r>
        <w:rPr/>
        <w:t>.</w:t>
      </w:r>
    </w:p>
    <w:p>
      <w:pPr>
        <w:pStyle w:val="Normal"/>
        <w:keepNext w:val="true"/>
        <w:rPr/>
      </w:pPr>
      <w:r>
        <w:rPr/>
      </w:r>
    </w:p>
    <w:tbl>
      <w:tblPr>
        <w:tblW w:w="10368" w:type="dxa"/>
        <w:jc w:val="start"/>
        <w:tblInd w:w="79" w:type="dxa"/>
        <w:tblLayout w:type="fixed"/>
        <w:tblCellMar>
          <w:top w:w="85" w:type="dxa"/>
          <w:start w:w="85" w:type="dxa"/>
          <w:bottom w:w="85" w:type="dxa"/>
          <w:end w:w="85" w:type="dxa"/>
        </w:tblCellMar>
        <w:tblLook w:noHBand="0" w:noVBand="1" w:firstColumn="1" w:lastRow="0" w:lastColumn="0" w:firstRow="1" w:val="04a0"/>
      </w:tblPr>
      <w:tblGrid>
        <w:gridCol w:w="10368"/>
      </w:tblGrid>
      <w:tr>
        <w:trPr>
          <w:tblHeader w:val="true"/>
          <w:cantSplit/>
        </w:trPr>
        <w:tc>
          <w:tcPr>
            <w:tcW w:w="10368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FFFFF" w:val="clear"/>
            <w:vAlign w:val="center"/>
          </w:tcPr>
          <w:p>
            <w:pPr>
              <w:pStyle w:val="Normal"/>
              <w:spacing w:before="60" w:after="60"/>
              <w:jc w:val="center"/>
              <w:rPr>
                <w:rFonts w:ascii="Calibri" w:hAnsi="Calibri"/>
                <w:b/>
                <w:color w:val="646464"/>
                <w:sz w:val="18"/>
              </w:rPr>
            </w:pPr>
            <w:r>
              <w:rPr>
                <w:b/>
                <w:color w:val="646464"/>
                <w:sz w:val="18"/>
              </w:rPr>
              <w:drawing>
                <wp:anchor distT="0" distB="0" distL="0" distR="0" simplePos="0" relativeHeight="3" behindDoc="0" locked="0" layoutInCell="0" allowOverlap="1">
                  <wp:simplePos x="0" y="0"/>
                  <wp:positionH relativeFrom="margin">
                    <wp:align>center</wp:align>
                  </wp:positionH>
                  <wp:positionV relativeFrom="paragraph">
                    <wp:posOffset>635</wp:posOffset>
                  </wp:positionV>
                  <wp:extent cx="6475730" cy="4187825"/>
                  <wp:effectExtent l="0" t="0" r="0" b="0"/>
                  <wp:wrapSquare wrapText="largest"/>
                  <wp:docPr id="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5730" cy="41878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Caption"/>
        <w:jc w:val="center"/>
        <w:rPr/>
      </w:pPr>
      <w:r>
        <w:rPr/>
        <w:t>Figure 2: QuestaSim Simulation Timing Waveform</w:t>
      </w:r>
    </w:p>
    <w:p>
      <w:pPr>
        <w:pStyle w:val="Heading1"/>
        <w:rPr/>
      </w:pPr>
      <w:bookmarkStart w:id="16" w:name="__RefHeading___Toc834_2539424505"/>
      <w:bookmarkEnd w:id="16"/>
      <w:r>
        <w:rPr/>
        <w:t>4. Coverage Analysis &amp; Quality Metrics</w:t>
      </w:r>
    </w:p>
    <w:p>
      <w:pPr>
        <w:pStyle w:val="Heading2"/>
        <w:rPr/>
      </w:pPr>
      <w:bookmarkStart w:id="17" w:name="__RefHeading___Toc836_2539424505"/>
      <w:bookmarkEnd w:id="17"/>
      <w:r>
        <w:rPr/>
        <w:t>4.1. Coverage Closure Results (100% Target vs. Actual)</w:t>
      </w:r>
    </w:p>
    <w:p>
      <w:pPr>
        <w:pStyle w:val="Normal"/>
        <w:rPr/>
      </w:pPr>
      <w:r>
        <w:rPr/>
        <w:t xml:space="preserve">The verification suite achieved </w:t>
      </w:r>
      <w:r>
        <w:rPr>
          <w:b/>
        </w:rPr>
        <w:t>100.00% Coverage Closure</w:t>
      </w:r>
      <w:r>
        <w:rPr/>
        <w:t xml:space="preserve"> across all structural and functional domains.</w:t>
      </w:r>
    </w:p>
    <w:tbl>
      <w:tblPr>
        <w:tblW w:w="10368" w:type="dxa"/>
        <w:jc w:val="start"/>
        <w:tblInd w:w="79" w:type="dxa"/>
        <w:tblLayout w:type="fixed"/>
        <w:tblCellMar>
          <w:top w:w="85" w:type="dxa"/>
          <w:start w:w="85" w:type="dxa"/>
          <w:bottom w:w="85" w:type="dxa"/>
          <w:end w:w="85" w:type="dxa"/>
        </w:tblCellMar>
        <w:tblLook w:noHBand="0" w:noVBand="1" w:firstColumn="1" w:lastRow="0" w:lastColumn="0" w:firstRow="1" w:val="04a0"/>
      </w:tblPr>
      <w:tblGrid>
        <w:gridCol w:w="2158"/>
        <w:gridCol w:w="1874"/>
        <w:gridCol w:w="936"/>
        <w:gridCol w:w="934"/>
        <w:gridCol w:w="866"/>
        <w:gridCol w:w="3600"/>
      </w:tblGrid>
      <w:tr>
        <w:trPr>
          <w:tblHeader w:val="true"/>
          <w:cantSplit/>
        </w:trPr>
        <w:tc>
          <w:tcPr>
            <w:tcW w:w="2158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DCE6F1" w:val="clear"/>
            <w:vAlign w:val="center"/>
          </w:tcPr>
          <w:p>
            <w:pPr>
              <w:pStyle w:val="Normal"/>
              <w:spacing w:before="60" w:after="60"/>
              <w:rPr/>
            </w:pPr>
            <w:r>
              <w:rPr>
                <w:b/>
                <w:sz w:val="18"/>
              </w:rPr>
              <w:t>Coverage Metric</w:t>
            </w:r>
          </w:p>
        </w:tc>
        <w:tc>
          <w:tcPr>
            <w:tcW w:w="1874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DCE6F1" w:val="clear"/>
            <w:vAlign w:val="center"/>
          </w:tcPr>
          <w:p>
            <w:pPr>
              <w:pStyle w:val="Normal"/>
              <w:spacing w:before="60" w:after="60"/>
              <w:rPr/>
            </w:pPr>
            <w:r>
              <w:rPr>
                <w:b/>
                <w:sz w:val="18"/>
              </w:rPr>
              <w:t>Industry Standard Target</w:t>
            </w:r>
          </w:p>
        </w:tc>
        <w:tc>
          <w:tcPr>
            <w:tcW w:w="936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DCE6F1" w:val="clear"/>
            <w:vAlign w:val="center"/>
          </w:tcPr>
          <w:p>
            <w:pPr>
              <w:pStyle w:val="Normal"/>
              <w:spacing w:before="60" w:after="60"/>
              <w:rPr/>
            </w:pPr>
            <w:r>
              <w:rPr>
                <w:b/>
                <w:sz w:val="18"/>
              </w:rPr>
              <w:t>Total Bins</w:t>
            </w:r>
          </w:p>
        </w:tc>
        <w:tc>
          <w:tcPr>
            <w:tcW w:w="934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DCE6F1" w:val="clear"/>
            <w:vAlign w:val="center"/>
          </w:tcPr>
          <w:p>
            <w:pPr>
              <w:pStyle w:val="Normal"/>
              <w:spacing w:before="60" w:after="60"/>
              <w:rPr/>
            </w:pPr>
            <w:r>
              <w:rPr>
                <w:b/>
                <w:sz w:val="18"/>
              </w:rPr>
              <w:t>Bins Hit</w:t>
            </w:r>
          </w:p>
        </w:tc>
        <w:tc>
          <w:tcPr>
            <w:tcW w:w="866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DCE6F1" w:val="clear"/>
            <w:vAlign w:val="center"/>
          </w:tcPr>
          <w:p>
            <w:pPr>
              <w:pStyle w:val="Normal"/>
              <w:spacing w:before="60" w:after="60"/>
              <w:rPr/>
            </w:pPr>
            <w:r>
              <w:rPr>
                <w:b/>
                <w:sz w:val="18"/>
              </w:rPr>
              <w:t>Misses</w:t>
            </w:r>
          </w:p>
        </w:tc>
        <w:tc>
          <w:tcPr>
            <w:tcW w:w="3600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DCE6F1" w:val="clear"/>
            <w:vAlign w:val="center"/>
          </w:tcPr>
          <w:p>
            <w:pPr>
              <w:pStyle w:val="Normal"/>
              <w:spacing w:before="60" w:after="60"/>
              <w:rPr/>
            </w:pPr>
            <w:r>
              <w:rPr>
                <w:b/>
                <w:sz w:val="18"/>
              </w:rPr>
              <w:t>Final Achievement</w:t>
            </w:r>
          </w:p>
        </w:tc>
      </w:tr>
      <w:tr>
        <w:trPr>
          <w:cantSplit/>
        </w:trPr>
        <w:tc>
          <w:tcPr>
            <w:tcW w:w="2158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FFFFF" w:val="clear"/>
            <w:vAlign w:val="center"/>
          </w:tcPr>
          <w:p>
            <w:pPr>
              <w:pStyle w:val="Normal"/>
              <w:spacing w:before="60" w:after="60"/>
              <w:rPr/>
            </w:pPr>
            <w:r>
              <w:rPr>
                <w:b w:val="false"/>
                <w:sz w:val="18"/>
              </w:rPr>
              <w:t>Statement Coverage</w:t>
            </w:r>
          </w:p>
        </w:tc>
        <w:tc>
          <w:tcPr>
            <w:tcW w:w="1874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FFFFF" w:val="clear"/>
            <w:vAlign w:val="center"/>
          </w:tcPr>
          <w:p>
            <w:pPr>
              <w:pStyle w:val="Normal"/>
              <w:spacing w:before="60" w:after="60"/>
              <w:rPr/>
            </w:pPr>
            <w:r>
              <w:rPr>
                <w:b w:val="false"/>
                <w:sz w:val="18"/>
              </w:rPr>
              <w:t>100%</w:t>
            </w:r>
          </w:p>
        </w:tc>
        <w:tc>
          <w:tcPr>
            <w:tcW w:w="936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FFFFF" w:val="clear"/>
            <w:vAlign w:val="center"/>
          </w:tcPr>
          <w:p>
            <w:pPr>
              <w:pStyle w:val="Normal"/>
              <w:spacing w:before="60" w:after="60"/>
              <w:rPr/>
            </w:pPr>
            <w:r>
              <w:rPr>
                <w:b w:val="false"/>
                <w:sz w:val="18"/>
              </w:rPr>
              <w:t>92</w:t>
            </w:r>
          </w:p>
        </w:tc>
        <w:tc>
          <w:tcPr>
            <w:tcW w:w="934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FFFFF" w:val="clear"/>
            <w:vAlign w:val="center"/>
          </w:tcPr>
          <w:p>
            <w:pPr>
              <w:pStyle w:val="Normal"/>
              <w:spacing w:before="60" w:after="60"/>
              <w:rPr/>
            </w:pPr>
            <w:r>
              <w:rPr>
                <w:b w:val="false"/>
                <w:sz w:val="18"/>
              </w:rPr>
              <w:t>92</w:t>
            </w:r>
          </w:p>
        </w:tc>
        <w:tc>
          <w:tcPr>
            <w:tcW w:w="866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FFFFF" w:val="clear"/>
            <w:vAlign w:val="center"/>
          </w:tcPr>
          <w:p>
            <w:pPr>
              <w:pStyle w:val="Normal"/>
              <w:spacing w:before="60" w:after="60"/>
              <w:rPr/>
            </w:pPr>
            <w:r>
              <w:rPr>
                <w:b w:val="false"/>
                <w:sz w:val="18"/>
              </w:rPr>
              <w:t>0</w:t>
            </w:r>
          </w:p>
        </w:tc>
        <w:tc>
          <w:tcPr>
            <w:tcW w:w="3600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FFFFF" w:val="clear"/>
            <w:vAlign w:val="center"/>
          </w:tcPr>
          <w:p>
            <w:pPr>
              <w:pStyle w:val="Normal"/>
              <w:spacing w:before="60" w:after="60"/>
              <w:rPr/>
            </w:pPr>
            <w:r>
              <w:rPr>
                <w:b w:val="false"/>
                <w:sz w:val="18"/>
              </w:rPr>
              <w:t>100.00% (PASS)</w:t>
            </w:r>
          </w:p>
        </w:tc>
      </w:tr>
      <w:tr>
        <w:trPr>
          <w:cantSplit/>
        </w:trPr>
        <w:tc>
          <w:tcPr>
            <w:tcW w:w="2158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4F7FA" w:val="clear"/>
            <w:vAlign w:val="center"/>
          </w:tcPr>
          <w:p>
            <w:pPr>
              <w:pStyle w:val="Normal"/>
              <w:spacing w:before="60" w:after="60"/>
              <w:rPr/>
            </w:pPr>
            <w:r>
              <w:rPr>
                <w:b w:val="false"/>
                <w:sz w:val="18"/>
              </w:rPr>
              <w:t>Branch Coverage</w:t>
            </w:r>
          </w:p>
        </w:tc>
        <w:tc>
          <w:tcPr>
            <w:tcW w:w="1874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4F7FA" w:val="clear"/>
            <w:vAlign w:val="center"/>
          </w:tcPr>
          <w:p>
            <w:pPr>
              <w:pStyle w:val="Normal"/>
              <w:spacing w:before="60" w:after="60"/>
              <w:rPr/>
            </w:pPr>
            <w:r>
              <w:rPr>
                <w:b w:val="false"/>
                <w:sz w:val="18"/>
              </w:rPr>
              <w:t>100%</w:t>
            </w:r>
          </w:p>
        </w:tc>
        <w:tc>
          <w:tcPr>
            <w:tcW w:w="936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4F7FA" w:val="clear"/>
            <w:vAlign w:val="center"/>
          </w:tcPr>
          <w:p>
            <w:pPr>
              <w:pStyle w:val="Normal"/>
              <w:spacing w:before="60" w:after="60"/>
              <w:rPr/>
            </w:pPr>
            <w:r>
              <w:rPr>
                <w:b w:val="false"/>
                <w:sz w:val="18"/>
              </w:rPr>
              <w:t>14</w:t>
            </w:r>
          </w:p>
        </w:tc>
        <w:tc>
          <w:tcPr>
            <w:tcW w:w="934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4F7FA" w:val="clear"/>
            <w:vAlign w:val="center"/>
          </w:tcPr>
          <w:p>
            <w:pPr>
              <w:pStyle w:val="Normal"/>
              <w:spacing w:before="60" w:after="60"/>
              <w:rPr/>
            </w:pPr>
            <w:r>
              <w:rPr>
                <w:b w:val="false"/>
                <w:sz w:val="18"/>
              </w:rPr>
              <w:t>14</w:t>
            </w:r>
          </w:p>
        </w:tc>
        <w:tc>
          <w:tcPr>
            <w:tcW w:w="866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4F7FA" w:val="clear"/>
            <w:vAlign w:val="center"/>
          </w:tcPr>
          <w:p>
            <w:pPr>
              <w:pStyle w:val="Normal"/>
              <w:spacing w:before="60" w:after="60"/>
              <w:rPr/>
            </w:pPr>
            <w:r>
              <w:rPr>
                <w:b w:val="false"/>
                <w:sz w:val="18"/>
              </w:rPr>
              <w:t>0</w:t>
            </w:r>
          </w:p>
        </w:tc>
        <w:tc>
          <w:tcPr>
            <w:tcW w:w="3600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4F7FA" w:val="clear"/>
            <w:vAlign w:val="center"/>
          </w:tcPr>
          <w:p>
            <w:pPr>
              <w:pStyle w:val="Normal"/>
              <w:spacing w:before="60" w:after="60"/>
              <w:rPr/>
            </w:pPr>
            <w:r>
              <w:rPr>
                <w:b w:val="false"/>
                <w:sz w:val="18"/>
              </w:rPr>
              <w:t>100.00% (PASS)</w:t>
            </w:r>
          </w:p>
        </w:tc>
      </w:tr>
      <w:tr>
        <w:trPr>
          <w:cantSplit/>
        </w:trPr>
        <w:tc>
          <w:tcPr>
            <w:tcW w:w="2158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FFFFF" w:val="clear"/>
            <w:vAlign w:val="center"/>
          </w:tcPr>
          <w:p>
            <w:pPr>
              <w:pStyle w:val="Normal"/>
              <w:spacing w:before="60" w:after="60"/>
              <w:rPr/>
            </w:pPr>
            <w:r>
              <w:rPr>
                <w:b w:val="false"/>
                <w:sz w:val="18"/>
              </w:rPr>
              <w:t>Toggle Coverage</w:t>
            </w:r>
          </w:p>
        </w:tc>
        <w:tc>
          <w:tcPr>
            <w:tcW w:w="1874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FFFFF" w:val="clear"/>
            <w:vAlign w:val="center"/>
          </w:tcPr>
          <w:p>
            <w:pPr>
              <w:pStyle w:val="Normal"/>
              <w:spacing w:before="60" w:after="60"/>
              <w:rPr/>
            </w:pPr>
            <w:r>
              <w:rPr>
                <w:b w:val="false"/>
                <w:sz w:val="18"/>
              </w:rPr>
              <w:t>100%</w:t>
            </w:r>
          </w:p>
        </w:tc>
        <w:tc>
          <w:tcPr>
            <w:tcW w:w="936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FFFFF" w:val="clear"/>
            <w:vAlign w:val="center"/>
          </w:tcPr>
          <w:p>
            <w:pPr>
              <w:pStyle w:val="Normal"/>
              <w:spacing w:before="60" w:after="60"/>
              <w:rPr/>
            </w:pPr>
            <w:r>
              <w:rPr>
                <w:b w:val="false"/>
                <w:sz w:val="18"/>
              </w:rPr>
              <w:t>454</w:t>
            </w:r>
          </w:p>
        </w:tc>
        <w:tc>
          <w:tcPr>
            <w:tcW w:w="934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FFFFF" w:val="clear"/>
            <w:vAlign w:val="center"/>
          </w:tcPr>
          <w:p>
            <w:pPr>
              <w:pStyle w:val="Normal"/>
              <w:spacing w:before="60" w:after="60"/>
              <w:rPr/>
            </w:pPr>
            <w:r>
              <w:rPr>
                <w:b w:val="false"/>
                <w:sz w:val="18"/>
              </w:rPr>
              <w:t>454</w:t>
            </w:r>
          </w:p>
        </w:tc>
        <w:tc>
          <w:tcPr>
            <w:tcW w:w="866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FFFFF" w:val="clear"/>
            <w:vAlign w:val="center"/>
          </w:tcPr>
          <w:p>
            <w:pPr>
              <w:pStyle w:val="Normal"/>
              <w:spacing w:before="60" w:after="60"/>
              <w:rPr/>
            </w:pPr>
            <w:r>
              <w:rPr>
                <w:b w:val="false"/>
                <w:sz w:val="18"/>
              </w:rPr>
              <w:t>0</w:t>
            </w:r>
          </w:p>
        </w:tc>
        <w:tc>
          <w:tcPr>
            <w:tcW w:w="3600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FFFFF" w:val="clear"/>
            <w:vAlign w:val="center"/>
          </w:tcPr>
          <w:p>
            <w:pPr>
              <w:pStyle w:val="Normal"/>
              <w:spacing w:before="60" w:after="60"/>
              <w:rPr/>
            </w:pPr>
            <w:r>
              <w:rPr>
                <w:b w:val="false"/>
                <w:sz w:val="18"/>
              </w:rPr>
              <w:t>100.00% (PASS)</w:t>
            </w:r>
          </w:p>
        </w:tc>
      </w:tr>
      <w:tr>
        <w:trPr>
          <w:cantSplit/>
        </w:trPr>
        <w:tc>
          <w:tcPr>
            <w:tcW w:w="2158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4F7FA" w:val="clear"/>
            <w:vAlign w:val="center"/>
          </w:tcPr>
          <w:p>
            <w:pPr>
              <w:pStyle w:val="Normal"/>
              <w:spacing w:before="60" w:after="60"/>
              <w:rPr/>
            </w:pPr>
            <w:r>
              <w:rPr>
                <w:b w:val="false"/>
                <w:sz w:val="18"/>
              </w:rPr>
              <w:t>Functional Covergroups</w:t>
            </w:r>
          </w:p>
        </w:tc>
        <w:tc>
          <w:tcPr>
            <w:tcW w:w="1874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4F7FA" w:val="clear"/>
            <w:vAlign w:val="center"/>
          </w:tcPr>
          <w:p>
            <w:pPr>
              <w:pStyle w:val="Normal"/>
              <w:spacing w:before="60" w:after="60"/>
              <w:rPr/>
            </w:pPr>
            <w:r>
              <w:rPr>
                <w:b w:val="false"/>
                <w:sz w:val="18"/>
              </w:rPr>
              <w:t>100%</w:t>
            </w:r>
          </w:p>
        </w:tc>
        <w:tc>
          <w:tcPr>
            <w:tcW w:w="936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4F7FA" w:val="clear"/>
            <w:vAlign w:val="center"/>
          </w:tcPr>
          <w:p>
            <w:pPr>
              <w:pStyle w:val="Normal"/>
              <w:spacing w:before="60" w:after="60"/>
              <w:rPr/>
            </w:pPr>
            <w:r>
              <w:rPr>
                <w:b w:val="false"/>
                <w:sz w:val="18"/>
              </w:rPr>
              <w:t>7</w:t>
            </w:r>
          </w:p>
        </w:tc>
        <w:tc>
          <w:tcPr>
            <w:tcW w:w="934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4F7FA" w:val="clear"/>
            <w:vAlign w:val="center"/>
          </w:tcPr>
          <w:p>
            <w:pPr>
              <w:pStyle w:val="Normal"/>
              <w:spacing w:before="60" w:after="60"/>
              <w:rPr/>
            </w:pPr>
            <w:r>
              <w:rPr>
                <w:b w:val="false"/>
                <w:sz w:val="18"/>
              </w:rPr>
              <w:t>7</w:t>
            </w:r>
          </w:p>
        </w:tc>
        <w:tc>
          <w:tcPr>
            <w:tcW w:w="866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4F7FA" w:val="clear"/>
            <w:vAlign w:val="center"/>
          </w:tcPr>
          <w:p>
            <w:pPr>
              <w:pStyle w:val="Normal"/>
              <w:spacing w:before="60" w:after="60"/>
              <w:rPr/>
            </w:pPr>
            <w:r>
              <w:rPr>
                <w:b w:val="false"/>
                <w:sz w:val="18"/>
              </w:rPr>
              <w:t>0</w:t>
            </w:r>
          </w:p>
        </w:tc>
        <w:tc>
          <w:tcPr>
            <w:tcW w:w="3600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4F7FA" w:val="clear"/>
            <w:vAlign w:val="center"/>
          </w:tcPr>
          <w:p>
            <w:pPr>
              <w:pStyle w:val="Normal"/>
              <w:spacing w:before="60" w:after="60"/>
              <w:rPr/>
            </w:pPr>
            <w:r>
              <w:rPr>
                <w:b w:val="false"/>
                <w:sz w:val="18"/>
              </w:rPr>
              <w:t>100.00% (PASS)</w:t>
            </w:r>
          </w:p>
        </w:tc>
      </w:tr>
      <w:tr>
        <w:trPr>
          <w:cantSplit/>
        </w:trPr>
        <w:tc>
          <w:tcPr>
            <w:tcW w:w="2158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FFFFF" w:val="clear"/>
            <w:vAlign w:val="center"/>
          </w:tcPr>
          <w:p>
            <w:pPr>
              <w:pStyle w:val="Normal"/>
              <w:spacing w:before="60" w:after="60"/>
              <w:rPr/>
            </w:pPr>
            <w:r>
              <w:rPr>
                <w:b w:val="false"/>
                <w:sz w:val="18"/>
              </w:rPr>
              <w:t>Assertion Coverage</w:t>
            </w:r>
          </w:p>
        </w:tc>
        <w:tc>
          <w:tcPr>
            <w:tcW w:w="1874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FFFFF" w:val="clear"/>
            <w:vAlign w:val="center"/>
          </w:tcPr>
          <w:p>
            <w:pPr>
              <w:pStyle w:val="Normal"/>
              <w:spacing w:before="60" w:after="60"/>
              <w:rPr/>
            </w:pPr>
            <w:r>
              <w:rPr>
                <w:b w:val="false"/>
                <w:sz w:val="18"/>
              </w:rPr>
              <w:t>100%</w:t>
            </w:r>
          </w:p>
        </w:tc>
        <w:tc>
          <w:tcPr>
            <w:tcW w:w="936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FFFFF" w:val="clear"/>
            <w:vAlign w:val="center"/>
          </w:tcPr>
          <w:p>
            <w:pPr>
              <w:pStyle w:val="Normal"/>
              <w:spacing w:before="60" w:after="60"/>
              <w:rPr/>
            </w:pPr>
            <w:r>
              <w:rPr>
                <w:b w:val="false"/>
                <w:sz w:val="18"/>
              </w:rPr>
              <w:t>2</w:t>
            </w:r>
          </w:p>
        </w:tc>
        <w:tc>
          <w:tcPr>
            <w:tcW w:w="934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FFFFF" w:val="clear"/>
            <w:vAlign w:val="center"/>
          </w:tcPr>
          <w:p>
            <w:pPr>
              <w:pStyle w:val="Normal"/>
              <w:spacing w:before="60" w:after="60"/>
              <w:rPr/>
            </w:pPr>
            <w:r>
              <w:rPr>
                <w:b w:val="false"/>
                <w:sz w:val="18"/>
              </w:rPr>
              <w:t>2</w:t>
            </w:r>
          </w:p>
        </w:tc>
        <w:tc>
          <w:tcPr>
            <w:tcW w:w="866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FFFFF" w:val="clear"/>
            <w:vAlign w:val="center"/>
          </w:tcPr>
          <w:p>
            <w:pPr>
              <w:pStyle w:val="Normal"/>
              <w:spacing w:before="60" w:after="60"/>
              <w:rPr/>
            </w:pPr>
            <w:r>
              <w:rPr>
                <w:b w:val="false"/>
                <w:sz w:val="18"/>
              </w:rPr>
              <w:t>0</w:t>
            </w:r>
          </w:p>
        </w:tc>
        <w:tc>
          <w:tcPr>
            <w:tcW w:w="3600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FFFFF" w:val="clear"/>
            <w:vAlign w:val="center"/>
          </w:tcPr>
          <w:p>
            <w:pPr>
              <w:pStyle w:val="Normal"/>
              <w:spacing w:before="60" w:after="60"/>
              <w:rPr/>
            </w:pPr>
            <w:r>
              <w:rPr>
                <w:b w:val="false"/>
                <w:sz w:val="18"/>
              </w:rPr>
              <w:t>100.00% (PASS)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2"/>
        <w:rPr/>
      </w:pPr>
      <w:bookmarkStart w:id="18" w:name="__RefHeading___Toc838_2539424505"/>
      <w:bookmarkEnd w:id="18"/>
      <w:r>
        <w:rPr/>
        <w:t>4.2. Hierarchical Instance Coverage Verification</w:t>
      </w:r>
    </w:p>
    <w:p>
      <w:pPr>
        <w:pStyle w:val="Normal"/>
        <w:rPr/>
      </w:pPr>
      <w:r>
        <w:rPr/>
        <w:t>Coverage database analysis confirms that 100% coverage was achieved across all sub-modules (</w:t>
      </w:r>
      <w:r>
        <w:rPr>
          <w:rFonts w:ascii="DejaVu Sans Mono" w:hAnsi="DejaVu Sans Mono"/>
          <w:sz w:val="18"/>
        </w:rPr>
        <w:t>u_storage</w:t>
      </w:r>
      <w:r>
        <w:rPr/>
        <w:t xml:space="preserve">, </w:t>
      </w:r>
      <w:r>
        <w:rPr>
          <w:rFonts w:ascii="DejaVu Sans Mono" w:hAnsi="DejaVu Sans Mono"/>
          <w:sz w:val="18"/>
        </w:rPr>
        <w:t>u_alu</w:t>
      </w:r>
      <w:r>
        <w:rPr/>
        <w:t xml:space="preserve">, and </w:t>
      </w:r>
      <w:r>
        <w:rPr>
          <w:rFonts w:ascii="DejaVu Sans Mono" w:hAnsi="DejaVu Sans Mono"/>
          <w:sz w:val="18"/>
        </w:rPr>
        <w:t>calculator_top</w:t>
      </w:r>
      <w:r>
        <w:rPr/>
        <w:t>) without excluding any design logic.</w:t>
      </w:r>
    </w:p>
    <w:p>
      <w:pPr>
        <w:pStyle w:val="Normal"/>
        <w:keepNext w:val="true"/>
        <w:rPr/>
      </w:pPr>
      <w:r>
        <w:rPr/>
      </w:r>
    </w:p>
    <w:tbl>
      <w:tblPr>
        <w:tblW w:w="10368" w:type="dxa"/>
        <w:jc w:val="start"/>
        <w:tblInd w:w="79" w:type="dxa"/>
        <w:tblLayout w:type="fixed"/>
        <w:tblCellMar>
          <w:top w:w="85" w:type="dxa"/>
          <w:start w:w="85" w:type="dxa"/>
          <w:bottom w:w="85" w:type="dxa"/>
          <w:end w:w="85" w:type="dxa"/>
        </w:tblCellMar>
        <w:tblLook w:noHBand="0" w:noVBand="1" w:firstColumn="1" w:lastRow="0" w:lastColumn="0" w:firstRow="1" w:val="04a0"/>
      </w:tblPr>
      <w:tblGrid>
        <w:gridCol w:w="10368"/>
      </w:tblGrid>
      <w:tr>
        <w:trPr>
          <w:tblHeader w:val="true"/>
          <w:cantSplit/>
        </w:trPr>
        <w:tc>
          <w:tcPr>
            <w:tcW w:w="10368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FFFFF" w:val="clear"/>
            <w:vAlign w:val="center"/>
          </w:tcPr>
          <w:p>
            <w:pPr>
              <w:pStyle w:val="Normal"/>
              <w:spacing w:before="60" w:after="60"/>
              <w:jc w:val="center"/>
              <w:rPr>
                <w:rFonts w:ascii="Calibri" w:hAnsi="Calibri"/>
                <w:b/>
                <w:color w:val="646464"/>
                <w:sz w:val="18"/>
              </w:rPr>
            </w:pPr>
            <w:r>
              <w:rPr>
                <w:b/>
                <w:color w:val="646464"/>
                <w:sz w:val="18"/>
              </w:rPr>
              <w:drawing>
                <wp:anchor distT="0" distB="0" distL="0" distR="0" simplePos="0" relativeHeight="4" behindDoc="0" locked="0" layoutInCell="0" allowOverlap="1">
                  <wp:simplePos x="0" y="0"/>
                  <wp:positionH relativeFrom="margin">
                    <wp:align>center</wp:align>
                  </wp:positionH>
                  <wp:positionV relativeFrom="paragraph">
                    <wp:posOffset>635</wp:posOffset>
                  </wp:positionV>
                  <wp:extent cx="6475730" cy="1565275"/>
                  <wp:effectExtent l="0" t="0" r="0" b="0"/>
                  <wp:wrapSquare wrapText="largest"/>
                  <wp:docPr id="3" name="Image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5730" cy="15652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Caption"/>
        <w:jc w:val="center"/>
        <w:rPr/>
      </w:pPr>
      <w:r>
        <w:rPr/>
        <w:t>Figure 3: QuestaSim Overall Coverage Dashboard</w:t>
      </w:r>
    </w:p>
    <w:p>
      <w:pPr>
        <w:pStyle w:val="Normal"/>
        <w:keepNext w:val="true"/>
        <w:rPr/>
      </w:pPr>
      <w:r>
        <w:rPr/>
      </w:r>
    </w:p>
    <w:tbl>
      <w:tblPr>
        <w:tblW w:w="10368" w:type="dxa"/>
        <w:jc w:val="start"/>
        <w:tblInd w:w="79" w:type="dxa"/>
        <w:tblLayout w:type="fixed"/>
        <w:tblCellMar>
          <w:top w:w="85" w:type="dxa"/>
          <w:start w:w="85" w:type="dxa"/>
          <w:bottom w:w="85" w:type="dxa"/>
          <w:end w:w="85" w:type="dxa"/>
        </w:tblCellMar>
        <w:tblLook w:noHBand="0" w:noVBand="1" w:firstColumn="1" w:lastRow="0" w:lastColumn="0" w:firstRow="1" w:val="04a0"/>
      </w:tblPr>
      <w:tblGrid>
        <w:gridCol w:w="10368"/>
      </w:tblGrid>
      <w:tr>
        <w:trPr>
          <w:tblHeader w:val="true"/>
          <w:cantSplit/>
        </w:trPr>
        <w:tc>
          <w:tcPr>
            <w:tcW w:w="10368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FFFFF" w:val="clear"/>
            <w:vAlign w:val="center"/>
          </w:tcPr>
          <w:p>
            <w:pPr>
              <w:pStyle w:val="Normal"/>
              <w:spacing w:before="60" w:after="60"/>
              <w:jc w:val="center"/>
              <w:rPr>
                <w:rFonts w:ascii="Calibri" w:hAnsi="Calibri"/>
                <w:b/>
                <w:color w:val="646464"/>
                <w:sz w:val="18"/>
              </w:rPr>
            </w:pPr>
            <w:r>
              <w:rPr>
                <w:b/>
                <w:color w:val="646464"/>
                <w:sz w:val="18"/>
              </w:rPr>
              <w:drawing>
                <wp:anchor distT="0" distB="0" distL="0" distR="0" simplePos="0" relativeHeight="5" behindDoc="0" locked="0" layoutInCell="0" allowOverlap="1">
                  <wp:simplePos x="0" y="0"/>
                  <wp:positionH relativeFrom="margin">
                    <wp:align>center</wp:align>
                  </wp:positionH>
                  <wp:positionV relativeFrom="paragraph">
                    <wp:posOffset>635</wp:posOffset>
                  </wp:positionV>
                  <wp:extent cx="6475730" cy="3667760"/>
                  <wp:effectExtent l="0" t="0" r="0" b="0"/>
                  <wp:wrapSquare wrapText="largest"/>
                  <wp:docPr id="4" name="Image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5730" cy="36677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Caption"/>
        <w:jc w:val="center"/>
        <w:rPr/>
      </w:pPr>
      <w:r>
        <w:rPr/>
        <w:t>Figure 4: Hierarchical Instance Coverage Tree &amp; Recursive Bins</w:t>
      </w:r>
    </w:p>
    <w:p>
      <w:pPr>
        <w:pStyle w:val="Heading1"/>
        <w:rPr/>
      </w:pPr>
      <w:bookmarkStart w:id="19" w:name="__RefHeading___Toc840_2539424505"/>
      <w:bookmarkEnd w:id="19"/>
      <w:r>
        <w:rPr/>
        <w:t>5. Build Automation &amp; Reproducibility (Makefile)</w:t>
      </w:r>
    </w:p>
    <w:p>
      <w:pPr>
        <w:pStyle w:val="Normal"/>
        <w:rPr/>
      </w:pPr>
      <w:r>
        <w:rPr/>
        <w:t>The entire design compilation, simulation, database merging, and reporting workflow is encapsulated in an automated Makefile:</w:t>
      </w:r>
    </w:p>
    <w:tbl>
      <w:tblPr>
        <w:tblW w:w="10368" w:type="dxa"/>
        <w:jc w:val="start"/>
        <w:tblInd w:w="79" w:type="dxa"/>
        <w:tblLayout w:type="fixed"/>
        <w:tblCellMar>
          <w:top w:w="85" w:type="dxa"/>
          <w:start w:w="85" w:type="dxa"/>
          <w:bottom w:w="85" w:type="dxa"/>
          <w:end w:w="85" w:type="dxa"/>
        </w:tblCellMar>
        <w:tblLook w:noHBand="0" w:noVBand="1" w:firstColumn="1" w:lastRow="0" w:lastColumn="0" w:firstRow="1" w:val="04a0"/>
      </w:tblPr>
      <w:tblGrid>
        <w:gridCol w:w="1944"/>
        <w:gridCol w:w="8424"/>
      </w:tblGrid>
      <w:tr>
        <w:trPr>
          <w:tblHeader w:val="true"/>
          <w:cantSplit/>
        </w:trPr>
        <w:tc>
          <w:tcPr>
            <w:tcW w:w="1944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DCE6F1" w:val="clear"/>
            <w:vAlign w:val="center"/>
          </w:tcPr>
          <w:p>
            <w:pPr>
              <w:pStyle w:val="Normal"/>
              <w:spacing w:before="60" w:after="60"/>
              <w:rPr/>
            </w:pPr>
            <w:r>
              <w:rPr>
                <w:b/>
                <w:sz w:val="18"/>
              </w:rPr>
              <w:t>Makefile Target</w:t>
            </w:r>
          </w:p>
        </w:tc>
        <w:tc>
          <w:tcPr>
            <w:tcW w:w="8424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DCE6F1" w:val="clear"/>
            <w:vAlign w:val="center"/>
          </w:tcPr>
          <w:p>
            <w:pPr>
              <w:pStyle w:val="Normal"/>
              <w:spacing w:before="60" w:after="60"/>
              <w:rPr/>
            </w:pPr>
            <w:r>
              <w:rPr>
                <w:b/>
                <w:sz w:val="18"/>
              </w:rPr>
              <w:t>Action &amp; Description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FFFFF" w:val="clear"/>
            <w:vAlign w:val="center"/>
          </w:tcPr>
          <w:p>
            <w:pPr>
              <w:pStyle w:val="Normal"/>
              <w:spacing w:before="60" w:after="60"/>
              <w:rPr/>
            </w:pPr>
            <w:r>
              <w:rPr>
                <w:rFonts w:ascii="DejaVu Sans Mono" w:hAnsi="DejaVu Sans Mono"/>
                <w:b w:val="false"/>
                <w:sz w:val="18"/>
              </w:rPr>
              <w:t>make clean</w:t>
            </w:r>
          </w:p>
        </w:tc>
        <w:tc>
          <w:tcPr>
            <w:tcW w:w="8424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FFFFF" w:val="clear"/>
            <w:vAlign w:val="center"/>
          </w:tcPr>
          <w:p>
            <w:pPr>
              <w:pStyle w:val="Normal"/>
              <w:spacing w:before="60" w:after="60"/>
              <w:rPr/>
            </w:pPr>
            <w:r>
              <w:rPr>
                <w:b w:val="false"/>
                <w:sz w:val="18"/>
              </w:rPr>
              <w:t>Removes all temporary files, simulation logs, and UCDB databases.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4F7FA" w:val="clear"/>
            <w:vAlign w:val="center"/>
          </w:tcPr>
          <w:p>
            <w:pPr>
              <w:pStyle w:val="Normal"/>
              <w:spacing w:before="60" w:after="60"/>
              <w:rPr/>
            </w:pPr>
            <w:r>
              <w:rPr>
                <w:rFonts w:ascii="DejaVu Sans Mono" w:hAnsi="DejaVu Sans Mono"/>
                <w:b w:val="false"/>
                <w:sz w:val="18"/>
              </w:rPr>
              <w:t>make all_cov</w:t>
            </w:r>
          </w:p>
        </w:tc>
        <w:tc>
          <w:tcPr>
            <w:tcW w:w="8424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4F7FA" w:val="clear"/>
            <w:vAlign w:val="center"/>
          </w:tcPr>
          <w:p>
            <w:pPr>
              <w:pStyle w:val="Normal"/>
              <w:spacing w:before="60" w:after="60"/>
              <w:rPr/>
            </w:pPr>
            <w:r>
              <w:rPr>
                <w:b w:val="false"/>
                <w:sz w:val="18"/>
              </w:rPr>
              <w:t xml:space="preserve">Compiles RTL and TB with </w:t>
            </w:r>
            <w:r>
              <w:rPr>
                <w:rFonts w:ascii="DejaVu Sans Mono" w:hAnsi="DejaVu Sans Mono"/>
                <w:b w:val="false"/>
                <w:sz w:val="18"/>
              </w:rPr>
              <w:t>+cover=bcesft</w:t>
            </w:r>
            <w:r>
              <w:rPr>
                <w:b w:val="false"/>
                <w:sz w:val="18"/>
              </w:rPr>
              <w:t xml:space="preserve"> enabled and executes batch simulation.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FFFFF" w:val="clear"/>
            <w:vAlign w:val="center"/>
          </w:tcPr>
          <w:p>
            <w:pPr>
              <w:pStyle w:val="Normal"/>
              <w:spacing w:before="60" w:after="60"/>
              <w:rPr/>
            </w:pPr>
            <w:r>
              <w:rPr>
                <w:rFonts w:ascii="DejaVu Sans Mono" w:hAnsi="DejaVu Sans Mono"/>
                <w:b w:val="false"/>
                <w:sz w:val="18"/>
              </w:rPr>
              <w:t>make gen_cov</w:t>
            </w:r>
          </w:p>
        </w:tc>
        <w:tc>
          <w:tcPr>
            <w:tcW w:w="8424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FFFFF" w:val="clear"/>
            <w:vAlign w:val="center"/>
          </w:tcPr>
          <w:p>
            <w:pPr>
              <w:pStyle w:val="Normal"/>
              <w:spacing w:before="60" w:after="60"/>
              <w:rPr/>
            </w:pPr>
            <w:r>
              <w:rPr>
                <w:b w:val="false"/>
                <w:sz w:val="18"/>
              </w:rPr>
              <w:t xml:space="preserve">Merges simulation coverage databases into a unified </w:t>
            </w:r>
            <w:r>
              <w:rPr>
                <w:rFonts w:ascii="DejaVu Sans Mono" w:hAnsi="DejaVu Sans Mono"/>
                <w:b w:val="false"/>
                <w:sz w:val="18"/>
              </w:rPr>
              <w:t>IP.ucdb</w:t>
            </w:r>
            <w:r>
              <w:rPr>
                <w:b w:val="false"/>
                <w:sz w:val="18"/>
              </w:rPr>
              <w:t xml:space="preserve"> and outputs text reports.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4F7FA" w:val="clear"/>
            <w:vAlign w:val="center"/>
          </w:tcPr>
          <w:p>
            <w:pPr>
              <w:pStyle w:val="Normal"/>
              <w:spacing w:before="60" w:after="60"/>
              <w:rPr/>
            </w:pPr>
            <w:r>
              <w:rPr>
                <w:rFonts w:ascii="DejaVu Sans Mono" w:hAnsi="DejaVu Sans Mono"/>
                <w:b w:val="false"/>
                <w:sz w:val="18"/>
              </w:rPr>
              <w:t>make gen_html</w:t>
            </w:r>
          </w:p>
        </w:tc>
        <w:tc>
          <w:tcPr>
            <w:tcW w:w="8424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4F7FA" w:val="clear"/>
            <w:vAlign w:val="center"/>
          </w:tcPr>
          <w:p>
            <w:pPr>
              <w:pStyle w:val="Normal"/>
              <w:spacing w:before="60" w:after="60"/>
              <w:rPr/>
            </w:pPr>
            <w:r>
              <w:rPr>
                <w:b w:val="false"/>
                <w:sz w:val="18"/>
              </w:rPr>
              <w:t>Generates interactive HTML coverage dashboards.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FFFFF" w:val="clear"/>
            <w:vAlign w:val="center"/>
          </w:tcPr>
          <w:p>
            <w:pPr>
              <w:pStyle w:val="Normal"/>
              <w:spacing w:before="60" w:after="60"/>
              <w:rPr/>
            </w:pPr>
            <w:r>
              <w:rPr>
                <w:rFonts w:ascii="DejaVu Sans Mono" w:hAnsi="DejaVu Sans Mono"/>
                <w:b w:val="false"/>
                <w:sz w:val="18"/>
              </w:rPr>
              <w:t>make view_cov</w:t>
            </w:r>
          </w:p>
        </w:tc>
        <w:tc>
          <w:tcPr>
            <w:tcW w:w="8424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FFFFF" w:val="clear"/>
            <w:vAlign w:val="center"/>
          </w:tcPr>
          <w:p>
            <w:pPr>
              <w:pStyle w:val="Normal"/>
              <w:spacing w:before="60" w:after="60"/>
              <w:rPr/>
            </w:pPr>
            <w:r>
              <w:rPr>
                <w:b w:val="false"/>
                <w:sz w:val="18"/>
              </w:rPr>
              <w:t xml:space="preserve">Opens QuestaSim GUI in </w:t>
            </w:r>
            <w:r>
              <w:rPr>
                <w:rFonts w:ascii="DejaVu Sans Mono" w:hAnsi="DejaVu Sans Mono"/>
                <w:b w:val="false"/>
                <w:sz w:val="18"/>
              </w:rPr>
              <w:t>-viewcov</w:t>
            </w:r>
            <w:r>
              <w:rPr>
                <w:b w:val="false"/>
                <w:sz w:val="18"/>
              </w:rPr>
              <w:t xml:space="preserve"> mode to inspect coverage trees natively.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4F7FA" w:val="clear"/>
            <w:vAlign w:val="center"/>
          </w:tcPr>
          <w:p>
            <w:pPr>
              <w:pStyle w:val="Normal"/>
              <w:spacing w:before="60" w:after="60"/>
              <w:rPr/>
            </w:pPr>
            <w:r>
              <w:rPr>
                <w:rFonts w:ascii="DejaVu Sans Mono" w:hAnsi="DejaVu Sans Mono"/>
                <w:b w:val="false"/>
                <w:sz w:val="18"/>
              </w:rPr>
              <w:t>make wave</w:t>
            </w:r>
          </w:p>
        </w:tc>
        <w:tc>
          <w:tcPr>
            <w:tcW w:w="8424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4F7FA" w:val="clear"/>
            <w:vAlign w:val="center"/>
          </w:tcPr>
          <w:p>
            <w:pPr>
              <w:pStyle w:val="Normal"/>
              <w:spacing w:before="60" w:after="60"/>
              <w:rPr/>
            </w:pPr>
            <w:r>
              <w:rPr>
                <w:b w:val="false"/>
                <w:sz w:val="18"/>
              </w:rPr>
              <w:t xml:space="preserve">Launches waveform viewer pre-configured with </w:t>
            </w:r>
            <w:r>
              <w:rPr>
                <w:rFonts w:ascii="DejaVu Sans Mono" w:hAnsi="DejaVu Sans Mono"/>
                <w:b w:val="false"/>
                <w:sz w:val="18"/>
              </w:rPr>
              <w:t>wave.do</w:t>
            </w:r>
            <w:r>
              <w:rPr>
                <w:b w:val="false"/>
                <w:sz w:val="18"/>
              </w:rPr>
              <w:t xml:space="preserve"> color formatting.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1"/>
        <w:rPr/>
      </w:pPr>
      <w:bookmarkStart w:id="20" w:name="__RefHeading___Toc842_2539424505"/>
      <w:bookmarkEnd w:id="20"/>
      <w:r>
        <w:rPr/>
        <w:t>6. Document Revision History</w:t>
      </w:r>
    </w:p>
    <w:tbl>
      <w:tblPr>
        <w:tblW w:w="10368" w:type="dxa"/>
        <w:jc w:val="start"/>
        <w:tblInd w:w="79" w:type="dxa"/>
        <w:tblLayout w:type="fixed"/>
        <w:tblCellMar>
          <w:top w:w="85" w:type="dxa"/>
          <w:start w:w="85" w:type="dxa"/>
          <w:bottom w:w="85" w:type="dxa"/>
          <w:end w:w="85" w:type="dxa"/>
        </w:tblCellMar>
        <w:tblLook w:noHBand="0" w:noVBand="1" w:firstColumn="1" w:lastRow="0" w:lastColumn="0" w:firstRow="1" w:val="04a0"/>
      </w:tblPr>
      <w:tblGrid>
        <w:gridCol w:w="862"/>
        <w:gridCol w:w="1296"/>
        <w:gridCol w:w="6050"/>
        <w:gridCol w:w="2160"/>
      </w:tblGrid>
      <w:tr>
        <w:trPr>
          <w:tblHeader w:val="true"/>
          <w:cantSplit/>
        </w:trPr>
        <w:tc>
          <w:tcPr>
            <w:tcW w:w="862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DCE6F1" w:val="clear"/>
            <w:vAlign w:val="center"/>
          </w:tcPr>
          <w:p>
            <w:pPr>
              <w:pStyle w:val="Normal"/>
              <w:spacing w:before="60" w:after="60"/>
              <w:rPr/>
            </w:pPr>
            <w:r>
              <w:rPr>
                <w:b/>
                <w:sz w:val="18"/>
              </w:rPr>
              <w:t>Revision</w:t>
            </w:r>
          </w:p>
        </w:tc>
        <w:tc>
          <w:tcPr>
            <w:tcW w:w="1296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DCE6F1" w:val="clear"/>
            <w:vAlign w:val="center"/>
          </w:tcPr>
          <w:p>
            <w:pPr>
              <w:pStyle w:val="Normal"/>
              <w:spacing w:before="60" w:after="60"/>
              <w:rPr/>
            </w:pPr>
            <w:r>
              <w:rPr>
                <w:b/>
                <w:sz w:val="18"/>
              </w:rPr>
              <w:t>Release Date</w:t>
            </w:r>
          </w:p>
        </w:tc>
        <w:tc>
          <w:tcPr>
            <w:tcW w:w="6050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DCE6F1" w:val="clear"/>
            <w:vAlign w:val="center"/>
          </w:tcPr>
          <w:p>
            <w:pPr>
              <w:pStyle w:val="Normal"/>
              <w:spacing w:before="60" w:after="60"/>
              <w:rPr/>
            </w:pPr>
            <w:r>
              <w:rPr>
                <w:b/>
                <w:sz w:val="18"/>
              </w:rPr>
              <w:t>Summary of Changes</w:t>
            </w:r>
          </w:p>
        </w:tc>
        <w:tc>
          <w:tcPr>
            <w:tcW w:w="2160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DCE6F1" w:val="clear"/>
            <w:vAlign w:val="center"/>
          </w:tcPr>
          <w:p>
            <w:pPr>
              <w:pStyle w:val="Normal"/>
              <w:spacing w:before="60" w:after="60"/>
              <w:rPr/>
            </w:pPr>
            <w:r>
              <w:rPr>
                <w:b/>
                <w:sz w:val="18"/>
              </w:rPr>
              <w:t>Author</w:t>
            </w:r>
          </w:p>
        </w:tc>
      </w:tr>
      <w:tr>
        <w:trPr>
          <w:cantSplit/>
        </w:trPr>
        <w:tc>
          <w:tcPr>
            <w:tcW w:w="862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FFFFF" w:val="clear"/>
            <w:vAlign w:val="center"/>
          </w:tcPr>
          <w:p>
            <w:pPr>
              <w:pStyle w:val="Normal"/>
              <w:spacing w:before="60" w:after="60"/>
              <w:rPr/>
            </w:pPr>
            <w:r>
              <w:rPr>
                <w:b w:val="false"/>
                <w:sz w:val="18"/>
              </w:rPr>
              <w:t>v1.0</w:t>
            </w:r>
          </w:p>
        </w:tc>
        <w:tc>
          <w:tcPr>
            <w:tcW w:w="1296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FFFFF" w:val="clear"/>
            <w:vAlign w:val="center"/>
          </w:tcPr>
          <w:p>
            <w:pPr>
              <w:pStyle w:val="Normal"/>
              <w:spacing w:before="60" w:after="60"/>
              <w:rPr/>
            </w:pPr>
            <w:r>
              <w:rPr>
                <w:b w:val="false"/>
                <w:sz w:val="18"/>
              </w:rPr>
              <w:t>2026-09-28</w:t>
            </w:r>
          </w:p>
        </w:tc>
        <w:tc>
          <w:tcPr>
            <w:tcW w:w="6050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FFFFF" w:val="clear"/>
            <w:vAlign w:val="center"/>
          </w:tcPr>
          <w:p>
            <w:pPr>
              <w:pStyle w:val="Normal"/>
              <w:spacing w:before="60" w:after="60"/>
              <w:rPr/>
            </w:pPr>
            <w:r>
              <w:rPr>
                <w:b w:val="false"/>
                <w:sz w:val="18"/>
              </w:rPr>
              <w:t>Initial architectural planning submission for Coursera module.</w:t>
            </w:r>
          </w:p>
        </w:tc>
        <w:tc>
          <w:tcPr>
            <w:tcW w:w="2160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FFFFF" w:val="clear"/>
            <w:vAlign w:val="center"/>
          </w:tcPr>
          <w:p>
            <w:pPr>
              <w:pStyle w:val="Normal"/>
              <w:spacing w:before="60" w:after="60"/>
              <w:rPr/>
            </w:pPr>
            <w:r>
              <w:rPr>
                <w:b w:val="false"/>
                <w:sz w:val="18"/>
              </w:rPr>
              <w:t>Hoàng Ngọc Gia Bão</w:t>
            </w:r>
          </w:p>
        </w:tc>
      </w:tr>
      <w:tr>
        <w:trPr>
          <w:cantSplit/>
        </w:trPr>
        <w:tc>
          <w:tcPr>
            <w:tcW w:w="862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4F7FA" w:val="clear"/>
            <w:vAlign w:val="center"/>
          </w:tcPr>
          <w:p>
            <w:pPr>
              <w:pStyle w:val="Normal"/>
              <w:spacing w:before="60" w:after="60"/>
              <w:rPr/>
            </w:pPr>
            <w:r>
              <w:rPr>
                <w:b w:val="false"/>
                <w:sz w:val="18"/>
              </w:rPr>
              <w:t>v2.0</w:t>
            </w:r>
          </w:p>
        </w:tc>
        <w:tc>
          <w:tcPr>
            <w:tcW w:w="1296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4F7FA" w:val="clear"/>
            <w:vAlign w:val="center"/>
          </w:tcPr>
          <w:p>
            <w:pPr>
              <w:pStyle w:val="Normal"/>
              <w:spacing w:before="60" w:after="60"/>
              <w:rPr/>
            </w:pPr>
            <w:r>
              <w:rPr>
                <w:b w:val="false"/>
                <w:sz w:val="18"/>
              </w:rPr>
              <w:t>2026-09-29</w:t>
            </w:r>
          </w:p>
        </w:tc>
        <w:tc>
          <w:tcPr>
            <w:tcW w:w="6050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4F7FA" w:val="clear"/>
            <w:vAlign w:val="center"/>
          </w:tcPr>
          <w:p>
            <w:pPr>
              <w:pStyle w:val="Normal"/>
              <w:spacing w:before="60" w:after="60"/>
              <w:rPr/>
            </w:pPr>
            <w:r>
              <w:rPr>
                <w:b w:val="false"/>
                <w:sz w:val="18"/>
              </w:rPr>
              <w:t>Implemented full SystemVerilog RTL and self-checking testbench.</w:t>
            </w:r>
          </w:p>
        </w:tc>
        <w:tc>
          <w:tcPr>
            <w:tcW w:w="2160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4F7FA" w:val="clear"/>
            <w:vAlign w:val="center"/>
          </w:tcPr>
          <w:p>
            <w:pPr>
              <w:pStyle w:val="Normal"/>
              <w:spacing w:before="60" w:after="60"/>
              <w:rPr/>
            </w:pPr>
            <w:r>
              <w:rPr>
                <w:b w:val="false"/>
                <w:sz w:val="18"/>
              </w:rPr>
              <w:t>Hoàng Ngọc Gia Bão</w:t>
            </w:r>
          </w:p>
        </w:tc>
      </w:tr>
      <w:tr>
        <w:trPr>
          <w:cantSplit/>
        </w:trPr>
        <w:tc>
          <w:tcPr>
            <w:tcW w:w="862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FFFFF" w:val="clear"/>
            <w:vAlign w:val="center"/>
          </w:tcPr>
          <w:p>
            <w:pPr>
              <w:pStyle w:val="Normal"/>
              <w:spacing w:before="60" w:after="60"/>
              <w:rPr/>
            </w:pPr>
            <w:r>
              <w:rPr>
                <w:b w:val="false"/>
                <w:sz w:val="18"/>
              </w:rPr>
              <w:t>v3.0</w:t>
            </w:r>
          </w:p>
        </w:tc>
        <w:tc>
          <w:tcPr>
            <w:tcW w:w="1296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FFFFF" w:val="clear"/>
            <w:vAlign w:val="center"/>
          </w:tcPr>
          <w:p>
            <w:pPr>
              <w:pStyle w:val="Normal"/>
              <w:spacing w:before="60" w:after="60"/>
              <w:rPr/>
            </w:pPr>
            <w:r>
              <w:rPr>
                <w:b w:val="false"/>
                <w:sz w:val="18"/>
              </w:rPr>
              <w:t>2026-09-30</w:t>
            </w:r>
          </w:p>
        </w:tc>
        <w:tc>
          <w:tcPr>
            <w:tcW w:w="6050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FFFFF" w:val="clear"/>
            <w:vAlign w:val="center"/>
          </w:tcPr>
          <w:p>
            <w:pPr>
              <w:pStyle w:val="Normal"/>
              <w:spacing w:before="60" w:after="60"/>
              <w:rPr/>
            </w:pPr>
            <w:r>
              <w:rPr>
                <w:b w:val="false"/>
                <w:sz w:val="18"/>
              </w:rPr>
              <w:t>Achieved 100% coverage closure, timing verification, and finalized report.</w:t>
            </w:r>
          </w:p>
        </w:tc>
        <w:tc>
          <w:tcPr>
            <w:tcW w:w="2160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FFFFF" w:val="clear"/>
            <w:vAlign w:val="center"/>
          </w:tcPr>
          <w:p>
            <w:pPr>
              <w:pStyle w:val="Normal"/>
              <w:spacing w:before="60" w:after="60"/>
              <w:rPr/>
            </w:pPr>
            <w:r>
              <w:rPr>
                <w:b w:val="false"/>
                <w:sz w:val="18"/>
              </w:rPr>
              <w:t>Hoàng Ngọc Gia Bão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sectPr>
      <w:type w:val="nextPage"/>
      <w:pgSz w:w="12240" w:h="15840"/>
      <w:pgMar w:left="936" w:right="936" w:gutter="0" w:header="0" w:top="1008" w:footer="0" w:bottom="100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DejaVu Sans Mono">
    <w:charset w:val="01" w:characterSet="utf-8"/>
    <w:family w:val="roman"/>
    <w:pitch w:val="variable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360"/>
        </w:tabs>
        <w:ind w:start="360" w:hanging="36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5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140"/>
      <w:jc w:val="start"/>
    </w:pPr>
    <w:rPr>
      <w:rFonts w:ascii="Calibri" w:hAnsi="Calibri" w:eastAsia="ＭＳ 明朝" w:cs=""/>
      <w:color w:val="000000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character" w:styleId="IndexLink">
    <w:name w:val="Index Link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4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rFonts w:ascii="Calibri" w:hAnsi="Calibri"/>
      <w:b/>
      <w:bCs/>
      <w:color w:val="000000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val="000000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4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4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4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4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4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4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4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4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4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TOC2">
    <w:name w:val="toc 2"/>
    <w:basedOn w:val="Index"/>
    <w:pPr>
      <w:tabs>
        <w:tab w:val="clear" w:pos="720"/>
        <w:tab w:val="right" w:pos="10085" w:leader="dot"/>
      </w:tabs>
      <w:ind w:hanging="0" w:start="283"/>
    </w:pPr>
    <w:rPr/>
  </w:style>
  <w:style w:type="paragraph" w:styleId="TOC1">
    <w:name w:val="toc 1"/>
    <w:basedOn w:val="Index"/>
    <w:pPr>
      <w:tabs>
        <w:tab w:val="clear" w:pos="720"/>
        <w:tab w:val="right" w:pos="10368" w:leader="dot"/>
      </w:tabs>
      <w:ind w:hanging="0" w:start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Application>LibreOffice/26.2.5.2$Linux_X86_64 LibreOffice_project/620$Build-2</Application>
  <AppVersion>15.0000</AppVersion>
  <Pages>10</Pages>
  <Words>1503</Words>
  <Characters>9793</Characters>
  <CharactersWithSpaces>11008</CharactersWithSpaces>
  <Paragraphs>274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Hoàng Ngọc Gia Bão</dc:creator>
  <dc:description>generated by python-docx</dc:description>
  <dc:language>en-US</dc:language>
  <cp:lastModifiedBy/>
  <dcterms:modified xsi:type="dcterms:W3CDTF">2026-09-30T10:56:40Z</dcterms:modified>
  <cp:revision>6</cp:revision>
  <dc:subject/>
  <dc:title>Scalable Multi Operation FPGA Calculator IP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