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2"/>
        </w:numPr>
        <w:spacing w:before="40" w:after="0"/>
        <w:rPr>
          <w:lang w:val="vi-VN"/>
        </w:rPr>
      </w:pPr>
      <w:r>
        <w:rPr/>
        <w:t xml:space="preserve">    </w:t>
      </w:r>
      <w:r>
        <w:rPr>
          <w:lang w:val="vi-VN"/>
        </w:rPr>
        <w:t>Database Design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b/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Bảng lưu thông tin của thẻ trả trước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tbl>
      <w:tblPr>
        <w:tblStyle w:val="TableGrid"/>
        <w:tblW w:w="96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7"/>
        <w:gridCol w:w="609"/>
        <w:gridCol w:w="544"/>
        <w:gridCol w:w="1990"/>
        <w:gridCol w:w="1520"/>
        <w:gridCol w:w="1301"/>
        <w:gridCol w:w="1307"/>
        <w:gridCol w:w="1975"/>
      </w:tblGrid>
      <w:tr>
        <w:trPr/>
        <w:tc>
          <w:tcPr>
            <w:tcW w:w="9623" w:type="dxa"/>
            <w:gridSpan w:val="8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prepaid_cards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#</w:t>
            </w:r>
          </w:p>
        </w:tc>
        <w:tc>
          <w:tcPr>
            <w:tcW w:w="609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PK</w:t>
            </w:r>
          </w:p>
        </w:tc>
        <w:tc>
          <w:tcPr>
            <w:tcW w:w="544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FK</w:t>
            </w:r>
          </w:p>
        </w:tc>
        <w:tc>
          <w:tcPr>
            <w:tcW w:w="1990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Column name</w:t>
            </w:r>
          </w:p>
        </w:tc>
        <w:tc>
          <w:tcPr>
            <w:tcW w:w="1520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Data type</w:t>
            </w:r>
          </w:p>
        </w:tc>
        <w:tc>
          <w:tcPr>
            <w:tcW w:w="1301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Default value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Mandatory</w:t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Description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09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544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90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/>
              <w:t>id</w:t>
            </w:r>
          </w:p>
        </w:tc>
        <w:tc>
          <w:tcPr>
            <w:tcW w:w="15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1301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lang w:val="vi-VN"/>
              </w:rPr>
              <w:t xml:space="preserve">Mã ID của thẻ được tạo ngay khi </w:t>
            </w:r>
            <w:r>
              <w:rPr/>
              <w:t>phát hành thẻ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609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544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released_time</w:t>
            </w:r>
          </w:p>
        </w:tc>
        <w:tc>
          <w:tcPr>
            <w:tcW w:w="15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date</w:t>
            </w:r>
            <w:r>
              <w:rPr/>
              <w:t>time</w:t>
            </w:r>
          </w:p>
        </w:tc>
        <w:tc>
          <w:tcPr>
            <w:tcW w:w="1301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 xml:space="preserve">Thời điểm phát hành thẻ (ngày và giờ) 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609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544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get_in_point</w:t>
            </w:r>
          </w:p>
        </w:tc>
        <w:tc>
          <w:tcPr>
            <w:tcW w:w="15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</w:t>
            </w:r>
            <w:r>
              <w:rPr/>
              <w:t>char</w:t>
            </w:r>
          </w:p>
        </w:tc>
        <w:tc>
          <w:tcPr>
            <w:tcW w:w="1301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Tên của nhà ga mà hành khách vừa mới dùng thẻ để đi vào. Ban đầu  trường này có giá trị null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609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544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balance</w:t>
            </w:r>
          </w:p>
        </w:tc>
        <w:tc>
          <w:tcPr>
            <w:tcW w:w="152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1301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Số dư có trong thẻ (lớn hơn hoặc bằng 0)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609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544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9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20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1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b/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Bảng lưu thông tin của vé 24 giờ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tbl>
      <w:tblPr>
        <w:tblStyle w:val="TableGrid"/>
        <w:tblW w:w="96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7"/>
        <w:gridCol w:w="609"/>
        <w:gridCol w:w="634"/>
        <w:gridCol w:w="1980"/>
        <w:gridCol w:w="1440"/>
        <w:gridCol w:w="1301"/>
        <w:gridCol w:w="1307"/>
        <w:gridCol w:w="1975"/>
      </w:tblGrid>
      <w:tr>
        <w:trPr/>
        <w:tc>
          <w:tcPr>
            <w:tcW w:w="9623" w:type="dxa"/>
            <w:gridSpan w:val="8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Twenty_four_hour_tickets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#</w:t>
            </w:r>
          </w:p>
        </w:tc>
        <w:tc>
          <w:tcPr>
            <w:tcW w:w="609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PK</w:t>
            </w:r>
          </w:p>
        </w:tc>
        <w:tc>
          <w:tcPr>
            <w:tcW w:w="634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FK</w:t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Column name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Data type</w:t>
            </w:r>
          </w:p>
        </w:tc>
        <w:tc>
          <w:tcPr>
            <w:tcW w:w="1301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Default value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Mandatory</w:t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Description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09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634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/>
              <w:t>id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1301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Mã ID của vé được tạo ngay khi in vé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609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634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released_time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date</w:t>
            </w:r>
            <w:r>
              <w:rPr/>
              <w:t>time</w:t>
            </w:r>
          </w:p>
        </w:tc>
        <w:tc>
          <w:tcPr>
            <w:tcW w:w="1301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Thời điểm in vé (ngày và giờ)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609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634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1301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Giá vé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609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634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first_use_time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date</w:t>
            </w:r>
            <w:r>
              <w:rPr/>
              <w:t>time</w:t>
            </w:r>
          </w:p>
        </w:tc>
        <w:tc>
          <w:tcPr>
            <w:tcW w:w="1301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Thời điểm mà vé được sử dụng lần đầu tiên (ngày và giờ). Ban đầu trường này sẽ có giá trị null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609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634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valid_time</w:t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date</w:t>
            </w:r>
            <w:r>
              <w:rPr/>
              <w:t>time</w:t>
            </w:r>
          </w:p>
        </w:tc>
        <w:tc>
          <w:tcPr>
            <w:tcW w:w="1301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Thời điểm mà vé sẽ không còn giá trị sử dụng(ngày và giờ). Ban đầu trường này sẽ có giá trị null </w:t>
            </w:r>
            <w:r>
              <w:rPr>
                <w:lang w:val="vi-VN"/>
              </w:rPr>
              <w:t xml:space="preserve">và sẽ được update mỗi khi sử dụng </w:t>
            </w:r>
            <w:r>
              <w:rPr/>
              <w:t>thẻ</w:t>
            </w:r>
            <w:r>
              <w:rPr>
                <w:lang w:val="vi-VN"/>
              </w:rPr>
              <w:t xml:space="preserve"> để đi vào ga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609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634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8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1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75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</w:tr>
    </w:tbl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Normal"/>
        <w:rPr>
          <w:b/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Bảng lưu thông tin của vé một chiều</w:t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tbl>
      <w:tblPr>
        <w:tblStyle w:val="TableGrid"/>
        <w:tblW w:w="95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7"/>
        <w:gridCol w:w="609"/>
        <w:gridCol w:w="708"/>
        <w:gridCol w:w="1996"/>
        <w:gridCol w:w="1350"/>
        <w:gridCol w:w="1301"/>
        <w:gridCol w:w="1307"/>
        <w:gridCol w:w="1885"/>
      </w:tblGrid>
      <w:tr>
        <w:trPr/>
        <w:tc>
          <w:tcPr>
            <w:tcW w:w="9533" w:type="dxa"/>
            <w:gridSpan w:val="8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oneway_tickets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#</w:t>
            </w:r>
          </w:p>
        </w:tc>
        <w:tc>
          <w:tcPr>
            <w:tcW w:w="609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PK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FK</w:t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Column name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Data type</w:t>
            </w:r>
          </w:p>
        </w:tc>
        <w:tc>
          <w:tcPr>
            <w:tcW w:w="1301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Default value</w:t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Mandatory</w:t>
            </w:r>
          </w:p>
        </w:tc>
        <w:tc>
          <w:tcPr>
            <w:tcW w:w="1885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Description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09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/>
              <w:t>id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1301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885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Mã ID của vé được tạo ngay khi in vé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609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released_time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date</w:t>
            </w:r>
            <w:r>
              <w:rPr/>
              <w:t>time</w:t>
            </w:r>
          </w:p>
        </w:tc>
        <w:tc>
          <w:tcPr>
            <w:tcW w:w="1301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1885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/>
              <w:t>Thời điểm in vé (ngày và giờ)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609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price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double</w:t>
            </w:r>
          </w:p>
        </w:tc>
        <w:tc>
          <w:tcPr>
            <w:tcW w:w="1301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1885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Giá vé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609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start_station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</w:t>
            </w:r>
            <w:r>
              <w:rPr/>
              <w:t>char</w:t>
            </w:r>
          </w:p>
        </w:tc>
        <w:tc>
          <w:tcPr>
            <w:tcW w:w="1301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1885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Tên nhà ga khởi hành được mặc định trên vé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5</w:t>
            </w:r>
          </w:p>
        </w:tc>
        <w:tc>
          <w:tcPr>
            <w:tcW w:w="609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end_station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</w:t>
            </w:r>
            <w:r>
              <w:rPr/>
              <w:t>char</w:t>
            </w:r>
          </w:p>
        </w:tc>
        <w:tc>
          <w:tcPr>
            <w:tcW w:w="1301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1885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Tên nhà ga kết thúc được mặc định trên vé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6</w:t>
            </w:r>
          </w:p>
        </w:tc>
        <w:tc>
          <w:tcPr>
            <w:tcW w:w="609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get_in_point</w:t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char</w:t>
            </w:r>
          </w:p>
        </w:tc>
        <w:tc>
          <w:tcPr>
            <w:tcW w:w="1301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885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 xml:space="preserve">Tên của nhà ga mà hành khách vừa mới sử dụng dùng vé để đi vào. Ban đầu  trường này có giá trị null 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609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996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50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1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885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</w:tr>
    </w:tbl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>
          <w:b/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Bảng lưu thông tin của các nhà ga</w:t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7"/>
        <w:gridCol w:w="610"/>
        <w:gridCol w:w="708"/>
        <w:gridCol w:w="1827"/>
        <w:gridCol w:w="1269"/>
        <w:gridCol w:w="1552"/>
        <w:gridCol w:w="1308"/>
        <w:gridCol w:w="1698"/>
      </w:tblGrid>
      <w:tr>
        <w:trPr/>
        <w:tc>
          <w:tcPr>
            <w:tcW w:w="9349" w:type="dxa"/>
            <w:gridSpan w:val="8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stations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#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PK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FK</w:t>
            </w:r>
          </w:p>
        </w:tc>
        <w:tc>
          <w:tcPr>
            <w:tcW w:w="1827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Column name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Data type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Default value</w:t>
            </w:r>
          </w:p>
        </w:tc>
        <w:tc>
          <w:tcPr>
            <w:tcW w:w="1308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Mandatory</w:t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Description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82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/>
              <w:t>id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varchar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8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Mã ID của gắn với mỗi nhà ga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8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name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var</w:t>
            </w:r>
            <w:r>
              <w:rPr/>
              <w:t>char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8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Tên của nhà ga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8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8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</w:tr>
    </w:tbl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Normal"/>
        <w:rPr>
          <w:b/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Bảng lưu thông tin về loại của vé</w:t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p>
      <w:pPr>
        <w:pStyle w:val="ListParagraph"/>
        <w:rPr>
          <w:lang w:val="vi-VN"/>
        </w:rPr>
      </w:pPr>
      <w:r>
        <w:rPr>
          <w:lang w:val="vi-VN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7"/>
        <w:gridCol w:w="610"/>
        <w:gridCol w:w="708"/>
        <w:gridCol w:w="1827"/>
        <w:gridCol w:w="1269"/>
        <w:gridCol w:w="1552"/>
        <w:gridCol w:w="1308"/>
        <w:gridCol w:w="1698"/>
      </w:tblGrid>
      <w:tr>
        <w:trPr/>
        <w:tc>
          <w:tcPr>
            <w:tcW w:w="9349" w:type="dxa"/>
            <w:gridSpan w:val="8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ticket_card_type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#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PK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FK</w:t>
            </w:r>
          </w:p>
        </w:tc>
        <w:tc>
          <w:tcPr>
            <w:tcW w:w="1827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Column name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Data type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Default value</w:t>
            </w:r>
          </w:p>
        </w:tc>
        <w:tc>
          <w:tcPr>
            <w:tcW w:w="1308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Mandatory</w:t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jc w:val="center"/>
              <w:rPr>
                <w:i/>
                <w:i/>
                <w:iCs/>
                <w:lang w:val="vi-VN"/>
              </w:rPr>
            </w:pPr>
            <w:r>
              <w:rPr>
                <w:i/>
                <w:iCs/>
                <w:lang w:val="vi-VN"/>
              </w:rPr>
              <w:t>Description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x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x</w:t>
            </w:r>
          </w:p>
        </w:tc>
        <w:tc>
          <w:tcPr>
            <w:tcW w:w="18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id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8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Mã ID của vé hoặc thẻ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8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type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  <w:t>varchar</w:t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Not null</w:t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Phân loại prepaid card, 24h ticket hay one-way ticket</w:t>
            </w:r>
          </w:p>
        </w:tc>
      </w:tr>
      <w:tr>
        <w:trPr/>
        <w:tc>
          <w:tcPr>
            <w:tcW w:w="377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610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82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552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308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  <w:tc>
          <w:tcPr>
            <w:tcW w:w="1698" w:type="dxa"/>
            <w:tcBorders/>
            <w:shd w:fill="auto" w:val="clear"/>
          </w:tcPr>
          <w:p>
            <w:pPr>
              <w:pStyle w:val="Normal"/>
              <w:rPr>
                <w:lang w:val="vi-VN"/>
              </w:rPr>
            </w:pPr>
            <w:r>
              <w:rPr>
                <w:lang w:val="vi-VN"/>
              </w:rPr>
            </w:r>
          </w:p>
        </w:tc>
      </w:tr>
    </w:tbl>
    <w:p>
      <w:pPr>
        <w:pStyle w:val="ListParagrap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3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466"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466"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466"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466"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466"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466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466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466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eastAsia="游ゴシック Light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466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c1466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c1466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3c1466"/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c1466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c1466"/>
    <w:rPr>
      <w:rFonts w:ascii="Calibri Light" w:hAnsi="Calibri Light" w:eastAsia="游ゴシック Light" w:cs="" w:asciiTheme="majorHAnsi" w:cstheme="majorBidi" w:eastAsiaTheme="majorEastAsia" w:hAnsiTheme="majorHAns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c1466"/>
    <w:rPr>
      <w:rFonts w:ascii="Calibri Light" w:hAnsi="Calibri Light" w:eastAsia="游ゴシック Light" w:cs="" w:asciiTheme="majorHAnsi" w:cstheme="majorBidi" w:eastAsiaTheme="majorEastAsia" w:hAnsiTheme="majorHAns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c1466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c1466"/>
    <w:rPr>
      <w:rFonts w:ascii="Calibri Light" w:hAnsi="Calibri Light" w:eastAsia="游ゴシック Light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c1466"/>
    <w:rPr>
      <w:rFonts w:ascii="Calibri Light" w:hAnsi="Calibri Light" w:eastAsia="游ゴシック Light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2328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f311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Application>LibreOffice/6.2.7.1$Linux_X86_64 LibreOffice_project/20$Build-1</Application>
  <Pages>4</Pages>
  <Words>402</Words>
  <Characters>1563</Characters>
  <CharactersWithSpaces>1829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2019-10-29T07:11:00Z</dcterms:created>
  <dc:creator>Nguyen Thi Thu Trang - Vien CNTT</dc:creator>
  <dc:description/>
  <dc:language>en-US</dc:language>
  <cp:lastModifiedBy/>
  <dcterms:modified xsi:type="dcterms:W3CDTF">2019-11-02T10:45:00Z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