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AA9ED9">
      <w:pPr>
        <w:pStyle w:val="2"/>
        <w:bidi w:val="0"/>
        <w:rPr>
          <w:rFonts w:hint="default" w:ascii="Times New Roman Regular" w:hAnsi="Times New Roman Regular" w:cs="Times New Roman Regular"/>
        </w:rPr>
      </w:pPr>
      <w:r>
        <w:rPr>
          <w:rFonts w:hint="default" w:ascii="Times New Roman Regular" w:hAnsi="Times New Roman Regular" w:cs="Times New Roman Regular"/>
        </w:rPr>
        <w:t>Threat and Risk Assessment for Passenger Information System</w:t>
      </w:r>
    </w:p>
    <w:p w14:paraId="43D096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eastAsia="宋体" w:cs="Times New Roman Regular"/>
          <w:color w:val="000000"/>
          <w:kern w:val="0"/>
          <w:sz w:val="24"/>
          <w:szCs w:val="24"/>
          <w:bdr w:val="none" w:color="auto" w:sz="0" w:space="0"/>
          <w:lang w:val="en-US" w:eastAsia="zh-CN" w:bidi="ar"/>
        </w:rPr>
      </w:pPr>
      <w:r>
        <w:rPr>
          <w:rFonts w:hint="default" w:ascii="Times New Roman Regular" w:hAnsi="Times New Roman Regular" w:eastAsia="宋体" w:cs="Times New Roman Regular"/>
          <w:color w:val="000000"/>
          <w:kern w:val="0"/>
          <w:sz w:val="24"/>
          <w:szCs w:val="24"/>
          <w:bdr w:val="none" w:color="auto" w:sz="0" w:space="0"/>
          <w:lang w:val="en-US" w:eastAsia="zh-CN" w:bidi="ar"/>
        </w:rPr>
        <w:t>Document Version: V1.0</w:t>
      </w:r>
    </w:p>
    <w:p w14:paraId="7998FD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eastAsia="宋体" w:cs="Times New Roman Regular"/>
          <w:color w:val="000000"/>
          <w:kern w:val="0"/>
          <w:sz w:val="24"/>
          <w:szCs w:val="24"/>
          <w:bdr w:val="none" w:color="auto" w:sz="0" w:space="0"/>
          <w:lang w:val="en-US" w:eastAsia="zh-CN" w:bidi="ar"/>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Assessment Date: 2026-03-03</w:t>
      </w:r>
    </w:p>
    <w:p w14:paraId="67DC9E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eastAsia="宋体" w:cs="Times New Roman Regular"/>
          <w:color w:val="000000"/>
          <w:kern w:val="0"/>
          <w:sz w:val="24"/>
          <w:szCs w:val="24"/>
          <w:bdr w:val="none" w:color="auto" w:sz="0" w:space="0"/>
          <w:lang w:val="en-US" w:eastAsia="zh-CN" w:bidi="ar"/>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Assessment Team: Bob</w:t>
      </w:r>
    </w:p>
    <w:p w14:paraId="1C2512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eastAsia="宋体" w:cs="Times New Roman Regular"/>
          <w:color w:val="000000"/>
          <w:kern w:val="0"/>
          <w:sz w:val="24"/>
          <w:szCs w:val="24"/>
          <w:bdr w:val="none" w:color="auto" w:sz="0" w:space="0"/>
          <w:lang w:val="en-US" w:eastAsia="zh-CN" w:bidi="ar"/>
        </w:rPr>
      </w:pPr>
      <w:r>
        <w:rPr>
          <w:rFonts w:hint="default" w:ascii="Times New Roman Regular" w:hAnsi="Times New Roman Regular" w:eastAsia="宋体" w:cs="Times New Roman Regular"/>
          <w:color w:val="000000"/>
          <w:kern w:val="0"/>
          <w:sz w:val="24"/>
          <w:szCs w:val="24"/>
          <w:bdr w:val="none" w:color="auto" w:sz="0" w:space="0"/>
          <w:lang w:val="en-US" w:eastAsia="zh-CN" w:bidi="ar"/>
        </w:rPr>
        <w:t>Report Review: Tom, Alex</w:t>
      </w:r>
    </w:p>
    <w:p w14:paraId="78D36F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Issue Date: 2026-03-03</w:t>
      </w:r>
    </w:p>
    <w:p w14:paraId="54612D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1. Introduction</w:t>
      </w:r>
    </w:p>
    <w:p w14:paraId="4AC623F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1.1 Assessment Background</w:t>
      </w:r>
    </w:p>
    <w:p w14:paraId="476553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 xml:space="preserve">The Passenger Information System (hereinafter referred to as the “PIS”) </w:t>
      </w:r>
      <w:r>
        <w:rPr>
          <w:rFonts w:hint="eastAsia" w:ascii="Times New Roman Regular" w:hAnsi="Times New Roman Regular" w:eastAsia="宋体" w:cs="Times New Roman Regular"/>
          <w:color w:val="000000"/>
          <w:kern w:val="0"/>
          <w:sz w:val="24"/>
          <w:szCs w:val="24"/>
          <w:bdr w:val="none" w:color="auto" w:sz="0" w:space="0"/>
          <w:lang w:val="en-US" w:eastAsia="zh-CN" w:bidi="ar"/>
        </w:rPr>
        <w:t>that</w:t>
      </w:r>
      <w:r>
        <w:rPr>
          <w:rFonts w:hint="default" w:ascii="Times New Roman Regular" w:hAnsi="Times New Roman Regular" w:eastAsia="宋体" w:cs="Times New Roman Regular"/>
          <w:color w:val="000000"/>
          <w:kern w:val="0"/>
          <w:sz w:val="24"/>
          <w:szCs w:val="24"/>
          <w:bdr w:val="none" w:color="auto" w:sz="0" w:space="0"/>
          <w:lang w:val="en-US" w:eastAsia="zh-CN" w:bidi="ar"/>
        </w:rPr>
        <w:t xml:space="preserve"> developed and manufactured by the company is mainly used to display core functions such as station information display, real-time passenger counting, station arrival reminders, and passenger seat reservations. It is critical infrastructure ensuring transportation operation efficiency and improving passenger travel experience.</w:t>
      </w:r>
    </w:p>
    <w:p w14:paraId="7E6F51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The system includes dedicated hardware equipped with one Ethernet interface and one USB interface, named PIS controller. It communicates with other system modules via the TCP</w:t>
      </w:r>
      <w:r>
        <w:rPr>
          <w:rFonts w:hint="eastAsia" w:ascii="Times New Roman Regular" w:hAnsi="Times New Roman Regular" w:eastAsia="宋体" w:cs="Times New Roman Regular"/>
          <w:color w:val="000000"/>
          <w:kern w:val="0"/>
          <w:sz w:val="24"/>
          <w:szCs w:val="24"/>
          <w:bdr w:val="none" w:color="auto" w:sz="0" w:space="0"/>
          <w:lang w:val="en-US" w:eastAsia="zh-CN" w:bidi="ar"/>
        </w:rPr>
        <w:t>/Bluetooth/OPCUA</w:t>
      </w:r>
      <w:r>
        <w:rPr>
          <w:rFonts w:hint="default" w:ascii="Times New Roman Regular" w:hAnsi="Times New Roman Regular" w:eastAsia="宋体" w:cs="Times New Roman Regular"/>
          <w:color w:val="000000"/>
          <w:kern w:val="0"/>
          <w:sz w:val="24"/>
          <w:szCs w:val="24"/>
          <w:bdr w:val="none" w:color="auto" w:sz="0" w:space="0"/>
          <w:lang w:val="en-US" w:eastAsia="zh-CN" w:bidi="ar"/>
        </w:rPr>
        <w:t>/MODUBUS protocol. Data inside the controller is saved in plain text.</w:t>
      </w:r>
    </w:p>
    <w:p w14:paraId="542EAE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To comprehensively identify security threats to the PIS, quantify risk levels, and formulate targeted security control measures, this Threat and Risk Assessment (TRA) is conducted.</w:t>
      </w:r>
    </w:p>
    <w:p w14:paraId="412D47E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1.2 Assessment Objectives</w:t>
      </w:r>
    </w:p>
    <w:p w14:paraId="4D4400F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480" w:lineRule="atLeast"/>
        <w:ind w:left="420" w:leftChars="0" w:right="0" w:hanging="36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Identify core assets, system boundaries, and operating environments of the PIS, establish a complete asset list, and lay the foundation for risk assessment.</w:t>
      </w:r>
    </w:p>
    <w:p w14:paraId="425BDEE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480" w:lineRule="atLeast"/>
        <w:ind w:left="420" w:leftChars="0" w:right="0" w:hanging="36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Comprehensively identify security threats to the PIS in hardware, software, data, communication, management, and other dimensions, and analyze threat sources and trigger conditions.</w:t>
      </w:r>
    </w:p>
    <w:p w14:paraId="59AC3AB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480" w:lineRule="atLeast"/>
        <w:ind w:left="420" w:leftChars="0" w:right="0" w:hanging="36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Develop scientific, feasible, and implementable security control measures and emergency response plans for risks of different levels to reduce risks to an acceptable level.</w:t>
      </w:r>
    </w:p>
    <w:p w14:paraId="6DD9FB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1.3 Assessment Scope</w:t>
      </w:r>
    </w:p>
    <w:p w14:paraId="5791366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1.3.1 System Scope</w:t>
      </w:r>
    </w:p>
    <w:p w14:paraId="4F7CAD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 xml:space="preserve">This assessment covers the </w:t>
      </w:r>
      <w:r>
        <w:rPr>
          <w:rFonts w:hint="eastAsia" w:ascii="Times New Roman Regular" w:hAnsi="Times New Roman Regular" w:eastAsia="宋体" w:cs="Times New Roman Regular"/>
          <w:color w:val="000000"/>
          <w:kern w:val="0"/>
          <w:sz w:val="24"/>
          <w:szCs w:val="24"/>
          <w:bdr w:val="none" w:color="auto" w:sz="0" w:space="0"/>
          <w:lang w:val="en-US" w:eastAsia="zh-CN" w:bidi="ar"/>
        </w:rPr>
        <w:t>life cycle</w:t>
      </w:r>
      <w:r>
        <w:rPr>
          <w:rFonts w:hint="default" w:ascii="Times New Roman Regular" w:hAnsi="Times New Roman Regular" w:eastAsia="宋体" w:cs="Times New Roman Regular"/>
          <w:color w:val="000000"/>
          <w:kern w:val="0"/>
          <w:sz w:val="24"/>
          <w:szCs w:val="24"/>
          <w:bdr w:val="none" w:color="auto" w:sz="0" w:space="0"/>
          <w:lang w:val="en-US" w:eastAsia="zh-CN" w:bidi="ar"/>
        </w:rPr>
        <w:t xml:space="preserve"> of the PIS developed by the company, including hardware equipment, software components, data resources, communication links, and operation and management links, as detailed below:</w:t>
      </w:r>
    </w:p>
    <w:p w14:paraId="6A5F09B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480" w:lineRule="atLeast"/>
        <w:ind w:left="420" w:leftChars="0" w:right="0" w:hanging="36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 xml:space="preserve">Hardware equipment: dedicated PIS terminals (including network </w:t>
      </w:r>
      <w:r>
        <w:rPr>
          <w:rFonts w:hint="eastAsia" w:ascii="Times New Roman Regular" w:hAnsi="Times New Roman Regular" w:cs="Times New Roman Regular"/>
          <w:color w:val="000000"/>
          <w:sz w:val="24"/>
          <w:szCs w:val="24"/>
          <w:bdr w:val="none" w:color="auto" w:sz="0" w:space="0"/>
          <w:lang w:val="en-US" w:eastAsia="zh-CN"/>
        </w:rPr>
        <w:t xml:space="preserve">interface </w:t>
      </w:r>
      <w:r>
        <w:rPr>
          <w:rFonts w:hint="default" w:ascii="Times New Roman Regular" w:hAnsi="Times New Roman Regular" w:cs="Times New Roman Regular"/>
          <w:color w:val="000000"/>
          <w:sz w:val="24"/>
          <w:szCs w:val="24"/>
          <w:bdr w:val="none" w:color="auto" w:sz="0" w:space="0"/>
        </w:rPr>
        <w:t xml:space="preserve">and USB interface), data transmission modules, display </w:t>
      </w:r>
      <w:r>
        <w:rPr>
          <w:rFonts w:hint="default" w:ascii="Times New Roman Regular" w:hAnsi="Times New Roman Regular" w:cs="Times New Roman Regular"/>
          <w:color w:val="000000"/>
          <w:sz w:val="24"/>
          <w:szCs w:val="24"/>
          <w:bdr w:val="none" w:color="auto" w:sz="0" w:space="0"/>
          <w:lang w:val="en-US"/>
        </w:rPr>
        <w:t xml:space="preserve">and </w:t>
      </w:r>
      <w:r>
        <w:rPr>
          <w:rFonts w:hint="eastAsia" w:ascii="Times New Roman Regular" w:hAnsi="Times New Roman Regular" w:cs="Times New Roman Regular"/>
          <w:color w:val="000000"/>
          <w:sz w:val="24"/>
          <w:szCs w:val="24"/>
          <w:bdr w:val="none" w:color="auto" w:sz="0" w:space="0"/>
          <w:lang w:val="en-US" w:eastAsia="zh-CN"/>
        </w:rPr>
        <w:t>audio terminals</w:t>
      </w:r>
      <w:r>
        <w:rPr>
          <w:rFonts w:hint="default" w:ascii="Times New Roman Regular" w:hAnsi="Times New Roman Regular" w:cs="Times New Roman Regular"/>
          <w:color w:val="000000"/>
          <w:sz w:val="24"/>
          <w:szCs w:val="24"/>
          <w:bdr w:val="none" w:color="auto" w:sz="0" w:space="0"/>
          <w:lang w:val="en-US" w:eastAsia="zh-CN"/>
        </w:rPr>
        <w:t xml:space="preserve">, </w:t>
      </w:r>
      <w:r>
        <w:rPr>
          <w:rFonts w:hint="default" w:ascii="Times New Roman Regular" w:hAnsi="Times New Roman Regular" w:cs="Times New Roman Regular"/>
          <w:color w:val="000000"/>
          <w:sz w:val="24"/>
          <w:szCs w:val="24"/>
          <w:bdr w:val="none" w:color="auto" w:sz="0" w:space="0"/>
        </w:rPr>
        <w:t>etc.</w:t>
      </w:r>
    </w:p>
    <w:p w14:paraId="74116B2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480" w:lineRule="atLeast"/>
        <w:ind w:left="420" w:leftChars="0" w:right="0" w:hanging="36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Software components: system firmware, data processing programs, communication protocol stack, seat reservation module, display control module, etc.</w:t>
      </w:r>
    </w:p>
    <w:p w14:paraId="31A8457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480" w:lineRule="atLeast"/>
        <w:ind w:left="420" w:leftChars="0" w:right="0" w:hanging="36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Data resources: runtime data (real-time passenger count, vehicle status, station arrival information, etc.) and non-runtime data (device configuration, logs, seat reservation records, device parameters, etc.).</w:t>
      </w:r>
    </w:p>
    <w:p w14:paraId="5EC1C3D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480" w:lineRule="atLeast"/>
        <w:ind w:left="420" w:leftChars="0" w:right="0" w:hanging="36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Communication links: TCP-based communication links between PIS terminals and other system modules, and data transmission channels of device interfaces (network port, USB).</w:t>
      </w:r>
    </w:p>
    <w:p w14:paraId="2300CD0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480" w:lineRule="atLeast"/>
        <w:ind w:left="420" w:leftChars="0" w:right="0" w:hanging="36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Management links: daily management processes such as device deployment, operation and maintenance, permission management, firmware upgrade, and data backup.</w:t>
      </w:r>
    </w:p>
    <w:p w14:paraId="7D5DE0A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1.3.2 Assessment Boundary</w:t>
      </w:r>
    </w:p>
    <w:p w14:paraId="2C43F0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This assessment does not include the internal security of external third-party systems connected to the PIS (such as traffic dispatch platforms and ticketing systems), but only evaluates the security risks of the PIS itself and its external interfaces. It does not involve physical damage to hardware (such as equipment failures caused by man-made damage or natural disasters), but only focuses on security threats at the device interface and logical levels.</w:t>
      </w:r>
    </w:p>
    <w:p w14:paraId="061C8ED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1.</w:t>
      </w:r>
      <w:r>
        <w:rPr>
          <w:rFonts w:hint="default" w:ascii="Times New Roman Regular" w:hAnsi="Times New Roman Regular" w:cs="Times New Roman Regular"/>
          <w:color w:val="000000"/>
          <w:sz w:val="24"/>
          <w:szCs w:val="24"/>
          <w:bdr w:val="none" w:color="auto" w:sz="0" w:space="0"/>
          <w:lang w:val="en-US"/>
        </w:rPr>
        <w:t>4</w:t>
      </w:r>
      <w:r>
        <w:rPr>
          <w:rFonts w:hint="default" w:ascii="Times New Roman Regular" w:hAnsi="Times New Roman Regular" w:cs="Times New Roman Regular"/>
          <w:color w:val="000000"/>
          <w:sz w:val="24"/>
          <w:szCs w:val="24"/>
          <w:bdr w:val="none" w:color="auto" w:sz="0" w:space="0"/>
        </w:rPr>
        <w:t xml:space="preserve"> Assessment Methodology</w:t>
      </w:r>
    </w:p>
    <w:p w14:paraId="2300BB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This assessment adopts the standard TRA methodology, combined with the industry and technical characteristics of the PIS. The following methods are used to ensure comprehensive and accurate results:</w:t>
      </w:r>
    </w:p>
    <w:p w14:paraId="020A3ED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480" w:lineRule="atLeast"/>
        <w:ind w:left="420" w:leftChars="0" w:right="0" w:hanging="36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Asset identification: sort out core assets, clarify asset value and importance through document review, technical disclosure, and on-site investigation.</w:t>
      </w:r>
    </w:p>
    <w:p w14:paraId="4799764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480" w:lineRule="atLeast"/>
        <w:ind w:left="420" w:leftChars="0" w:right="0" w:hanging="36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Threat identification: identify threats through vulnerability scanning, manual penetration testing, threat intelligence analysis, and expert judgment.</w:t>
      </w:r>
    </w:p>
    <w:p w14:paraId="714961D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480" w:lineRule="atLeast"/>
        <w:ind w:left="420" w:leftChars="0" w:right="0" w:hanging="36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Impact a</w:t>
      </w:r>
      <w:bookmarkStart w:id="0" w:name="_GoBack"/>
      <w:bookmarkEnd w:id="0"/>
      <w:r>
        <w:rPr>
          <w:rFonts w:hint="default" w:ascii="Times New Roman Regular" w:hAnsi="Times New Roman Regular" w:cs="Times New Roman Regular"/>
          <w:color w:val="000000"/>
          <w:sz w:val="24"/>
          <w:szCs w:val="24"/>
          <w:bdr w:val="none" w:color="auto" w:sz="0" w:space="0"/>
        </w:rPr>
        <w:t>nalysis: analyze direct and indirect impacts on assets, business operations, passenger rights, and corporate reputation, and quantify impact levels.</w:t>
      </w:r>
    </w:p>
    <w:p w14:paraId="7EF17FC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480" w:lineRule="atLeast"/>
        <w:ind w:left="420" w:leftChars="0" w:right="0" w:hanging="36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Likelihood analysis: analyze the probability of threats based on threat sources, trigger conditions, and current protection status.</w:t>
      </w:r>
    </w:p>
    <w:p w14:paraId="7FD10E0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480" w:lineRule="atLeast"/>
        <w:ind w:left="420" w:leftChars="0" w:right="0" w:hanging="36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 xml:space="preserve">Risk rating: use a quantitative model </w:t>
      </w:r>
      <w:r>
        <w:rPr>
          <w:rStyle w:val="9"/>
          <w:rFonts w:hint="default" w:ascii="Times New Roman Regular" w:hAnsi="Times New Roman Regular" w:cs="Times New Roman Regular"/>
          <w:b/>
          <w:bCs/>
          <w:color w:val="000000"/>
          <w:sz w:val="24"/>
          <w:szCs w:val="24"/>
          <w:bdr w:val="none" w:color="auto" w:sz="0" w:space="0"/>
        </w:rPr>
        <w:t>Risk Level = Likelihood × Impact</w:t>
      </w:r>
      <w:r>
        <w:rPr>
          <w:rFonts w:hint="default" w:ascii="Times New Roman Regular" w:hAnsi="Times New Roman Regular" w:cs="Times New Roman Regular"/>
          <w:color w:val="000000"/>
          <w:sz w:val="24"/>
          <w:szCs w:val="24"/>
          <w:bdr w:val="none" w:color="auto" w:sz="0" w:space="0"/>
        </w:rPr>
        <w:t xml:space="preserve"> to classify risks as Critical, High, Medium, and Low.</w:t>
      </w:r>
    </w:p>
    <w:p w14:paraId="50DC89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2. System Overview</w:t>
      </w:r>
    </w:p>
    <w:p w14:paraId="5E863D6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2.1 System Architecture</w:t>
      </w:r>
    </w:p>
    <w:p w14:paraId="756779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The PIS adopts a distributed architecture, consisting of four layers: terminal layer, communication layer, data layer, and application layer. They work together to realize the collection, processing, transmission, and display of passenger information.</w:t>
      </w:r>
    </w:p>
    <w:p w14:paraId="4087141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Style w:val="9"/>
          <w:rFonts w:hint="default" w:ascii="Times New Roman Regular" w:hAnsi="Times New Roman Regular" w:cs="Times New Roman Regular"/>
          <w:b/>
          <w:bCs/>
          <w:color w:val="000000"/>
          <w:sz w:val="24"/>
          <w:szCs w:val="24"/>
          <w:bdr w:val="none" w:color="auto" w:sz="0" w:space="0"/>
        </w:rPr>
        <w:t>Terminal layer</w:t>
      </w:r>
      <w:r>
        <w:rPr>
          <w:rFonts w:hint="default" w:ascii="Times New Roman Regular" w:hAnsi="Times New Roman Regular" w:cs="Times New Roman Regular"/>
          <w:color w:val="000000"/>
          <w:sz w:val="24"/>
          <w:szCs w:val="24"/>
          <w:bdr w:val="none" w:color="auto" w:sz="0" w:space="0"/>
        </w:rPr>
        <w:t>: includes dedicated PIS hardware terminals and display terminals. Terminals are equipped with one network port (for communication) and one USB interface (for debugging, firmware upgrade, or data export). They collect real-time passenger count and receive station information, and display content to passengers.</w:t>
      </w:r>
    </w:p>
    <w:p w14:paraId="0E2EE55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Style w:val="9"/>
          <w:rFonts w:hint="default" w:ascii="Times New Roman Regular" w:hAnsi="Times New Roman Regular" w:cs="Times New Roman Regular"/>
          <w:b/>
          <w:bCs/>
          <w:color w:val="000000"/>
          <w:sz w:val="24"/>
          <w:szCs w:val="24"/>
          <w:bdr w:val="none" w:color="auto" w:sz="0" w:space="0"/>
        </w:rPr>
        <w:t>Communication layer</w:t>
      </w:r>
      <w:r>
        <w:rPr>
          <w:rFonts w:hint="default" w:ascii="Times New Roman Regular" w:hAnsi="Times New Roman Regular" w:cs="Times New Roman Regular"/>
          <w:color w:val="000000"/>
          <w:sz w:val="24"/>
          <w:szCs w:val="24"/>
          <w:bdr w:val="none" w:color="auto" w:sz="0" w:space="0"/>
        </w:rPr>
        <w:t>: uses TCP as the core protocol for data transmission between PIS terminals and other modules. Runtime data is encrypted; non-runtime data is transmitted in plaintext.</w:t>
      </w:r>
    </w:p>
    <w:p w14:paraId="144754C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Style w:val="9"/>
          <w:rFonts w:hint="default" w:ascii="Times New Roman Regular" w:hAnsi="Times New Roman Regular" w:cs="Times New Roman Regular"/>
          <w:b/>
          <w:bCs/>
          <w:color w:val="000000"/>
          <w:sz w:val="24"/>
          <w:szCs w:val="24"/>
          <w:bdr w:val="none" w:color="auto" w:sz="0" w:space="0"/>
        </w:rPr>
        <w:t>Data layer</w:t>
      </w:r>
      <w:r>
        <w:rPr>
          <w:rFonts w:hint="default" w:ascii="Times New Roman Regular" w:hAnsi="Times New Roman Regular" w:cs="Times New Roman Regular"/>
          <w:color w:val="000000"/>
          <w:sz w:val="24"/>
          <w:szCs w:val="24"/>
          <w:bdr w:val="none" w:color="auto" w:sz="0" w:space="0"/>
        </w:rPr>
        <w:t>: stores runtime data (encrypted) and non-runtime data (plaintext), including passenger flow, vehicle status, configuration, logs, and reservation records.</w:t>
      </w:r>
    </w:p>
    <w:p w14:paraId="6B34C59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Style w:val="9"/>
          <w:rFonts w:hint="default" w:ascii="Times New Roman Regular" w:hAnsi="Times New Roman Regular" w:cs="Times New Roman Regular"/>
          <w:b/>
          <w:bCs/>
          <w:color w:val="000000"/>
          <w:sz w:val="24"/>
          <w:szCs w:val="24"/>
          <w:bdr w:val="none" w:color="auto" w:sz="0" w:space="0"/>
        </w:rPr>
        <w:t>Application layer</w:t>
      </w:r>
      <w:r>
        <w:rPr>
          <w:rFonts w:hint="default" w:ascii="Times New Roman Regular" w:hAnsi="Times New Roman Regular" w:cs="Times New Roman Regular"/>
          <w:color w:val="000000"/>
          <w:sz w:val="24"/>
          <w:szCs w:val="24"/>
          <w:bdr w:val="none" w:color="auto" w:sz="0" w:space="0"/>
        </w:rPr>
        <w:t>: includes seat reservation, station reminder, passenger flow statistics, and display control modules. It processes data collected by terminals and issues control commands.</w:t>
      </w:r>
    </w:p>
    <w:p w14:paraId="731173E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2.2 Core Functions</w:t>
      </w:r>
    </w:p>
    <w:p w14:paraId="48421418">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Passenger flow display: collects real-time passenger count and displays occupancy status.</w:t>
      </w:r>
    </w:p>
    <w:p w14:paraId="01018E9A">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Station arrival reminder: receives dispatch information and reminds passengers via voice and text.</w:t>
      </w:r>
    </w:p>
    <w:p w14:paraId="719D8B9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Seat reservation: supports seat booking, records information, and displays occupancy status.</w:t>
      </w:r>
    </w:p>
    <w:p w14:paraId="6B8CC29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Device management: allows O&amp;M personnel to debug, upgrade firmware, and configure parameters via network or USB.</w:t>
      </w:r>
    </w:p>
    <w:p w14:paraId="0584E8C6">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Log recording: records system status, terminal operations, and data transmission for O&amp;M and troubleshooting.</w:t>
      </w:r>
    </w:p>
    <w:p w14:paraId="7B3B820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2.3 Current Security Status</w:t>
      </w:r>
    </w:p>
    <w:p w14:paraId="242B34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The PIS has adopted basic security measures but still has obvious shortcomings:</w:t>
      </w:r>
    </w:p>
    <w:p w14:paraId="7D60A3B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Style w:val="9"/>
          <w:rFonts w:hint="default" w:ascii="Times New Roman Regular" w:hAnsi="Times New Roman Regular" w:cs="Times New Roman Regular"/>
          <w:b/>
          <w:bCs/>
          <w:color w:val="000000"/>
          <w:sz w:val="24"/>
          <w:szCs w:val="24"/>
          <w:bdr w:val="none" w:color="auto" w:sz="0" w:space="0"/>
        </w:rPr>
        <w:t>Data security</w:t>
      </w:r>
      <w:r>
        <w:rPr>
          <w:rFonts w:hint="default" w:ascii="Times New Roman Regular" w:hAnsi="Times New Roman Regular" w:cs="Times New Roman Regular"/>
          <w:color w:val="000000"/>
          <w:sz w:val="24"/>
          <w:szCs w:val="24"/>
          <w:bdr w:val="none" w:color="auto" w:sz="0" w:space="0"/>
        </w:rPr>
        <w:t>: runtime data is encrypted in transmission and storage; non-runtime data is unencrypted, risking leakage and tampering.</w:t>
      </w:r>
    </w:p>
    <w:p w14:paraId="59BB8A5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Style w:val="9"/>
          <w:rFonts w:hint="default" w:ascii="Times New Roman Regular" w:hAnsi="Times New Roman Regular" w:cs="Times New Roman Regular"/>
          <w:b/>
          <w:bCs/>
          <w:color w:val="000000"/>
          <w:sz w:val="24"/>
          <w:szCs w:val="24"/>
          <w:bdr w:val="none" w:color="auto" w:sz="0" w:space="0"/>
        </w:rPr>
        <w:t>Communication security</w:t>
      </w:r>
      <w:r>
        <w:rPr>
          <w:rFonts w:hint="default" w:ascii="Times New Roman Regular" w:hAnsi="Times New Roman Regular" w:cs="Times New Roman Regular"/>
          <w:color w:val="000000"/>
          <w:sz w:val="24"/>
          <w:szCs w:val="24"/>
          <w:bdr w:val="none" w:color="auto" w:sz="0" w:space="0"/>
        </w:rPr>
        <w:t>: TCP is used; only runtime data is encrypted. Lack of two-way authentication risks identity forgery and data hijacking.</w:t>
      </w:r>
    </w:p>
    <w:p w14:paraId="103F25D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Style w:val="9"/>
          <w:rFonts w:hint="default" w:ascii="Times New Roman Regular" w:hAnsi="Times New Roman Regular" w:cs="Times New Roman Regular"/>
          <w:b/>
          <w:bCs/>
          <w:color w:val="000000"/>
          <w:sz w:val="24"/>
          <w:szCs w:val="24"/>
          <w:bdr w:val="none" w:color="auto" w:sz="0" w:space="0"/>
        </w:rPr>
        <w:t>Device security</w:t>
      </w:r>
      <w:r>
        <w:rPr>
          <w:rFonts w:hint="default" w:ascii="Times New Roman Regular" w:hAnsi="Times New Roman Regular" w:cs="Times New Roman Regular"/>
          <w:color w:val="000000"/>
          <w:sz w:val="24"/>
          <w:szCs w:val="24"/>
          <w:bdr w:val="none" w:color="auto" w:sz="0" w:space="0"/>
        </w:rPr>
        <w:t>: network and USB interfaces lack strict access control, risking malicious access and tampering.</w:t>
      </w:r>
    </w:p>
    <w:p w14:paraId="0497E09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Style w:val="9"/>
          <w:rFonts w:hint="default" w:ascii="Times New Roman Regular" w:hAnsi="Times New Roman Regular" w:cs="Times New Roman Regular"/>
          <w:b/>
          <w:bCs/>
          <w:color w:val="000000"/>
          <w:sz w:val="24"/>
          <w:szCs w:val="24"/>
          <w:bdr w:val="none" w:color="auto" w:sz="0" w:space="0"/>
        </w:rPr>
        <w:t>O&amp;M security</w:t>
      </w:r>
      <w:r>
        <w:rPr>
          <w:rFonts w:hint="default" w:ascii="Times New Roman Regular" w:hAnsi="Times New Roman Regular" w:cs="Times New Roman Regular"/>
          <w:color w:val="000000"/>
          <w:sz w:val="24"/>
          <w:szCs w:val="24"/>
          <w:bdr w:val="none" w:color="auto" w:sz="0" w:space="0"/>
        </w:rPr>
        <w:t>: lack of complete operation audit; no full traceability, leading to repudiation risks.</w:t>
      </w:r>
    </w:p>
    <w:p w14:paraId="024AC5B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Style w:val="9"/>
          <w:rFonts w:hint="default" w:ascii="Times New Roman Regular" w:hAnsi="Times New Roman Regular" w:cs="Times New Roman Regular"/>
          <w:b/>
          <w:bCs/>
          <w:color w:val="000000"/>
          <w:sz w:val="24"/>
          <w:szCs w:val="24"/>
          <w:bdr w:val="none" w:color="auto" w:sz="0" w:space="0"/>
        </w:rPr>
        <w:t>Terminal security</w:t>
      </w:r>
      <w:r>
        <w:rPr>
          <w:rFonts w:hint="default" w:ascii="Times New Roman Regular" w:hAnsi="Times New Roman Regular" w:cs="Times New Roman Regular"/>
          <w:color w:val="000000"/>
          <w:sz w:val="24"/>
          <w:szCs w:val="24"/>
          <w:bdr w:val="none" w:color="auto" w:sz="0" w:space="0"/>
        </w:rPr>
        <w:t>: embedded terminals have limited performance, no terminal protection software, and weak resistance to DoS and privilege escalation attacks.</w:t>
      </w:r>
    </w:p>
    <w:p w14:paraId="6B7E2E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3. Asset Identification and Classification</w:t>
      </w:r>
    </w:p>
    <w:p w14:paraId="05E2A8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Assets are the core of PIS protection. Assets are classified into three levels based on importance, value, and impact:</w:t>
      </w:r>
    </w:p>
    <w:p w14:paraId="7E89915C">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Level 1: Core Assets</w:t>
      </w:r>
    </w:p>
    <w:p w14:paraId="653B82A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Level 2: Important Assets</w:t>
      </w:r>
    </w:p>
    <w:p w14:paraId="6B364C55">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Level 3: General Assets</w:t>
      </w:r>
    </w:p>
    <w:p w14:paraId="7D14E97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3.1 Asset List</w:t>
      </w:r>
    </w:p>
    <w:p w14:paraId="4EB0F3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表格</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219"/>
        <w:gridCol w:w="1577"/>
        <w:gridCol w:w="1771"/>
        <w:gridCol w:w="870"/>
        <w:gridCol w:w="1271"/>
        <w:gridCol w:w="1658"/>
      </w:tblGrid>
      <w:tr w14:paraId="0D7B9AA8">
        <w:trPr>
          <w:tblHeader/>
          <w:tblCellSpacing w:w="15" w:type="dxa"/>
        </w:trPr>
        <w:tc>
          <w:tcPr>
            <w:tcW w:w="0" w:type="auto"/>
            <w:shd w:val="clear"/>
            <w:vAlign w:val="center"/>
          </w:tcPr>
          <w:p w14:paraId="24E1987F">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Asset ID</w:t>
            </w:r>
          </w:p>
        </w:tc>
        <w:tc>
          <w:tcPr>
            <w:tcW w:w="0" w:type="auto"/>
            <w:shd w:val="clear"/>
            <w:vAlign w:val="center"/>
          </w:tcPr>
          <w:p w14:paraId="4ECC3591">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Asset Type</w:t>
            </w:r>
          </w:p>
        </w:tc>
        <w:tc>
          <w:tcPr>
            <w:tcW w:w="0" w:type="auto"/>
            <w:shd w:val="clear"/>
            <w:vAlign w:val="center"/>
          </w:tcPr>
          <w:p w14:paraId="53AFF76D">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Asset Description</w:t>
            </w:r>
          </w:p>
        </w:tc>
        <w:tc>
          <w:tcPr>
            <w:tcW w:w="0" w:type="auto"/>
            <w:shd w:val="clear"/>
            <w:vAlign w:val="center"/>
          </w:tcPr>
          <w:p w14:paraId="253EB9DA">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Asset Value</w:t>
            </w:r>
          </w:p>
        </w:tc>
        <w:tc>
          <w:tcPr>
            <w:tcW w:w="0" w:type="auto"/>
            <w:shd w:val="clear"/>
            <w:vAlign w:val="center"/>
          </w:tcPr>
          <w:p w14:paraId="63D6B945">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Importance Level</w:t>
            </w:r>
          </w:p>
        </w:tc>
        <w:tc>
          <w:tcPr>
            <w:tcW w:w="0" w:type="auto"/>
            <w:shd w:val="clear"/>
            <w:vAlign w:val="center"/>
          </w:tcPr>
          <w:p w14:paraId="2E3B5ED6">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Remarks</w:t>
            </w:r>
          </w:p>
        </w:tc>
      </w:tr>
      <w:tr w14:paraId="755B0C46">
        <w:trPr>
          <w:tblCellSpacing w:w="15" w:type="dxa"/>
        </w:trPr>
        <w:tc>
          <w:tcPr>
            <w:tcW w:w="0" w:type="auto"/>
            <w:shd w:val="clear"/>
            <w:vAlign w:val="center"/>
          </w:tcPr>
          <w:p w14:paraId="57901573">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ASSET-001</w:t>
            </w:r>
          </w:p>
        </w:tc>
        <w:tc>
          <w:tcPr>
            <w:tcW w:w="0" w:type="auto"/>
            <w:shd w:val="clear"/>
            <w:vAlign w:val="center"/>
          </w:tcPr>
          <w:p w14:paraId="54CBC332">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Hardware</w:t>
            </w:r>
          </w:p>
        </w:tc>
        <w:tc>
          <w:tcPr>
            <w:tcW w:w="0" w:type="auto"/>
            <w:shd w:val="clear"/>
            <w:vAlign w:val="center"/>
          </w:tcPr>
          <w:p w14:paraId="1D01FB6B">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Dedicated PIS terminal (with network &amp; USB)</w:t>
            </w:r>
          </w:p>
        </w:tc>
        <w:tc>
          <w:tcPr>
            <w:tcW w:w="0" w:type="auto"/>
            <w:shd w:val="clear"/>
            <w:vAlign w:val="center"/>
          </w:tcPr>
          <w:p w14:paraId="21447B7E">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High</w:t>
            </w:r>
          </w:p>
        </w:tc>
        <w:tc>
          <w:tcPr>
            <w:tcW w:w="0" w:type="auto"/>
            <w:shd w:val="clear"/>
            <w:vAlign w:val="center"/>
          </w:tcPr>
          <w:p w14:paraId="315BC0BA">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Level 1</w:t>
            </w:r>
          </w:p>
        </w:tc>
        <w:tc>
          <w:tcPr>
            <w:tcW w:w="0" w:type="auto"/>
            <w:shd w:val="clear"/>
            <w:vAlign w:val="center"/>
          </w:tcPr>
          <w:p w14:paraId="1C259252">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Core terminal for data collection &amp; display</w:t>
            </w:r>
          </w:p>
        </w:tc>
      </w:tr>
      <w:tr w14:paraId="1C2A8368">
        <w:trPr>
          <w:tblCellSpacing w:w="15" w:type="dxa"/>
        </w:trPr>
        <w:tc>
          <w:tcPr>
            <w:tcW w:w="0" w:type="auto"/>
            <w:shd w:val="clear"/>
            <w:vAlign w:val="center"/>
          </w:tcPr>
          <w:p w14:paraId="25E6A2AB">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ASSET-002</w:t>
            </w:r>
          </w:p>
        </w:tc>
        <w:tc>
          <w:tcPr>
            <w:tcW w:w="0" w:type="auto"/>
            <w:shd w:val="clear"/>
            <w:vAlign w:val="center"/>
          </w:tcPr>
          <w:p w14:paraId="15EB2652">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Hardware</w:t>
            </w:r>
          </w:p>
        </w:tc>
        <w:tc>
          <w:tcPr>
            <w:tcW w:w="0" w:type="auto"/>
            <w:shd w:val="clear"/>
            <w:vAlign w:val="center"/>
          </w:tcPr>
          <w:p w14:paraId="366B6F15">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Display terminal</w:t>
            </w:r>
          </w:p>
        </w:tc>
        <w:tc>
          <w:tcPr>
            <w:tcW w:w="0" w:type="auto"/>
            <w:shd w:val="clear"/>
            <w:vAlign w:val="center"/>
          </w:tcPr>
          <w:p w14:paraId="66FFB70D">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Medium</w:t>
            </w:r>
          </w:p>
        </w:tc>
        <w:tc>
          <w:tcPr>
            <w:tcW w:w="0" w:type="auto"/>
            <w:shd w:val="clear"/>
            <w:vAlign w:val="center"/>
          </w:tcPr>
          <w:p w14:paraId="65D937B3">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Level 2</w:t>
            </w:r>
          </w:p>
        </w:tc>
        <w:tc>
          <w:tcPr>
            <w:tcW w:w="0" w:type="auto"/>
            <w:shd w:val="clear"/>
            <w:vAlign w:val="center"/>
          </w:tcPr>
          <w:p w14:paraId="45AD205D">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Affects passenger experience</w:t>
            </w:r>
          </w:p>
        </w:tc>
      </w:tr>
      <w:tr w14:paraId="48DE28C2">
        <w:trPr>
          <w:tblCellSpacing w:w="15" w:type="dxa"/>
        </w:trPr>
        <w:tc>
          <w:tcPr>
            <w:tcW w:w="0" w:type="auto"/>
            <w:shd w:val="clear"/>
            <w:vAlign w:val="center"/>
          </w:tcPr>
          <w:p w14:paraId="54550DDC">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ASSET-003</w:t>
            </w:r>
          </w:p>
        </w:tc>
        <w:tc>
          <w:tcPr>
            <w:tcW w:w="0" w:type="auto"/>
            <w:shd w:val="clear"/>
            <w:vAlign w:val="center"/>
          </w:tcPr>
          <w:p w14:paraId="0BD01FEA">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Data</w:t>
            </w:r>
          </w:p>
        </w:tc>
        <w:tc>
          <w:tcPr>
            <w:tcW w:w="0" w:type="auto"/>
            <w:shd w:val="clear"/>
            <w:vAlign w:val="center"/>
          </w:tcPr>
          <w:p w14:paraId="3836F20B">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Runtime data (passenger flow, status, stations)</w:t>
            </w:r>
          </w:p>
        </w:tc>
        <w:tc>
          <w:tcPr>
            <w:tcW w:w="0" w:type="auto"/>
            <w:shd w:val="clear"/>
            <w:vAlign w:val="center"/>
          </w:tcPr>
          <w:p w14:paraId="5D2C34AF">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High</w:t>
            </w:r>
          </w:p>
        </w:tc>
        <w:tc>
          <w:tcPr>
            <w:tcW w:w="0" w:type="auto"/>
            <w:shd w:val="clear"/>
            <w:vAlign w:val="center"/>
          </w:tcPr>
          <w:p w14:paraId="6D3774C4">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Level 1</w:t>
            </w:r>
          </w:p>
        </w:tc>
        <w:tc>
          <w:tcPr>
            <w:tcW w:w="0" w:type="auto"/>
            <w:shd w:val="clear"/>
            <w:vAlign w:val="center"/>
          </w:tcPr>
          <w:p w14:paraId="57A2B0C8">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Encrypted, supports core business</w:t>
            </w:r>
          </w:p>
        </w:tc>
      </w:tr>
      <w:tr w14:paraId="5C580E75">
        <w:trPr>
          <w:tblCellSpacing w:w="15" w:type="dxa"/>
        </w:trPr>
        <w:tc>
          <w:tcPr>
            <w:tcW w:w="0" w:type="auto"/>
            <w:shd w:val="clear"/>
            <w:vAlign w:val="center"/>
          </w:tcPr>
          <w:p w14:paraId="3EBF20CF">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ASSET-004</w:t>
            </w:r>
          </w:p>
        </w:tc>
        <w:tc>
          <w:tcPr>
            <w:tcW w:w="0" w:type="auto"/>
            <w:shd w:val="clear"/>
            <w:vAlign w:val="center"/>
          </w:tcPr>
          <w:p w14:paraId="314E8D98">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Data</w:t>
            </w:r>
          </w:p>
        </w:tc>
        <w:tc>
          <w:tcPr>
            <w:tcW w:w="0" w:type="auto"/>
            <w:shd w:val="clear"/>
            <w:vAlign w:val="center"/>
          </w:tcPr>
          <w:p w14:paraId="31E56455">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Non-runtime data (config, logs, reservations)</w:t>
            </w:r>
          </w:p>
        </w:tc>
        <w:tc>
          <w:tcPr>
            <w:tcW w:w="0" w:type="auto"/>
            <w:shd w:val="clear"/>
            <w:vAlign w:val="center"/>
          </w:tcPr>
          <w:p w14:paraId="2190E230">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High</w:t>
            </w:r>
          </w:p>
        </w:tc>
        <w:tc>
          <w:tcPr>
            <w:tcW w:w="0" w:type="auto"/>
            <w:shd w:val="clear"/>
            <w:vAlign w:val="center"/>
          </w:tcPr>
          <w:p w14:paraId="3E557AF8">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Level 1</w:t>
            </w:r>
          </w:p>
        </w:tc>
        <w:tc>
          <w:tcPr>
            <w:tcW w:w="0" w:type="auto"/>
            <w:shd w:val="clear"/>
            <w:vAlign w:val="center"/>
          </w:tcPr>
          <w:p w14:paraId="02CCB952">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Plaintext, contains privacy &amp; configuration</w:t>
            </w:r>
          </w:p>
        </w:tc>
      </w:tr>
      <w:tr w14:paraId="13991DCE">
        <w:trPr>
          <w:tblCellSpacing w:w="15" w:type="dxa"/>
        </w:trPr>
        <w:tc>
          <w:tcPr>
            <w:tcW w:w="0" w:type="auto"/>
            <w:shd w:val="clear"/>
            <w:vAlign w:val="center"/>
          </w:tcPr>
          <w:p w14:paraId="0A1C0079">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ASSET-005</w:t>
            </w:r>
          </w:p>
        </w:tc>
        <w:tc>
          <w:tcPr>
            <w:tcW w:w="0" w:type="auto"/>
            <w:shd w:val="clear"/>
            <w:vAlign w:val="center"/>
          </w:tcPr>
          <w:p w14:paraId="2BF6717D">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Software</w:t>
            </w:r>
          </w:p>
        </w:tc>
        <w:tc>
          <w:tcPr>
            <w:tcW w:w="0" w:type="auto"/>
            <w:shd w:val="clear"/>
            <w:vAlign w:val="center"/>
          </w:tcPr>
          <w:p w14:paraId="4AC95F9A">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System firmware, data processing programs</w:t>
            </w:r>
          </w:p>
        </w:tc>
        <w:tc>
          <w:tcPr>
            <w:tcW w:w="0" w:type="auto"/>
            <w:shd w:val="clear"/>
            <w:vAlign w:val="center"/>
          </w:tcPr>
          <w:p w14:paraId="3CFA4F71">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High</w:t>
            </w:r>
          </w:p>
        </w:tc>
        <w:tc>
          <w:tcPr>
            <w:tcW w:w="0" w:type="auto"/>
            <w:shd w:val="clear"/>
            <w:vAlign w:val="center"/>
          </w:tcPr>
          <w:p w14:paraId="470DB7F6">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Level 1</w:t>
            </w:r>
          </w:p>
        </w:tc>
        <w:tc>
          <w:tcPr>
            <w:tcW w:w="0" w:type="auto"/>
            <w:shd w:val="clear"/>
            <w:vAlign w:val="center"/>
          </w:tcPr>
          <w:p w14:paraId="0725A1F8">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Vulnerabilities may lead to attacks</w:t>
            </w:r>
          </w:p>
        </w:tc>
      </w:tr>
      <w:tr w14:paraId="3C20CE22">
        <w:trPr>
          <w:tblCellSpacing w:w="15" w:type="dxa"/>
        </w:trPr>
        <w:tc>
          <w:tcPr>
            <w:tcW w:w="0" w:type="auto"/>
            <w:shd w:val="clear"/>
            <w:vAlign w:val="center"/>
          </w:tcPr>
          <w:p w14:paraId="315EDE83">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ASSET-006</w:t>
            </w:r>
          </w:p>
        </w:tc>
        <w:tc>
          <w:tcPr>
            <w:tcW w:w="0" w:type="auto"/>
            <w:shd w:val="clear"/>
            <w:vAlign w:val="center"/>
          </w:tcPr>
          <w:p w14:paraId="15C91F3F">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Software</w:t>
            </w:r>
          </w:p>
        </w:tc>
        <w:tc>
          <w:tcPr>
            <w:tcW w:w="0" w:type="auto"/>
            <w:shd w:val="clear"/>
            <w:vAlign w:val="center"/>
          </w:tcPr>
          <w:p w14:paraId="71810361">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Communication protocol stack (TCP)</w:t>
            </w:r>
          </w:p>
        </w:tc>
        <w:tc>
          <w:tcPr>
            <w:tcW w:w="0" w:type="auto"/>
            <w:shd w:val="clear"/>
            <w:vAlign w:val="center"/>
          </w:tcPr>
          <w:p w14:paraId="51C7A3A4">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Medium</w:t>
            </w:r>
          </w:p>
        </w:tc>
        <w:tc>
          <w:tcPr>
            <w:tcW w:w="0" w:type="auto"/>
            <w:shd w:val="clear"/>
            <w:vAlign w:val="center"/>
          </w:tcPr>
          <w:p w14:paraId="5F134A7E">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Level 2</w:t>
            </w:r>
          </w:p>
        </w:tc>
        <w:tc>
          <w:tcPr>
            <w:tcW w:w="0" w:type="auto"/>
            <w:shd w:val="clear"/>
            <w:vAlign w:val="center"/>
          </w:tcPr>
          <w:p w14:paraId="659C8918">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Data transmission, has inherent risks</w:t>
            </w:r>
          </w:p>
        </w:tc>
      </w:tr>
      <w:tr w14:paraId="21164203">
        <w:trPr>
          <w:tblCellSpacing w:w="15" w:type="dxa"/>
        </w:trPr>
        <w:tc>
          <w:tcPr>
            <w:tcW w:w="0" w:type="auto"/>
            <w:shd w:val="clear"/>
            <w:vAlign w:val="center"/>
          </w:tcPr>
          <w:p w14:paraId="37A78E1C">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ASSET-007</w:t>
            </w:r>
          </w:p>
        </w:tc>
        <w:tc>
          <w:tcPr>
            <w:tcW w:w="0" w:type="auto"/>
            <w:shd w:val="clear"/>
            <w:vAlign w:val="center"/>
          </w:tcPr>
          <w:p w14:paraId="084EF629">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Application</w:t>
            </w:r>
          </w:p>
        </w:tc>
        <w:tc>
          <w:tcPr>
            <w:tcW w:w="0" w:type="auto"/>
            <w:shd w:val="clear"/>
            <w:vAlign w:val="center"/>
          </w:tcPr>
          <w:p w14:paraId="4F74CCEC">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Seat reservation &amp; station reminder modules</w:t>
            </w:r>
          </w:p>
        </w:tc>
        <w:tc>
          <w:tcPr>
            <w:tcW w:w="0" w:type="auto"/>
            <w:shd w:val="clear"/>
            <w:vAlign w:val="center"/>
          </w:tcPr>
          <w:p w14:paraId="38F4D4EA">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Medium</w:t>
            </w:r>
          </w:p>
        </w:tc>
        <w:tc>
          <w:tcPr>
            <w:tcW w:w="0" w:type="auto"/>
            <w:shd w:val="clear"/>
            <w:vAlign w:val="center"/>
          </w:tcPr>
          <w:p w14:paraId="156BA195">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Level 2</w:t>
            </w:r>
          </w:p>
        </w:tc>
        <w:tc>
          <w:tcPr>
            <w:tcW w:w="0" w:type="auto"/>
            <w:shd w:val="clear"/>
            <w:vAlign w:val="center"/>
          </w:tcPr>
          <w:p w14:paraId="5B0E339C">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Directly affects experience &amp; operation</w:t>
            </w:r>
          </w:p>
        </w:tc>
      </w:tr>
      <w:tr w14:paraId="1318146E">
        <w:trPr>
          <w:tblCellSpacing w:w="15" w:type="dxa"/>
        </w:trPr>
        <w:tc>
          <w:tcPr>
            <w:tcW w:w="0" w:type="auto"/>
            <w:shd w:val="clear"/>
            <w:vAlign w:val="center"/>
          </w:tcPr>
          <w:p w14:paraId="268CAF87">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ASSET-008</w:t>
            </w:r>
          </w:p>
        </w:tc>
        <w:tc>
          <w:tcPr>
            <w:tcW w:w="0" w:type="auto"/>
            <w:shd w:val="clear"/>
            <w:vAlign w:val="center"/>
          </w:tcPr>
          <w:p w14:paraId="7E07E5CC">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Communication</w:t>
            </w:r>
          </w:p>
        </w:tc>
        <w:tc>
          <w:tcPr>
            <w:tcW w:w="0" w:type="auto"/>
            <w:shd w:val="clear"/>
            <w:vAlign w:val="center"/>
          </w:tcPr>
          <w:p w14:paraId="66A8FA37">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Network port, USB interface, TCP links</w:t>
            </w:r>
          </w:p>
        </w:tc>
        <w:tc>
          <w:tcPr>
            <w:tcW w:w="0" w:type="auto"/>
            <w:shd w:val="clear"/>
            <w:vAlign w:val="center"/>
          </w:tcPr>
          <w:p w14:paraId="7121A170">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High</w:t>
            </w:r>
          </w:p>
        </w:tc>
        <w:tc>
          <w:tcPr>
            <w:tcW w:w="0" w:type="auto"/>
            <w:shd w:val="clear"/>
            <w:vAlign w:val="center"/>
          </w:tcPr>
          <w:p w14:paraId="7C6197FE">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Level 1</w:t>
            </w:r>
          </w:p>
        </w:tc>
        <w:tc>
          <w:tcPr>
            <w:tcW w:w="0" w:type="auto"/>
            <w:shd w:val="clear"/>
            <w:vAlign w:val="center"/>
          </w:tcPr>
          <w:p w14:paraId="1156B9C7">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Transmission channel, common attack entry</w:t>
            </w:r>
          </w:p>
        </w:tc>
      </w:tr>
    </w:tbl>
    <w:p w14:paraId="57A23F5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3.2 Asset Classification Description</w:t>
      </w:r>
    </w:p>
    <w:p w14:paraId="1E7E7A0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Style w:val="9"/>
          <w:rFonts w:hint="default" w:ascii="Times New Roman Regular" w:hAnsi="Times New Roman Regular" w:cs="Times New Roman Regular"/>
          <w:b/>
          <w:bCs/>
          <w:color w:val="000000"/>
          <w:sz w:val="24"/>
          <w:szCs w:val="24"/>
          <w:bdr w:val="none" w:color="auto" w:sz="0" w:space="0"/>
        </w:rPr>
        <w:t>Level 1 (Core Assets)</w:t>
      </w:r>
      <w:r>
        <w:rPr>
          <w:rFonts w:hint="default" w:ascii="Times New Roman Regular" w:hAnsi="Times New Roman Regular" w:cs="Times New Roman Regular"/>
          <w:color w:val="000000"/>
          <w:sz w:val="24"/>
          <w:szCs w:val="24"/>
          <w:bdr w:val="none" w:color="auto" w:sz="0" w:space="0"/>
        </w:rPr>
        <w:t>: PIS terminal, runtime/non-runtime data, firmware, communication interfaces. Directly related to operational safety and privacy.</w:t>
      </w:r>
    </w:p>
    <w:p w14:paraId="66A72B1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Style w:val="9"/>
          <w:rFonts w:hint="default" w:ascii="Times New Roman Regular" w:hAnsi="Times New Roman Regular" w:cs="Times New Roman Regular"/>
          <w:b/>
          <w:bCs/>
          <w:color w:val="000000"/>
          <w:sz w:val="24"/>
          <w:szCs w:val="24"/>
          <w:bdr w:val="none" w:color="auto" w:sz="0" w:space="0"/>
        </w:rPr>
        <w:t>Level 2 (Important Assets)</w:t>
      </w:r>
      <w:r>
        <w:rPr>
          <w:rFonts w:hint="default" w:ascii="Times New Roman Regular" w:hAnsi="Times New Roman Regular" w:cs="Times New Roman Regular"/>
          <w:color w:val="000000"/>
          <w:sz w:val="24"/>
          <w:szCs w:val="24"/>
          <w:bdr w:val="none" w:color="auto" w:sz="0" w:space="0"/>
        </w:rPr>
        <w:t>: Display terminal, protocol stack, core application modules. Affect experience and efficiency but not system paralysis.</w:t>
      </w:r>
    </w:p>
    <w:p w14:paraId="719D23B8">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Style w:val="9"/>
          <w:rFonts w:hint="default" w:ascii="Times New Roman Regular" w:hAnsi="Times New Roman Regular" w:cs="Times New Roman Regular"/>
          <w:b/>
          <w:bCs/>
          <w:color w:val="000000"/>
          <w:sz w:val="24"/>
          <w:szCs w:val="24"/>
          <w:bdr w:val="none" w:color="auto" w:sz="0" w:space="0"/>
        </w:rPr>
        <w:t>Level 3 (General Assets)</w:t>
      </w:r>
      <w:r>
        <w:rPr>
          <w:rFonts w:hint="default" w:ascii="Times New Roman Regular" w:hAnsi="Times New Roman Regular" w:cs="Times New Roman Regular"/>
          <w:color w:val="000000"/>
          <w:sz w:val="24"/>
          <w:szCs w:val="24"/>
          <w:bdr w:val="none" w:color="auto" w:sz="0" w:space="0"/>
        </w:rPr>
        <w:t>: Auxiliary equipment (e.g., power adapters). Minimal impact on core functions.</w:t>
      </w:r>
    </w:p>
    <w:p w14:paraId="435A1F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4. Threat Identification and Analysis</w:t>
      </w:r>
    </w:p>
    <w:p w14:paraId="1D85A0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4.1 Threat Classification</w:t>
      </w:r>
    </w:p>
    <w:p w14:paraId="1192FB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Threats are divided into five categories:</w:t>
      </w:r>
    </w:p>
    <w:p w14:paraId="618EB4EC">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Hardware interface threats</w:t>
      </w:r>
    </w:p>
    <w:p w14:paraId="33D65F3D">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Data security threats</w:t>
      </w:r>
    </w:p>
    <w:p w14:paraId="1EE0469A">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Communication security threats</w:t>
      </w:r>
    </w:p>
    <w:p w14:paraId="50BA1283">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Software security threats</w:t>
      </w:r>
    </w:p>
    <w:p w14:paraId="35A5F451">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Management security threats</w:t>
      </w:r>
    </w:p>
    <w:p w14:paraId="0A1B896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4.2 Detailed Threat Identification and Analysis</w:t>
      </w:r>
    </w:p>
    <w:p w14:paraId="1748DD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表格</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432"/>
        <w:gridCol w:w="1589"/>
        <w:gridCol w:w="1463"/>
        <w:gridCol w:w="1065"/>
        <w:gridCol w:w="1518"/>
        <w:gridCol w:w="1299"/>
      </w:tblGrid>
      <w:tr w14:paraId="6D672765">
        <w:trPr>
          <w:tblHeader/>
          <w:tblCellSpacing w:w="15" w:type="dxa"/>
        </w:trPr>
        <w:tc>
          <w:tcPr>
            <w:tcW w:w="0" w:type="auto"/>
            <w:shd w:val="clear"/>
            <w:vAlign w:val="center"/>
          </w:tcPr>
          <w:p w14:paraId="3BA04686">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Threat ID</w:t>
            </w:r>
          </w:p>
        </w:tc>
        <w:tc>
          <w:tcPr>
            <w:tcW w:w="0" w:type="auto"/>
            <w:shd w:val="clear"/>
            <w:vAlign w:val="center"/>
          </w:tcPr>
          <w:p w14:paraId="6F01092F">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Threat Category</w:t>
            </w:r>
          </w:p>
        </w:tc>
        <w:tc>
          <w:tcPr>
            <w:tcW w:w="0" w:type="auto"/>
            <w:shd w:val="clear"/>
            <w:vAlign w:val="center"/>
          </w:tcPr>
          <w:p w14:paraId="4AD9AF64">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Threat Description</w:t>
            </w:r>
          </w:p>
        </w:tc>
        <w:tc>
          <w:tcPr>
            <w:tcW w:w="0" w:type="auto"/>
            <w:shd w:val="clear"/>
            <w:vAlign w:val="center"/>
          </w:tcPr>
          <w:p w14:paraId="76472CE3">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Threat Source</w:t>
            </w:r>
          </w:p>
        </w:tc>
        <w:tc>
          <w:tcPr>
            <w:tcW w:w="0" w:type="auto"/>
            <w:shd w:val="clear"/>
            <w:vAlign w:val="center"/>
          </w:tcPr>
          <w:p w14:paraId="55812102">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Trigger Condition</w:t>
            </w:r>
          </w:p>
        </w:tc>
        <w:tc>
          <w:tcPr>
            <w:tcW w:w="0" w:type="auto"/>
            <w:shd w:val="clear"/>
            <w:vAlign w:val="center"/>
          </w:tcPr>
          <w:p w14:paraId="6CB7DB37">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Affected Assets</w:t>
            </w:r>
          </w:p>
        </w:tc>
      </w:tr>
      <w:tr w14:paraId="48E0808D">
        <w:trPr>
          <w:tblCellSpacing w:w="15" w:type="dxa"/>
        </w:trPr>
        <w:tc>
          <w:tcPr>
            <w:tcW w:w="0" w:type="auto"/>
            <w:shd w:val="clear"/>
            <w:vAlign w:val="center"/>
          </w:tcPr>
          <w:p w14:paraId="0028CBFF">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THREAT-001</w:t>
            </w:r>
          </w:p>
        </w:tc>
        <w:tc>
          <w:tcPr>
            <w:tcW w:w="0" w:type="auto"/>
            <w:shd w:val="clear"/>
            <w:vAlign w:val="center"/>
          </w:tcPr>
          <w:p w14:paraId="71ADCEF3">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Hardware Interface</w:t>
            </w:r>
          </w:p>
        </w:tc>
        <w:tc>
          <w:tcPr>
            <w:tcW w:w="0" w:type="auto"/>
            <w:shd w:val="clear"/>
            <w:vAlign w:val="center"/>
          </w:tcPr>
          <w:p w14:paraId="50611BE2">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Malicious USB access, firmware tampering, data export</w:t>
            </w:r>
          </w:p>
        </w:tc>
        <w:tc>
          <w:tcPr>
            <w:tcW w:w="0" w:type="auto"/>
            <w:shd w:val="clear"/>
            <w:vAlign w:val="center"/>
          </w:tcPr>
          <w:p w14:paraId="439B6838">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External attacker, malicious O&amp;M</w:t>
            </w:r>
          </w:p>
        </w:tc>
        <w:tc>
          <w:tcPr>
            <w:tcW w:w="0" w:type="auto"/>
            <w:shd w:val="clear"/>
            <w:vAlign w:val="center"/>
          </w:tcPr>
          <w:p w14:paraId="68317192">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No USB access control; no device verification</w:t>
            </w:r>
          </w:p>
        </w:tc>
        <w:tc>
          <w:tcPr>
            <w:tcW w:w="0" w:type="auto"/>
            <w:shd w:val="clear"/>
            <w:vAlign w:val="center"/>
          </w:tcPr>
          <w:p w14:paraId="62D26AA5">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ASSET-001, 004, 005</w:t>
            </w:r>
          </w:p>
        </w:tc>
      </w:tr>
      <w:tr w14:paraId="6BA03E8D">
        <w:trPr>
          <w:tblCellSpacing w:w="15" w:type="dxa"/>
        </w:trPr>
        <w:tc>
          <w:tcPr>
            <w:tcW w:w="0" w:type="auto"/>
            <w:shd w:val="clear"/>
            <w:vAlign w:val="center"/>
          </w:tcPr>
          <w:p w14:paraId="023FF087">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THREAT-002</w:t>
            </w:r>
          </w:p>
        </w:tc>
        <w:tc>
          <w:tcPr>
            <w:tcW w:w="0" w:type="auto"/>
            <w:shd w:val="clear"/>
            <w:vAlign w:val="center"/>
          </w:tcPr>
          <w:p w14:paraId="02231107">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Hardware Interface</w:t>
            </w:r>
          </w:p>
        </w:tc>
        <w:tc>
          <w:tcPr>
            <w:tcW w:w="0" w:type="auto"/>
            <w:shd w:val="clear"/>
            <w:vAlign w:val="center"/>
          </w:tcPr>
          <w:p w14:paraId="35D89F5F">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Malicious network access, impersonate legitimate terminal</w:t>
            </w:r>
          </w:p>
        </w:tc>
        <w:tc>
          <w:tcPr>
            <w:tcW w:w="0" w:type="auto"/>
            <w:shd w:val="clear"/>
            <w:vAlign w:val="center"/>
          </w:tcPr>
          <w:p w14:paraId="246B3660">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External attacker, internal malicious user</w:t>
            </w:r>
          </w:p>
        </w:tc>
        <w:tc>
          <w:tcPr>
            <w:tcW w:w="0" w:type="auto"/>
            <w:shd w:val="clear"/>
            <w:vAlign w:val="center"/>
          </w:tcPr>
          <w:p w14:paraId="65188308">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No network access control; no authentication</w:t>
            </w:r>
          </w:p>
        </w:tc>
        <w:tc>
          <w:tcPr>
            <w:tcW w:w="0" w:type="auto"/>
            <w:shd w:val="clear"/>
            <w:vAlign w:val="center"/>
          </w:tcPr>
          <w:p w14:paraId="01D80978">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ASSET-001, 003, 004, 008</w:t>
            </w:r>
          </w:p>
        </w:tc>
      </w:tr>
      <w:tr w14:paraId="07B68B85">
        <w:trPr>
          <w:tblCellSpacing w:w="15" w:type="dxa"/>
        </w:trPr>
        <w:tc>
          <w:tcPr>
            <w:tcW w:w="0" w:type="auto"/>
            <w:shd w:val="clear"/>
            <w:vAlign w:val="center"/>
          </w:tcPr>
          <w:p w14:paraId="4E537E8B">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THREAT-003</w:t>
            </w:r>
          </w:p>
        </w:tc>
        <w:tc>
          <w:tcPr>
            <w:tcW w:w="0" w:type="auto"/>
            <w:shd w:val="clear"/>
            <w:vAlign w:val="center"/>
          </w:tcPr>
          <w:p w14:paraId="7F80F69E">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Data Security</w:t>
            </w:r>
          </w:p>
        </w:tc>
        <w:tc>
          <w:tcPr>
            <w:tcW w:w="0" w:type="auto"/>
            <w:shd w:val="clear"/>
            <w:vAlign w:val="center"/>
          </w:tcPr>
          <w:p w14:paraId="7CEEC062">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Non-runtime data leakage in plaintext</w:t>
            </w:r>
          </w:p>
        </w:tc>
        <w:tc>
          <w:tcPr>
            <w:tcW w:w="0" w:type="auto"/>
            <w:shd w:val="clear"/>
            <w:vAlign w:val="center"/>
          </w:tcPr>
          <w:p w14:paraId="2517CCC1">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Attacker, sniffer</w:t>
            </w:r>
          </w:p>
        </w:tc>
        <w:tc>
          <w:tcPr>
            <w:tcW w:w="0" w:type="auto"/>
            <w:shd w:val="clear"/>
            <w:vAlign w:val="center"/>
          </w:tcPr>
          <w:p w14:paraId="2FBCE270">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Unencrypted non-runtime data</w:t>
            </w:r>
          </w:p>
        </w:tc>
        <w:tc>
          <w:tcPr>
            <w:tcW w:w="0" w:type="auto"/>
            <w:shd w:val="clear"/>
            <w:vAlign w:val="center"/>
          </w:tcPr>
          <w:p w14:paraId="52D26829">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ASSET-004</w:t>
            </w:r>
          </w:p>
        </w:tc>
      </w:tr>
      <w:tr w14:paraId="1489E103">
        <w:trPr>
          <w:tblCellSpacing w:w="15" w:type="dxa"/>
        </w:trPr>
        <w:tc>
          <w:tcPr>
            <w:tcW w:w="0" w:type="auto"/>
            <w:shd w:val="clear"/>
            <w:vAlign w:val="center"/>
          </w:tcPr>
          <w:p w14:paraId="48FEBE2B">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THREAT-004</w:t>
            </w:r>
          </w:p>
        </w:tc>
        <w:tc>
          <w:tcPr>
            <w:tcW w:w="0" w:type="auto"/>
            <w:shd w:val="clear"/>
            <w:vAlign w:val="center"/>
          </w:tcPr>
          <w:p w14:paraId="0684DE96">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Data Security</w:t>
            </w:r>
          </w:p>
        </w:tc>
        <w:tc>
          <w:tcPr>
            <w:tcW w:w="0" w:type="auto"/>
            <w:shd w:val="clear"/>
            <w:vAlign w:val="center"/>
          </w:tcPr>
          <w:p w14:paraId="3852F6C9">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Tampering with non-runtime data or configuration frames</w:t>
            </w:r>
          </w:p>
        </w:tc>
        <w:tc>
          <w:tcPr>
            <w:tcW w:w="0" w:type="auto"/>
            <w:shd w:val="clear"/>
            <w:vAlign w:val="center"/>
          </w:tcPr>
          <w:p w14:paraId="7F0D6451">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Attacker, malicious O&amp;M</w:t>
            </w:r>
          </w:p>
        </w:tc>
        <w:tc>
          <w:tcPr>
            <w:tcW w:w="0" w:type="auto"/>
            <w:shd w:val="clear"/>
            <w:vAlign w:val="center"/>
          </w:tcPr>
          <w:p w14:paraId="732EAA8A">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No integrity check or signature</w:t>
            </w:r>
          </w:p>
        </w:tc>
        <w:tc>
          <w:tcPr>
            <w:tcW w:w="0" w:type="auto"/>
            <w:shd w:val="clear"/>
            <w:vAlign w:val="center"/>
          </w:tcPr>
          <w:p w14:paraId="50E631C1">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ASSET-001, 003, 004</w:t>
            </w:r>
          </w:p>
        </w:tc>
      </w:tr>
      <w:tr w14:paraId="6989F5A5">
        <w:trPr>
          <w:tblCellSpacing w:w="15" w:type="dxa"/>
        </w:trPr>
        <w:tc>
          <w:tcPr>
            <w:tcW w:w="0" w:type="auto"/>
            <w:shd w:val="clear"/>
            <w:vAlign w:val="center"/>
          </w:tcPr>
          <w:p w14:paraId="683EEB5A">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THREAT-005</w:t>
            </w:r>
          </w:p>
        </w:tc>
        <w:tc>
          <w:tcPr>
            <w:tcW w:w="0" w:type="auto"/>
            <w:shd w:val="clear"/>
            <w:vAlign w:val="center"/>
          </w:tcPr>
          <w:p w14:paraId="3E9366F2">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Data Security</w:t>
            </w:r>
          </w:p>
        </w:tc>
        <w:tc>
          <w:tcPr>
            <w:tcW w:w="0" w:type="auto"/>
            <w:shd w:val="clear"/>
            <w:vAlign w:val="center"/>
          </w:tcPr>
          <w:p w14:paraId="6C72423A">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Log deletion or tampering</w:t>
            </w:r>
          </w:p>
        </w:tc>
        <w:tc>
          <w:tcPr>
            <w:tcW w:w="0" w:type="auto"/>
            <w:shd w:val="clear"/>
            <w:vAlign w:val="center"/>
          </w:tcPr>
          <w:p w14:paraId="3C1373ED">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Attacker, malicious O&amp;M</w:t>
            </w:r>
          </w:p>
        </w:tc>
        <w:tc>
          <w:tcPr>
            <w:tcW w:w="0" w:type="auto"/>
            <w:shd w:val="clear"/>
            <w:vAlign w:val="center"/>
          </w:tcPr>
          <w:p w14:paraId="6E9930F8">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No log encryption or anti-tampering</w:t>
            </w:r>
          </w:p>
        </w:tc>
        <w:tc>
          <w:tcPr>
            <w:tcW w:w="0" w:type="auto"/>
            <w:shd w:val="clear"/>
            <w:vAlign w:val="center"/>
          </w:tcPr>
          <w:p w14:paraId="2A2060C1">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ASSET-004</w:t>
            </w:r>
          </w:p>
        </w:tc>
      </w:tr>
      <w:tr w14:paraId="0ED7512E">
        <w:trPr>
          <w:tblCellSpacing w:w="15" w:type="dxa"/>
        </w:trPr>
        <w:tc>
          <w:tcPr>
            <w:tcW w:w="0" w:type="auto"/>
            <w:shd w:val="clear"/>
            <w:vAlign w:val="center"/>
          </w:tcPr>
          <w:p w14:paraId="2BBB45E7">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THREAT-006</w:t>
            </w:r>
          </w:p>
        </w:tc>
        <w:tc>
          <w:tcPr>
            <w:tcW w:w="0" w:type="auto"/>
            <w:shd w:val="clear"/>
            <w:vAlign w:val="center"/>
          </w:tcPr>
          <w:p w14:paraId="48423972">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Communication Security</w:t>
            </w:r>
          </w:p>
        </w:tc>
        <w:tc>
          <w:tcPr>
            <w:tcW w:w="0" w:type="auto"/>
            <w:shd w:val="clear"/>
            <w:vAlign w:val="center"/>
          </w:tcPr>
          <w:p w14:paraId="71FA2616">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Sniffing TCP links, decrypting runtime data</w:t>
            </w:r>
          </w:p>
        </w:tc>
        <w:tc>
          <w:tcPr>
            <w:tcW w:w="0" w:type="auto"/>
            <w:shd w:val="clear"/>
            <w:vAlign w:val="center"/>
          </w:tcPr>
          <w:p w14:paraId="720F5AE3">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Attacker, sniffer</w:t>
            </w:r>
          </w:p>
        </w:tc>
        <w:tc>
          <w:tcPr>
            <w:tcW w:w="0" w:type="auto"/>
            <w:shd w:val="clear"/>
            <w:vAlign w:val="center"/>
          </w:tcPr>
          <w:p w14:paraId="246D96A6">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Weak encryption, poor key management</w:t>
            </w:r>
          </w:p>
        </w:tc>
        <w:tc>
          <w:tcPr>
            <w:tcW w:w="0" w:type="auto"/>
            <w:shd w:val="clear"/>
            <w:vAlign w:val="center"/>
          </w:tcPr>
          <w:p w14:paraId="7F14B78C">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ASSET-003, 008</w:t>
            </w:r>
          </w:p>
        </w:tc>
      </w:tr>
      <w:tr w14:paraId="678A5CEF">
        <w:trPr>
          <w:tblCellSpacing w:w="15" w:type="dxa"/>
        </w:trPr>
        <w:tc>
          <w:tcPr>
            <w:tcW w:w="0" w:type="auto"/>
            <w:shd w:val="clear"/>
            <w:vAlign w:val="center"/>
          </w:tcPr>
          <w:p w14:paraId="09DF8CA0">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THREAT-007</w:t>
            </w:r>
          </w:p>
        </w:tc>
        <w:tc>
          <w:tcPr>
            <w:tcW w:w="0" w:type="auto"/>
            <w:shd w:val="clear"/>
            <w:vAlign w:val="center"/>
          </w:tcPr>
          <w:p w14:paraId="7B4258CC">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Communication Security</w:t>
            </w:r>
          </w:p>
        </w:tc>
        <w:tc>
          <w:tcPr>
            <w:tcW w:w="0" w:type="auto"/>
            <w:shd w:val="clear"/>
            <w:vAlign w:val="center"/>
          </w:tcPr>
          <w:p w14:paraId="1639FCFF">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Forged TCP identity, injecting false data</w:t>
            </w:r>
          </w:p>
        </w:tc>
        <w:tc>
          <w:tcPr>
            <w:tcW w:w="0" w:type="auto"/>
            <w:shd w:val="clear"/>
            <w:vAlign w:val="center"/>
          </w:tcPr>
          <w:p w14:paraId="7FC0456A">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Attacker</w:t>
            </w:r>
          </w:p>
        </w:tc>
        <w:tc>
          <w:tcPr>
            <w:tcW w:w="0" w:type="auto"/>
            <w:shd w:val="clear"/>
            <w:vAlign w:val="center"/>
          </w:tcPr>
          <w:p w14:paraId="017E79D9">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No two-way authentication</w:t>
            </w:r>
          </w:p>
        </w:tc>
        <w:tc>
          <w:tcPr>
            <w:tcW w:w="0" w:type="auto"/>
            <w:shd w:val="clear"/>
            <w:vAlign w:val="center"/>
          </w:tcPr>
          <w:p w14:paraId="379C890E">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ASSET-001, 003, 007, 008</w:t>
            </w:r>
          </w:p>
        </w:tc>
      </w:tr>
      <w:tr w14:paraId="71469B65">
        <w:trPr>
          <w:tblCellSpacing w:w="15" w:type="dxa"/>
        </w:trPr>
        <w:tc>
          <w:tcPr>
            <w:tcW w:w="0" w:type="auto"/>
            <w:shd w:val="clear"/>
            <w:vAlign w:val="center"/>
          </w:tcPr>
          <w:p w14:paraId="02DBDA14">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THREAT-008</w:t>
            </w:r>
          </w:p>
        </w:tc>
        <w:tc>
          <w:tcPr>
            <w:tcW w:w="0" w:type="auto"/>
            <w:shd w:val="clear"/>
            <w:vAlign w:val="center"/>
          </w:tcPr>
          <w:p w14:paraId="30D41789">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Communication Security</w:t>
            </w:r>
          </w:p>
        </w:tc>
        <w:tc>
          <w:tcPr>
            <w:tcW w:w="0" w:type="auto"/>
            <w:shd w:val="clear"/>
            <w:vAlign w:val="center"/>
          </w:tcPr>
          <w:p w14:paraId="745AE59F">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TCP flood, DoS attack</w:t>
            </w:r>
          </w:p>
        </w:tc>
        <w:tc>
          <w:tcPr>
            <w:tcW w:w="0" w:type="auto"/>
            <w:shd w:val="clear"/>
            <w:vAlign w:val="center"/>
          </w:tcPr>
          <w:p w14:paraId="50BF866A">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Attacker</w:t>
            </w:r>
          </w:p>
        </w:tc>
        <w:tc>
          <w:tcPr>
            <w:tcW w:w="0" w:type="auto"/>
            <w:shd w:val="clear"/>
            <w:vAlign w:val="center"/>
          </w:tcPr>
          <w:p w14:paraId="1F8B8263">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No rate limiting; weak terminal performance</w:t>
            </w:r>
          </w:p>
        </w:tc>
        <w:tc>
          <w:tcPr>
            <w:tcW w:w="0" w:type="auto"/>
            <w:shd w:val="clear"/>
            <w:vAlign w:val="center"/>
          </w:tcPr>
          <w:p w14:paraId="6FCE901B">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ASSET-001, 003, 007, 008</w:t>
            </w:r>
          </w:p>
        </w:tc>
      </w:tr>
      <w:tr w14:paraId="0D5F72BB">
        <w:trPr>
          <w:tblCellSpacing w:w="15" w:type="dxa"/>
        </w:trPr>
        <w:tc>
          <w:tcPr>
            <w:tcW w:w="0" w:type="auto"/>
            <w:shd w:val="clear"/>
            <w:vAlign w:val="center"/>
          </w:tcPr>
          <w:p w14:paraId="4F19B177">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THREAT-009</w:t>
            </w:r>
          </w:p>
        </w:tc>
        <w:tc>
          <w:tcPr>
            <w:tcW w:w="0" w:type="auto"/>
            <w:shd w:val="clear"/>
            <w:vAlign w:val="center"/>
          </w:tcPr>
          <w:p w14:paraId="39F97765">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Software Security</w:t>
            </w:r>
          </w:p>
        </w:tc>
        <w:tc>
          <w:tcPr>
            <w:tcW w:w="0" w:type="auto"/>
            <w:shd w:val="clear"/>
            <w:vAlign w:val="center"/>
          </w:tcPr>
          <w:p w14:paraId="14C1FC58">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Exploit firmware vulnerabilities to gain root access</w:t>
            </w:r>
          </w:p>
        </w:tc>
        <w:tc>
          <w:tcPr>
            <w:tcW w:w="0" w:type="auto"/>
            <w:shd w:val="clear"/>
            <w:vAlign w:val="center"/>
          </w:tcPr>
          <w:p w14:paraId="5A6C4C41">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Attacker</w:t>
            </w:r>
          </w:p>
        </w:tc>
        <w:tc>
          <w:tcPr>
            <w:tcW w:w="0" w:type="auto"/>
            <w:shd w:val="clear"/>
            <w:vAlign w:val="center"/>
          </w:tcPr>
          <w:p w14:paraId="3B054325">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Unpatched vulnerabilities; no upgrade verification</w:t>
            </w:r>
          </w:p>
        </w:tc>
        <w:tc>
          <w:tcPr>
            <w:tcW w:w="0" w:type="auto"/>
            <w:shd w:val="clear"/>
            <w:vAlign w:val="center"/>
          </w:tcPr>
          <w:p w14:paraId="0B7D539E">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ASSET-001, 005</w:t>
            </w:r>
          </w:p>
        </w:tc>
      </w:tr>
      <w:tr w14:paraId="71D2A08C">
        <w:trPr>
          <w:tblCellSpacing w:w="15" w:type="dxa"/>
        </w:trPr>
        <w:tc>
          <w:tcPr>
            <w:tcW w:w="0" w:type="auto"/>
            <w:shd w:val="clear"/>
            <w:vAlign w:val="center"/>
          </w:tcPr>
          <w:p w14:paraId="535B0413">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THREAT-010</w:t>
            </w:r>
          </w:p>
        </w:tc>
        <w:tc>
          <w:tcPr>
            <w:tcW w:w="0" w:type="auto"/>
            <w:shd w:val="clear"/>
            <w:vAlign w:val="center"/>
          </w:tcPr>
          <w:p w14:paraId="7191A970">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Software Security</w:t>
            </w:r>
          </w:p>
        </w:tc>
        <w:tc>
          <w:tcPr>
            <w:tcW w:w="0" w:type="auto"/>
            <w:shd w:val="clear"/>
            <w:vAlign w:val="center"/>
          </w:tcPr>
          <w:p w14:paraId="6E33CBBB">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Tamper firmware, implant malware</w:t>
            </w:r>
          </w:p>
        </w:tc>
        <w:tc>
          <w:tcPr>
            <w:tcW w:w="0" w:type="auto"/>
            <w:shd w:val="clear"/>
            <w:vAlign w:val="center"/>
          </w:tcPr>
          <w:p w14:paraId="689F120F">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Attacker, malicious O&amp;M</w:t>
            </w:r>
          </w:p>
        </w:tc>
        <w:tc>
          <w:tcPr>
            <w:tcW w:w="0" w:type="auto"/>
            <w:shd w:val="clear"/>
            <w:vAlign w:val="center"/>
          </w:tcPr>
          <w:p w14:paraId="4220E976">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No integrity check; unsecure upgrade</w:t>
            </w:r>
          </w:p>
        </w:tc>
        <w:tc>
          <w:tcPr>
            <w:tcW w:w="0" w:type="auto"/>
            <w:shd w:val="clear"/>
            <w:vAlign w:val="center"/>
          </w:tcPr>
          <w:p w14:paraId="6D88E0EC">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ASSET-001, 003, 004, 005</w:t>
            </w:r>
          </w:p>
        </w:tc>
      </w:tr>
      <w:tr w14:paraId="38C0181F">
        <w:trPr>
          <w:tblCellSpacing w:w="15" w:type="dxa"/>
        </w:trPr>
        <w:tc>
          <w:tcPr>
            <w:tcW w:w="0" w:type="auto"/>
            <w:shd w:val="clear"/>
            <w:vAlign w:val="center"/>
          </w:tcPr>
          <w:p w14:paraId="394C1BFA">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THREAT-011</w:t>
            </w:r>
          </w:p>
        </w:tc>
        <w:tc>
          <w:tcPr>
            <w:tcW w:w="0" w:type="auto"/>
            <w:shd w:val="clear"/>
            <w:vAlign w:val="center"/>
          </w:tcPr>
          <w:p w14:paraId="1BBF18DD">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Management Security</w:t>
            </w:r>
          </w:p>
        </w:tc>
        <w:tc>
          <w:tcPr>
            <w:tcW w:w="0" w:type="auto"/>
            <w:shd w:val="clear"/>
            <w:vAlign w:val="center"/>
          </w:tcPr>
          <w:p w14:paraId="7BC93058">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Unreasonable permission assignment, over privilege</w:t>
            </w:r>
          </w:p>
        </w:tc>
        <w:tc>
          <w:tcPr>
            <w:tcW w:w="0" w:type="auto"/>
            <w:shd w:val="clear"/>
            <w:vAlign w:val="center"/>
          </w:tcPr>
          <w:p w14:paraId="438028D2">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Malicious O&amp;M</w:t>
            </w:r>
          </w:p>
        </w:tc>
        <w:tc>
          <w:tcPr>
            <w:tcW w:w="0" w:type="auto"/>
            <w:shd w:val="clear"/>
            <w:vAlign w:val="center"/>
          </w:tcPr>
          <w:p w14:paraId="7665A52A">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No least privilege; no audit</w:t>
            </w:r>
          </w:p>
        </w:tc>
        <w:tc>
          <w:tcPr>
            <w:tcW w:w="0" w:type="auto"/>
            <w:shd w:val="clear"/>
            <w:vAlign w:val="center"/>
          </w:tcPr>
          <w:p w14:paraId="2BE53F50">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ASSET-001, 004, 005</w:t>
            </w:r>
          </w:p>
        </w:tc>
      </w:tr>
      <w:tr w14:paraId="3417B6DF">
        <w:trPr>
          <w:tblCellSpacing w:w="15" w:type="dxa"/>
        </w:trPr>
        <w:tc>
          <w:tcPr>
            <w:tcW w:w="0" w:type="auto"/>
            <w:shd w:val="clear"/>
            <w:vAlign w:val="center"/>
          </w:tcPr>
          <w:p w14:paraId="692F9636">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THREAT-012</w:t>
            </w:r>
          </w:p>
        </w:tc>
        <w:tc>
          <w:tcPr>
            <w:tcW w:w="0" w:type="auto"/>
            <w:shd w:val="clear"/>
            <w:vAlign w:val="center"/>
          </w:tcPr>
          <w:p w14:paraId="1B1450EC">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Management Security</w:t>
            </w:r>
          </w:p>
        </w:tc>
        <w:tc>
          <w:tcPr>
            <w:tcW w:w="0" w:type="auto"/>
            <w:shd w:val="clear"/>
            <w:vAlign w:val="center"/>
          </w:tcPr>
          <w:p w14:paraId="3B285743">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No O&amp;M operation audit, unable to trace responsibility</w:t>
            </w:r>
          </w:p>
        </w:tc>
        <w:tc>
          <w:tcPr>
            <w:tcW w:w="0" w:type="auto"/>
            <w:shd w:val="clear"/>
            <w:vAlign w:val="center"/>
          </w:tcPr>
          <w:p w14:paraId="007E334C">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O&amp;M personnel, attacker</w:t>
            </w:r>
          </w:p>
        </w:tc>
        <w:tc>
          <w:tcPr>
            <w:tcW w:w="0" w:type="auto"/>
            <w:shd w:val="clear"/>
            <w:vAlign w:val="center"/>
          </w:tcPr>
          <w:p w14:paraId="792D1A2B">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No audit system; no log retention</w:t>
            </w:r>
          </w:p>
        </w:tc>
        <w:tc>
          <w:tcPr>
            <w:tcW w:w="0" w:type="auto"/>
            <w:shd w:val="clear"/>
            <w:vAlign w:val="center"/>
          </w:tcPr>
          <w:p w14:paraId="3E44C1E9">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All Level 1 &amp; 2 assets</w:t>
            </w:r>
          </w:p>
        </w:tc>
      </w:tr>
    </w:tbl>
    <w:p w14:paraId="2AE4DD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5. Risk Rating and Analysis</w:t>
      </w:r>
    </w:p>
    <w:p w14:paraId="7542CF7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5.1 Risk Rating Criteria</w:t>
      </w:r>
    </w:p>
    <w:p w14:paraId="27CCCCE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5.1.1 Likelihood Level (1–5 points)</w:t>
      </w:r>
    </w:p>
    <w:p w14:paraId="2AE642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表格</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153"/>
        <w:gridCol w:w="604"/>
        <w:gridCol w:w="3698"/>
      </w:tblGrid>
      <w:tr w14:paraId="76D7A574">
        <w:trPr>
          <w:tblHeader/>
          <w:tblCellSpacing w:w="15" w:type="dxa"/>
        </w:trPr>
        <w:tc>
          <w:tcPr>
            <w:tcW w:w="0" w:type="auto"/>
            <w:shd w:val="clear"/>
            <w:vAlign w:val="center"/>
          </w:tcPr>
          <w:p w14:paraId="1B1C505F">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Likelihood</w:t>
            </w:r>
          </w:p>
        </w:tc>
        <w:tc>
          <w:tcPr>
            <w:tcW w:w="0" w:type="auto"/>
            <w:shd w:val="clear"/>
            <w:vAlign w:val="center"/>
          </w:tcPr>
          <w:p w14:paraId="31D10F84">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Score</w:t>
            </w:r>
          </w:p>
        </w:tc>
        <w:tc>
          <w:tcPr>
            <w:tcW w:w="0" w:type="auto"/>
            <w:shd w:val="clear"/>
            <w:vAlign w:val="center"/>
          </w:tcPr>
          <w:p w14:paraId="5056B965">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Description</w:t>
            </w:r>
          </w:p>
        </w:tc>
      </w:tr>
      <w:tr w14:paraId="0E8C46A0">
        <w:trPr>
          <w:tblCellSpacing w:w="15" w:type="dxa"/>
        </w:trPr>
        <w:tc>
          <w:tcPr>
            <w:tcW w:w="0" w:type="auto"/>
            <w:shd w:val="clear"/>
            <w:vAlign w:val="center"/>
          </w:tcPr>
          <w:p w14:paraId="03F6CC5E">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Very High</w:t>
            </w:r>
          </w:p>
        </w:tc>
        <w:tc>
          <w:tcPr>
            <w:tcW w:w="0" w:type="auto"/>
            <w:shd w:val="clear"/>
            <w:vAlign w:val="center"/>
          </w:tcPr>
          <w:p w14:paraId="5C8803AD">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5</w:t>
            </w:r>
          </w:p>
        </w:tc>
        <w:tc>
          <w:tcPr>
            <w:tcW w:w="0" w:type="auto"/>
            <w:shd w:val="clear"/>
            <w:vAlign w:val="center"/>
          </w:tcPr>
          <w:p w14:paraId="317CF5E4">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Easy to trigger, high probability</w:t>
            </w:r>
          </w:p>
        </w:tc>
      </w:tr>
      <w:tr w14:paraId="1D75BA4E">
        <w:trPr>
          <w:tblCellSpacing w:w="15" w:type="dxa"/>
        </w:trPr>
        <w:tc>
          <w:tcPr>
            <w:tcW w:w="0" w:type="auto"/>
            <w:shd w:val="clear"/>
            <w:vAlign w:val="center"/>
          </w:tcPr>
          <w:p w14:paraId="7378A789">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High</w:t>
            </w:r>
          </w:p>
        </w:tc>
        <w:tc>
          <w:tcPr>
            <w:tcW w:w="0" w:type="auto"/>
            <w:shd w:val="clear"/>
            <w:vAlign w:val="center"/>
          </w:tcPr>
          <w:p w14:paraId="101083B4">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4</w:t>
            </w:r>
          </w:p>
        </w:tc>
        <w:tc>
          <w:tcPr>
            <w:tcW w:w="0" w:type="auto"/>
            <w:shd w:val="clear"/>
            <w:vAlign w:val="center"/>
          </w:tcPr>
          <w:p w14:paraId="6A6C0460">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Relatively easy to trigger</w:t>
            </w:r>
          </w:p>
        </w:tc>
      </w:tr>
      <w:tr w14:paraId="3DACB3B2">
        <w:trPr>
          <w:tblCellSpacing w:w="15" w:type="dxa"/>
        </w:trPr>
        <w:tc>
          <w:tcPr>
            <w:tcW w:w="0" w:type="auto"/>
            <w:shd w:val="clear"/>
            <w:vAlign w:val="center"/>
          </w:tcPr>
          <w:p w14:paraId="6C4DD28A">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Medium</w:t>
            </w:r>
          </w:p>
        </w:tc>
        <w:tc>
          <w:tcPr>
            <w:tcW w:w="0" w:type="auto"/>
            <w:shd w:val="clear"/>
            <w:vAlign w:val="center"/>
          </w:tcPr>
          <w:p w14:paraId="3A757E0A">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3</w:t>
            </w:r>
          </w:p>
        </w:tc>
        <w:tc>
          <w:tcPr>
            <w:tcW w:w="0" w:type="auto"/>
            <w:shd w:val="clear"/>
            <w:vAlign w:val="center"/>
          </w:tcPr>
          <w:p w14:paraId="59E3DAB2">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Moderate difficulty and probability</w:t>
            </w:r>
          </w:p>
        </w:tc>
      </w:tr>
      <w:tr w14:paraId="01D95615">
        <w:trPr>
          <w:tblCellSpacing w:w="15" w:type="dxa"/>
        </w:trPr>
        <w:tc>
          <w:tcPr>
            <w:tcW w:w="0" w:type="auto"/>
            <w:shd w:val="clear"/>
            <w:vAlign w:val="center"/>
          </w:tcPr>
          <w:p w14:paraId="0CD76545">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Low</w:t>
            </w:r>
          </w:p>
        </w:tc>
        <w:tc>
          <w:tcPr>
            <w:tcW w:w="0" w:type="auto"/>
            <w:shd w:val="clear"/>
            <w:vAlign w:val="center"/>
          </w:tcPr>
          <w:p w14:paraId="79B5FBF1">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2</w:t>
            </w:r>
          </w:p>
        </w:tc>
        <w:tc>
          <w:tcPr>
            <w:tcW w:w="0" w:type="auto"/>
            <w:shd w:val="clear"/>
            <w:vAlign w:val="center"/>
          </w:tcPr>
          <w:p w14:paraId="06ED51FC">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Complex conditions, low probability</w:t>
            </w:r>
          </w:p>
        </w:tc>
      </w:tr>
      <w:tr w14:paraId="2B3B40F1">
        <w:trPr>
          <w:tblCellSpacing w:w="15" w:type="dxa"/>
        </w:trPr>
        <w:tc>
          <w:tcPr>
            <w:tcW w:w="0" w:type="auto"/>
            <w:shd w:val="clear"/>
            <w:vAlign w:val="center"/>
          </w:tcPr>
          <w:p w14:paraId="774EA0AC">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Very Low</w:t>
            </w:r>
          </w:p>
        </w:tc>
        <w:tc>
          <w:tcPr>
            <w:tcW w:w="0" w:type="auto"/>
            <w:shd w:val="clear"/>
            <w:vAlign w:val="center"/>
          </w:tcPr>
          <w:p w14:paraId="38934512">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1</w:t>
            </w:r>
          </w:p>
        </w:tc>
        <w:tc>
          <w:tcPr>
            <w:tcW w:w="0" w:type="auto"/>
            <w:shd w:val="clear"/>
            <w:vAlign w:val="center"/>
          </w:tcPr>
          <w:p w14:paraId="723C9890">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Extremely difficult, nearly impossible</w:t>
            </w:r>
          </w:p>
        </w:tc>
      </w:tr>
    </w:tbl>
    <w:p w14:paraId="26D0D70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5.1.2 Impact Level (1–5 points)</w:t>
      </w:r>
    </w:p>
    <w:p w14:paraId="5858EC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表格</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065"/>
        <w:gridCol w:w="604"/>
        <w:gridCol w:w="5737"/>
      </w:tblGrid>
      <w:tr w14:paraId="186FFA4D">
        <w:trPr>
          <w:tblHeader/>
          <w:tblCellSpacing w:w="15" w:type="dxa"/>
        </w:trPr>
        <w:tc>
          <w:tcPr>
            <w:tcW w:w="0" w:type="auto"/>
            <w:shd w:val="clear"/>
            <w:vAlign w:val="center"/>
          </w:tcPr>
          <w:p w14:paraId="652C7F1D">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Impact</w:t>
            </w:r>
          </w:p>
        </w:tc>
        <w:tc>
          <w:tcPr>
            <w:tcW w:w="0" w:type="auto"/>
            <w:shd w:val="clear"/>
            <w:vAlign w:val="center"/>
          </w:tcPr>
          <w:p w14:paraId="0A02BCE0">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Score</w:t>
            </w:r>
          </w:p>
        </w:tc>
        <w:tc>
          <w:tcPr>
            <w:tcW w:w="0" w:type="auto"/>
            <w:shd w:val="clear"/>
            <w:vAlign w:val="center"/>
          </w:tcPr>
          <w:p w14:paraId="29833BC7">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Description</w:t>
            </w:r>
          </w:p>
        </w:tc>
      </w:tr>
      <w:tr w14:paraId="333F9FBA">
        <w:trPr>
          <w:tblCellSpacing w:w="15" w:type="dxa"/>
        </w:trPr>
        <w:tc>
          <w:tcPr>
            <w:tcW w:w="0" w:type="auto"/>
            <w:shd w:val="clear"/>
            <w:vAlign w:val="center"/>
          </w:tcPr>
          <w:p w14:paraId="4F58BAC0">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Very High</w:t>
            </w:r>
          </w:p>
        </w:tc>
        <w:tc>
          <w:tcPr>
            <w:tcW w:w="0" w:type="auto"/>
            <w:shd w:val="clear"/>
            <w:vAlign w:val="center"/>
          </w:tcPr>
          <w:p w14:paraId="20F2E06E">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5</w:t>
            </w:r>
          </w:p>
        </w:tc>
        <w:tc>
          <w:tcPr>
            <w:tcW w:w="0" w:type="auto"/>
            <w:shd w:val="clear"/>
            <w:vAlign w:val="center"/>
          </w:tcPr>
          <w:p w14:paraId="7C986733">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System paralysis, major accident, heavy reputation damage</w:t>
            </w:r>
          </w:p>
        </w:tc>
      </w:tr>
      <w:tr w14:paraId="0C940276">
        <w:trPr>
          <w:tblCellSpacing w:w="15" w:type="dxa"/>
        </w:trPr>
        <w:tc>
          <w:tcPr>
            <w:tcW w:w="0" w:type="auto"/>
            <w:shd w:val="clear"/>
            <w:vAlign w:val="center"/>
          </w:tcPr>
          <w:p w14:paraId="6133A19E">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High</w:t>
            </w:r>
          </w:p>
        </w:tc>
        <w:tc>
          <w:tcPr>
            <w:tcW w:w="0" w:type="auto"/>
            <w:shd w:val="clear"/>
            <w:vAlign w:val="center"/>
          </w:tcPr>
          <w:p w14:paraId="317155D9">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4</w:t>
            </w:r>
          </w:p>
        </w:tc>
        <w:tc>
          <w:tcPr>
            <w:tcW w:w="0" w:type="auto"/>
            <w:shd w:val="clear"/>
            <w:vAlign w:val="center"/>
          </w:tcPr>
          <w:p w14:paraId="158A086E">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Partial failure, data compromise, operational disruption</w:t>
            </w:r>
          </w:p>
        </w:tc>
      </w:tr>
      <w:tr w14:paraId="6876A021">
        <w:trPr>
          <w:tblCellSpacing w:w="15" w:type="dxa"/>
        </w:trPr>
        <w:tc>
          <w:tcPr>
            <w:tcW w:w="0" w:type="auto"/>
            <w:shd w:val="clear"/>
            <w:vAlign w:val="center"/>
          </w:tcPr>
          <w:p w14:paraId="4A88C7D6">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Medium</w:t>
            </w:r>
          </w:p>
        </w:tc>
        <w:tc>
          <w:tcPr>
            <w:tcW w:w="0" w:type="auto"/>
            <w:shd w:val="clear"/>
            <w:vAlign w:val="center"/>
          </w:tcPr>
          <w:p w14:paraId="6D9E9F1A">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3</w:t>
            </w:r>
          </w:p>
        </w:tc>
        <w:tc>
          <w:tcPr>
            <w:tcW w:w="0" w:type="auto"/>
            <w:shd w:val="clear"/>
            <w:vAlign w:val="center"/>
          </w:tcPr>
          <w:p w14:paraId="21308703">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Partial abnormality, minor impact</w:t>
            </w:r>
          </w:p>
        </w:tc>
      </w:tr>
      <w:tr w14:paraId="71B0AC46">
        <w:trPr>
          <w:tblCellSpacing w:w="15" w:type="dxa"/>
        </w:trPr>
        <w:tc>
          <w:tcPr>
            <w:tcW w:w="0" w:type="auto"/>
            <w:shd w:val="clear"/>
            <w:vAlign w:val="center"/>
          </w:tcPr>
          <w:p w14:paraId="3DFC797B">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Low</w:t>
            </w:r>
          </w:p>
        </w:tc>
        <w:tc>
          <w:tcPr>
            <w:tcW w:w="0" w:type="auto"/>
            <w:shd w:val="clear"/>
            <w:vAlign w:val="center"/>
          </w:tcPr>
          <w:p w14:paraId="1D12365B">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2</w:t>
            </w:r>
          </w:p>
        </w:tc>
        <w:tc>
          <w:tcPr>
            <w:tcW w:w="0" w:type="auto"/>
            <w:shd w:val="clear"/>
            <w:vAlign w:val="center"/>
          </w:tcPr>
          <w:p w14:paraId="346E9F23">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Slight local impact</w:t>
            </w:r>
          </w:p>
        </w:tc>
      </w:tr>
      <w:tr w14:paraId="476CA709">
        <w:trPr>
          <w:tblCellSpacing w:w="15" w:type="dxa"/>
        </w:trPr>
        <w:tc>
          <w:tcPr>
            <w:tcW w:w="0" w:type="auto"/>
            <w:shd w:val="clear"/>
            <w:vAlign w:val="center"/>
          </w:tcPr>
          <w:p w14:paraId="2DE24840">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Very Low</w:t>
            </w:r>
          </w:p>
        </w:tc>
        <w:tc>
          <w:tcPr>
            <w:tcW w:w="0" w:type="auto"/>
            <w:shd w:val="clear"/>
            <w:vAlign w:val="center"/>
          </w:tcPr>
          <w:p w14:paraId="6C09BEF0">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1</w:t>
            </w:r>
          </w:p>
        </w:tc>
        <w:tc>
          <w:tcPr>
            <w:tcW w:w="0" w:type="auto"/>
            <w:shd w:val="clear"/>
            <w:vAlign w:val="center"/>
          </w:tcPr>
          <w:p w14:paraId="1796EEC7">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No actual impact</w:t>
            </w:r>
          </w:p>
        </w:tc>
      </w:tr>
    </w:tbl>
    <w:p w14:paraId="06434A7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5.1.3 Risk Level (Total = Likelihood × Impact)</w:t>
      </w:r>
    </w:p>
    <w:p w14:paraId="7AFF20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表格</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132"/>
        <w:gridCol w:w="1317"/>
        <w:gridCol w:w="2412"/>
      </w:tblGrid>
      <w:tr w14:paraId="69EDA31F">
        <w:trPr>
          <w:tblHeader/>
          <w:tblCellSpacing w:w="15" w:type="dxa"/>
        </w:trPr>
        <w:tc>
          <w:tcPr>
            <w:tcW w:w="0" w:type="auto"/>
            <w:shd w:val="clear"/>
            <w:vAlign w:val="center"/>
          </w:tcPr>
          <w:p w14:paraId="10420344">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Risk Level</w:t>
            </w:r>
          </w:p>
        </w:tc>
        <w:tc>
          <w:tcPr>
            <w:tcW w:w="0" w:type="auto"/>
            <w:shd w:val="clear"/>
            <w:vAlign w:val="center"/>
          </w:tcPr>
          <w:p w14:paraId="55AA1800">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Score Range</w:t>
            </w:r>
          </w:p>
        </w:tc>
        <w:tc>
          <w:tcPr>
            <w:tcW w:w="0" w:type="auto"/>
            <w:shd w:val="clear"/>
            <w:vAlign w:val="center"/>
          </w:tcPr>
          <w:p w14:paraId="3A152EF0">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Handling Requirement</w:t>
            </w:r>
          </w:p>
        </w:tc>
      </w:tr>
      <w:tr w14:paraId="30456BCE">
        <w:trPr>
          <w:tblCellSpacing w:w="15" w:type="dxa"/>
        </w:trPr>
        <w:tc>
          <w:tcPr>
            <w:tcW w:w="0" w:type="auto"/>
            <w:shd w:val="clear"/>
            <w:vAlign w:val="center"/>
          </w:tcPr>
          <w:p w14:paraId="1293393F">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Critical</w:t>
            </w:r>
          </w:p>
        </w:tc>
        <w:tc>
          <w:tcPr>
            <w:tcW w:w="0" w:type="auto"/>
            <w:shd w:val="clear"/>
            <w:vAlign w:val="center"/>
          </w:tcPr>
          <w:p w14:paraId="45ABF881">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20–25</w:t>
            </w:r>
          </w:p>
        </w:tc>
        <w:tc>
          <w:tcPr>
            <w:tcW w:w="0" w:type="auto"/>
            <w:shd w:val="clear"/>
            <w:vAlign w:val="center"/>
          </w:tcPr>
          <w:p w14:paraId="298E2E5A">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Immediate remediation</w:t>
            </w:r>
          </w:p>
        </w:tc>
      </w:tr>
      <w:tr w14:paraId="627B353D">
        <w:trPr>
          <w:tblCellSpacing w:w="15" w:type="dxa"/>
        </w:trPr>
        <w:tc>
          <w:tcPr>
            <w:tcW w:w="0" w:type="auto"/>
            <w:shd w:val="clear"/>
            <w:vAlign w:val="center"/>
          </w:tcPr>
          <w:p w14:paraId="17A7C351">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High</w:t>
            </w:r>
          </w:p>
        </w:tc>
        <w:tc>
          <w:tcPr>
            <w:tcW w:w="0" w:type="auto"/>
            <w:shd w:val="clear"/>
            <w:vAlign w:val="center"/>
          </w:tcPr>
          <w:p w14:paraId="1EE6E8A6">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12–19</w:t>
            </w:r>
          </w:p>
        </w:tc>
        <w:tc>
          <w:tcPr>
            <w:tcW w:w="0" w:type="auto"/>
            <w:shd w:val="clear"/>
            <w:vAlign w:val="center"/>
          </w:tcPr>
          <w:p w14:paraId="1BC8A96F">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Priority remediation</w:t>
            </w:r>
          </w:p>
        </w:tc>
      </w:tr>
      <w:tr w14:paraId="15392513">
        <w:trPr>
          <w:tblCellSpacing w:w="15" w:type="dxa"/>
        </w:trPr>
        <w:tc>
          <w:tcPr>
            <w:tcW w:w="0" w:type="auto"/>
            <w:shd w:val="clear"/>
            <w:vAlign w:val="center"/>
          </w:tcPr>
          <w:p w14:paraId="1142BFAD">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Medium</w:t>
            </w:r>
          </w:p>
        </w:tc>
        <w:tc>
          <w:tcPr>
            <w:tcW w:w="0" w:type="auto"/>
            <w:shd w:val="clear"/>
            <w:vAlign w:val="center"/>
          </w:tcPr>
          <w:p w14:paraId="4B3A3E8A">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6–11</w:t>
            </w:r>
          </w:p>
        </w:tc>
        <w:tc>
          <w:tcPr>
            <w:tcW w:w="0" w:type="auto"/>
            <w:shd w:val="clear"/>
            <w:vAlign w:val="center"/>
          </w:tcPr>
          <w:p w14:paraId="50993C25">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Routine management</w:t>
            </w:r>
          </w:p>
        </w:tc>
      </w:tr>
      <w:tr w14:paraId="17B081B3">
        <w:trPr>
          <w:tblCellSpacing w:w="15" w:type="dxa"/>
        </w:trPr>
        <w:tc>
          <w:tcPr>
            <w:tcW w:w="0" w:type="auto"/>
            <w:shd w:val="clear"/>
            <w:vAlign w:val="center"/>
          </w:tcPr>
          <w:p w14:paraId="0104D782">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Low</w:t>
            </w:r>
          </w:p>
        </w:tc>
        <w:tc>
          <w:tcPr>
            <w:tcW w:w="0" w:type="auto"/>
            <w:shd w:val="clear"/>
            <w:vAlign w:val="center"/>
          </w:tcPr>
          <w:p w14:paraId="1247D19C">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1–5</w:t>
            </w:r>
          </w:p>
        </w:tc>
        <w:tc>
          <w:tcPr>
            <w:tcW w:w="0" w:type="auto"/>
            <w:shd w:val="clear"/>
            <w:vAlign w:val="center"/>
          </w:tcPr>
          <w:p w14:paraId="3207CEDD">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Monitoring only</w:t>
            </w:r>
          </w:p>
        </w:tc>
      </w:tr>
    </w:tbl>
    <w:p w14:paraId="0AA552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5.2 Risk Rating Results</w:t>
      </w:r>
    </w:p>
    <w:p w14:paraId="06F3BB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表格</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432"/>
        <w:gridCol w:w="2742"/>
        <w:gridCol w:w="1138"/>
        <w:gridCol w:w="764"/>
        <w:gridCol w:w="577"/>
        <w:gridCol w:w="855"/>
        <w:gridCol w:w="858"/>
      </w:tblGrid>
      <w:tr w14:paraId="59B5C54E">
        <w:trPr>
          <w:tblHeader/>
          <w:tblCellSpacing w:w="15" w:type="dxa"/>
        </w:trPr>
        <w:tc>
          <w:tcPr>
            <w:tcW w:w="0" w:type="auto"/>
            <w:shd w:val="clear"/>
            <w:vAlign w:val="center"/>
          </w:tcPr>
          <w:p w14:paraId="6AF348FF">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Threat ID</w:t>
            </w:r>
          </w:p>
        </w:tc>
        <w:tc>
          <w:tcPr>
            <w:tcW w:w="0" w:type="auto"/>
            <w:shd w:val="clear"/>
            <w:vAlign w:val="center"/>
          </w:tcPr>
          <w:p w14:paraId="288D9018">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Threat Description</w:t>
            </w:r>
          </w:p>
        </w:tc>
        <w:tc>
          <w:tcPr>
            <w:tcW w:w="0" w:type="auto"/>
            <w:shd w:val="clear"/>
            <w:vAlign w:val="center"/>
          </w:tcPr>
          <w:p w14:paraId="6032622D">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Likelihood</w:t>
            </w:r>
          </w:p>
        </w:tc>
        <w:tc>
          <w:tcPr>
            <w:tcW w:w="0" w:type="auto"/>
            <w:shd w:val="clear"/>
            <w:vAlign w:val="center"/>
          </w:tcPr>
          <w:p w14:paraId="0B8762CF">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Impact</w:t>
            </w:r>
          </w:p>
        </w:tc>
        <w:tc>
          <w:tcPr>
            <w:tcW w:w="0" w:type="auto"/>
            <w:shd w:val="clear"/>
            <w:vAlign w:val="center"/>
          </w:tcPr>
          <w:p w14:paraId="01E5A148">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Total</w:t>
            </w:r>
          </w:p>
        </w:tc>
        <w:tc>
          <w:tcPr>
            <w:tcW w:w="0" w:type="auto"/>
            <w:shd w:val="clear"/>
            <w:vAlign w:val="center"/>
          </w:tcPr>
          <w:p w14:paraId="24D680A2">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Risk Level</w:t>
            </w:r>
          </w:p>
        </w:tc>
        <w:tc>
          <w:tcPr>
            <w:tcW w:w="0" w:type="auto"/>
            <w:shd w:val="clear"/>
            <w:vAlign w:val="center"/>
          </w:tcPr>
          <w:p w14:paraId="356FC9FD">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Priority</w:t>
            </w:r>
          </w:p>
        </w:tc>
      </w:tr>
      <w:tr w14:paraId="0FDB1738">
        <w:trPr>
          <w:tblCellSpacing w:w="15" w:type="dxa"/>
        </w:trPr>
        <w:tc>
          <w:tcPr>
            <w:tcW w:w="0" w:type="auto"/>
            <w:shd w:val="clear"/>
            <w:vAlign w:val="center"/>
          </w:tcPr>
          <w:p w14:paraId="049487BF">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THREAT-001</w:t>
            </w:r>
          </w:p>
        </w:tc>
        <w:tc>
          <w:tcPr>
            <w:tcW w:w="0" w:type="auto"/>
            <w:shd w:val="clear"/>
            <w:vAlign w:val="center"/>
          </w:tcPr>
          <w:p w14:paraId="2BE08C99">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USB malicious access, tampering, data leakage</w:t>
            </w:r>
          </w:p>
        </w:tc>
        <w:tc>
          <w:tcPr>
            <w:tcW w:w="0" w:type="auto"/>
            <w:shd w:val="clear"/>
            <w:vAlign w:val="center"/>
          </w:tcPr>
          <w:p w14:paraId="191EF656">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4</w:t>
            </w:r>
          </w:p>
        </w:tc>
        <w:tc>
          <w:tcPr>
            <w:tcW w:w="0" w:type="auto"/>
            <w:shd w:val="clear"/>
            <w:vAlign w:val="center"/>
          </w:tcPr>
          <w:p w14:paraId="21C88BF5">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5</w:t>
            </w:r>
          </w:p>
        </w:tc>
        <w:tc>
          <w:tcPr>
            <w:tcW w:w="0" w:type="auto"/>
            <w:shd w:val="clear"/>
            <w:vAlign w:val="center"/>
          </w:tcPr>
          <w:p w14:paraId="27A2FA81">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20</w:t>
            </w:r>
          </w:p>
        </w:tc>
        <w:tc>
          <w:tcPr>
            <w:tcW w:w="0" w:type="auto"/>
            <w:shd w:val="clear"/>
            <w:vAlign w:val="center"/>
          </w:tcPr>
          <w:p w14:paraId="7E39C171">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Critical</w:t>
            </w:r>
          </w:p>
        </w:tc>
        <w:tc>
          <w:tcPr>
            <w:tcW w:w="0" w:type="auto"/>
            <w:shd w:val="clear"/>
            <w:vAlign w:val="center"/>
          </w:tcPr>
          <w:p w14:paraId="1702B636">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P0</w:t>
            </w:r>
          </w:p>
        </w:tc>
      </w:tr>
      <w:tr w14:paraId="427415F9">
        <w:trPr>
          <w:tblCellSpacing w:w="15" w:type="dxa"/>
        </w:trPr>
        <w:tc>
          <w:tcPr>
            <w:tcW w:w="0" w:type="auto"/>
            <w:shd w:val="clear"/>
            <w:vAlign w:val="center"/>
          </w:tcPr>
          <w:p w14:paraId="0722AFD8">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THREAT-002</w:t>
            </w:r>
          </w:p>
        </w:tc>
        <w:tc>
          <w:tcPr>
            <w:tcW w:w="0" w:type="auto"/>
            <w:shd w:val="clear"/>
            <w:vAlign w:val="center"/>
          </w:tcPr>
          <w:p w14:paraId="3E1A0734">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Malicious network access, impersonation</w:t>
            </w:r>
          </w:p>
        </w:tc>
        <w:tc>
          <w:tcPr>
            <w:tcW w:w="0" w:type="auto"/>
            <w:shd w:val="clear"/>
            <w:vAlign w:val="center"/>
          </w:tcPr>
          <w:p w14:paraId="5CD6C8AA">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4</w:t>
            </w:r>
          </w:p>
        </w:tc>
        <w:tc>
          <w:tcPr>
            <w:tcW w:w="0" w:type="auto"/>
            <w:shd w:val="clear"/>
            <w:vAlign w:val="center"/>
          </w:tcPr>
          <w:p w14:paraId="170A3D66">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4</w:t>
            </w:r>
          </w:p>
        </w:tc>
        <w:tc>
          <w:tcPr>
            <w:tcW w:w="0" w:type="auto"/>
            <w:shd w:val="clear"/>
            <w:vAlign w:val="center"/>
          </w:tcPr>
          <w:p w14:paraId="58E68A7E">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16</w:t>
            </w:r>
          </w:p>
        </w:tc>
        <w:tc>
          <w:tcPr>
            <w:tcW w:w="0" w:type="auto"/>
            <w:shd w:val="clear"/>
            <w:vAlign w:val="center"/>
          </w:tcPr>
          <w:p w14:paraId="2A01EFC1">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High</w:t>
            </w:r>
          </w:p>
        </w:tc>
        <w:tc>
          <w:tcPr>
            <w:tcW w:w="0" w:type="auto"/>
            <w:shd w:val="clear"/>
            <w:vAlign w:val="center"/>
          </w:tcPr>
          <w:p w14:paraId="379D93D8">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P1</w:t>
            </w:r>
          </w:p>
        </w:tc>
      </w:tr>
      <w:tr w14:paraId="417254B8">
        <w:trPr>
          <w:tblCellSpacing w:w="15" w:type="dxa"/>
        </w:trPr>
        <w:tc>
          <w:tcPr>
            <w:tcW w:w="0" w:type="auto"/>
            <w:shd w:val="clear"/>
            <w:vAlign w:val="center"/>
          </w:tcPr>
          <w:p w14:paraId="5676FDD1">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THREAT-003</w:t>
            </w:r>
          </w:p>
        </w:tc>
        <w:tc>
          <w:tcPr>
            <w:tcW w:w="0" w:type="auto"/>
            <w:shd w:val="clear"/>
            <w:vAlign w:val="center"/>
          </w:tcPr>
          <w:p w14:paraId="3937094F">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Non-runtime data plaintext leakage</w:t>
            </w:r>
          </w:p>
        </w:tc>
        <w:tc>
          <w:tcPr>
            <w:tcW w:w="0" w:type="auto"/>
            <w:shd w:val="clear"/>
            <w:vAlign w:val="center"/>
          </w:tcPr>
          <w:p w14:paraId="51DF4C9F">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5</w:t>
            </w:r>
          </w:p>
        </w:tc>
        <w:tc>
          <w:tcPr>
            <w:tcW w:w="0" w:type="auto"/>
            <w:shd w:val="clear"/>
            <w:vAlign w:val="center"/>
          </w:tcPr>
          <w:p w14:paraId="3871C86E">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5</w:t>
            </w:r>
          </w:p>
        </w:tc>
        <w:tc>
          <w:tcPr>
            <w:tcW w:w="0" w:type="auto"/>
            <w:shd w:val="clear"/>
            <w:vAlign w:val="center"/>
          </w:tcPr>
          <w:p w14:paraId="63408426">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25</w:t>
            </w:r>
          </w:p>
        </w:tc>
        <w:tc>
          <w:tcPr>
            <w:tcW w:w="0" w:type="auto"/>
            <w:shd w:val="clear"/>
            <w:vAlign w:val="center"/>
          </w:tcPr>
          <w:p w14:paraId="78564193">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Critical</w:t>
            </w:r>
          </w:p>
        </w:tc>
        <w:tc>
          <w:tcPr>
            <w:tcW w:w="0" w:type="auto"/>
            <w:shd w:val="clear"/>
            <w:vAlign w:val="center"/>
          </w:tcPr>
          <w:p w14:paraId="2E8233A8">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P0</w:t>
            </w:r>
          </w:p>
        </w:tc>
      </w:tr>
      <w:tr w14:paraId="635ED59F">
        <w:trPr>
          <w:tblCellSpacing w:w="15" w:type="dxa"/>
        </w:trPr>
        <w:tc>
          <w:tcPr>
            <w:tcW w:w="0" w:type="auto"/>
            <w:shd w:val="clear"/>
            <w:vAlign w:val="center"/>
          </w:tcPr>
          <w:p w14:paraId="714F20F1">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THREAT-004</w:t>
            </w:r>
          </w:p>
        </w:tc>
        <w:tc>
          <w:tcPr>
            <w:tcW w:w="0" w:type="auto"/>
            <w:shd w:val="clear"/>
            <w:vAlign w:val="center"/>
          </w:tcPr>
          <w:p w14:paraId="49B78550">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Tampering non-runtime data / configuration frames</w:t>
            </w:r>
          </w:p>
        </w:tc>
        <w:tc>
          <w:tcPr>
            <w:tcW w:w="0" w:type="auto"/>
            <w:shd w:val="clear"/>
            <w:vAlign w:val="center"/>
          </w:tcPr>
          <w:p w14:paraId="33F873DA">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5</w:t>
            </w:r>
          </w:p>
        </w:tc>
        <w:tc>
          <w:tcPr>
            <w:tcW w:w="0" w:type="auto"/>
            <w:shd w:val="clear"/>
            <w:vAlign w:val="center"/>
          </w:tcPr>
          <w:p w14:paraId="7783E423">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4</w:t>
            </w:r>
          </w:p>
        </w:tc>
        <w:tc>
          <w:tcPr>
            <w:tcW w:w="0" w:type="auto"/>
            <w:shd w:val="clear"/>
            <w:vAlign w:val="center"/>
          </w:tcPr>
          <w:p w14:paraId="699B8EAA">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20</w:t>
            </w:r>
          </w:p>
        </w:tc>
        <w:tc>
          <w:tcPr>
            <w:tcW w:w="0" w:type="auto"/>
            <w:shd w:val="clear"/>
            <w:vAlign w:val="center"/>
          </w:tcPr>
          <w:p w14:paraId="059CBD46">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Critical</w:t>
            </w:r>
          </w:p>
        </w:tc>
        <w:tc>
          <w:tcPr>
            <w:tcW w:w="0" w:type="auto"/>
            <w:shd w:val="clear"/>
            <w:vAlign w:val="center"/>
          </w:tcPr>
          <w:p w14:paraId="6E4E0794">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P0</w:t>
            </w:r>
          </w:p>
        </w:tc>
      </w:tr>
      <w:tr w14:paraId="4261DA21">
        <w:trPr>
          <w:tblCellSpacing w:w="15" w:type="dxa"/>
        </w:trPr>
        <w:tc>
          <w:tcPr>
            <w:tcW w:w="0" w:type="auto"/>
            <w:shd w:val="clear"/>
            <w:vAlign w:val="center"/>
          </w:tcPr>
          <w:p w14:paraId="5944DA41">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THREAT-005</w:t>
            </w:r>
          </w:p>
        </w:tc>
        <w:tc>
          <w:tcPr>
            <w:tcW w:w="0" w:type="auto"/>
            <w:shd w:val="clear"/>
            <w:vAlign w:val="center"/>
          </w:tcPr>
          <w:p w14:paraId="73C68BE3">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Log deletion/tampering</w:t>
            </w:r>
          </w:p>
        </w:tc>
        <w:tc>
          <w:tcPr>
            <w:tcW w:w="0" w:type="auto"/>
            <w:shd w:val="clear"/>
            <w:vAlign w:val="center"/>
          </w:tcPr>
          <w:p w14:paraId="78A9C450">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4</w:t>
            </w:r>
          </w:p>
        </w:tc>
        <w:tc>
          <w:tcPr>
            <w:tcW w:w="0" w:type="auto"/>
            <w:shd w:val="clear"/>
            <w:vAlign w:val="center"/>
          </w:tcPr>
          <w:p w14:paraId="61149BD6">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4</w:t>
            </w:r>
          </w:p>
        </w:tc>
        <w:tc>
          <w:tcPr>
            <w:tcW w:w="0" w:type="auto"/>
            <w:shd w:val="clear"/>
            <w:vAlign w:val="center"/>
          </w:tcPr>
          <w:p w14:paraId="53B824A0">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16</w:t>
            </w:r>
          </w:p>
        </w:tc>
        <w:tc>
          <w:tcPr>
            <w:tcW w:w="0" w:type="auto"/>
            <w:shd w:val="clear"/>
            <w:vAlign w:val="center"/>
          </w:tcPr>
          <w:p w14:paraId="1F0BFCA9">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High</w:t>
            </w:r>
          </w:p>
        </w:tc>
        <w:tc>
          <w:tcPr>
            <w:tcW w:w="0" w:type="auto"/>
            <w:shd w:val="clear"/>
            <w:vAlign w:val="center"/>
          </w:tcPr>
          <w:p w14:paraId="7565AF9C">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P1</w:t>
            </w:r>
          </w:p>
        </w:tc>
      </w:tr>
      <w:tr w14:paraId="4547991C">
        <w:trPr>
          <w:tblCellSpacing w:w="15" w:type="dxa"/>
        </w:trPr>
        <w:tc>
          <w:tcPr>
            <w:tcW w:w="0" w:type="auto"/>
            <w:shd w:val="clear"/>
            <w:vAlign w:val="center"/>
          </w:tcPr>
          <w:p w14:paraId="7D3B7716">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THREAT-006</w:t>
            </w:r>
          </w:p>
        </w:tc>
        <w:tc>
          <w:tcPr>
            <w:tcW w:w="0" w:type="auto"/>
            <w:shd w:val="clear"/>
            <w:vAlign w:val="center"/>
          </w:tcPr>
          <w:p w14:paraId="7C9BBBE4">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TCP sniffing, data decryption</w:t>
            </w:r>
          </w:p>
        </w:tc>
        <w:tc>
          <w:tcPr>
            <w:tcW w:w="0" w:type="auto"/>
            <w:shd w:val="clear"/>
            <w:vAlign w:val="center"/>
          </w:tcPr>
          <w:p w14:paraId="0CF77E33">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3</w:t>
            </w:r>
          </w:p>
        </w:tc>
        <w:tc>
          <w:tcPr>
            <w:tcW w:w="0" w:type="auto"/>
            <w:shd w:val="clear"/>
            <w:vAlign w:val="center"/>
          </w:tcPr>
          <w:p w14:paraId="2C22A3A7">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4</w:t>
            </w:r>
          </w:p>
        </w:tc>
        <w:tc>
          <w:tcPr>
            <w:tcW w:w="0" w:type="auto"/>
            <w:shd w:val="clear"/>
            <w:vAlign w:val="center"/>
          </w:tcPr>
          <w:p w14:paraId="54885BD6">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12</w:t>
            </w:r>
          </w:p>
        </w:tc>
        <w:tc>
          <w:tcPr>
            <w:tcW w:w="0" w:type="auto"/>
            <w:shd w:val="clear"/>
            <w:vAlign w:val="center"/>
          </w:tcPr>
          <w:p w14:paraId="2B191BD1">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High</w:t>
            </w:r>
          </w:p>
        </w:tc>
        <w:tc>
          <w:tcPr>
            <w:tcW w:w="0" w:type="auto"/>
            <w:shd w:val="clear"/>
            <w:vAlign w:val="center"/>
          </w:tcPr>
          <w:p w14:paraId="443D2174">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P1</w:t>
            </w:r>
          </w:p>
        </w:tc>
      </w:tr>
      <w:tr w14:paraId="51AAD195">
        <w:trPr>
          <w:tblCellSpacing w:w="15" w:type="dxa"/>
        </w:trPr>
        <w:tc>
          <w:tcPr>
            <w:tcW w:w="0" w:type="auto"/>
            <w:shd w:val="clear"/>
            <w:vAlign w:val="center"/>
          </w:tcPr>
          <w:p w14:paraId="3A329C53">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THREAT-007</w:t>
            </w:r>
          </w:p>
        </w:tc>
        <w:tc>
          <w:tcPr>
            <w:tcW w:w="0" w:type="auto"/>
            <w:shd w:val="clear"/>
            <w:vAlign w:val="center"/>
          </w:tcPr>
          <w:p w14:paraId="5C786B9F">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Identity forgery, false data injection</w:t>
            </w:r>
          </w:p>
        </w:tc>
        <w:tc>
          <w:tcPr>
            <w:tcW w:w="0" w:type="auto"/>
            <w:shd w:val="clear"/>
            <w:vAlign w:val="center"/>
          </w:tcPr>
          <w:p w14:paraId="0C04B548">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3</w:t>
            </w:r>
          </w:p>
        </w:tc>
        <w:tc>
          <w:tcPr>
            <w:tcW w:w="0" w:type="auto"/>
            <w:shd w:val="clear"/>
            <w:vAlign w:val="center"/>
          </w:tcPr>
          <w:p w14:paraId="411C4F55">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4</w:t>
            </w:r>
          </w:p>
        </w:tc>
        <w:tc>
          <w:tcPr>
            <w:tcW w:w="0" w:type="auto"/>
            <w:shd w:val="clear"/>
            <w:vAlign w:val="center"/>
          </w:tcPr>
          <w:p w14:paraId="3D8DD975">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12</w:t>
            </w:r>
          </w:p>
        </w:tc>
        <w:tc>
          <w:tcPr>
            <w:tcW w:w="0" w:type="auto"/>
            <w:shd w:val="clear"/>
            <w:vAlign w:val="center"/>
          </w:tcPr>
          <w:p w14:paraId="1FE5A373">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High</w:t>
            </w:r>
          </w:p>
        </w:tc>
        <w:tc>
          <w:tcPr>
            <w:tcW w:w="0" w:type="auto"/>
            <w:shd w:val="clear"/>
            <w:vAlign w:val="center"/>
          </w:tcPr>
          <w:p w14:paraId="55C7757F">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P1</w:t>
            </w:r>
          </w:p>
        </w:tc>
      </w:tr>
      <w:tr w14:paraId="24EF740B">
        <w:trPr>
          <w:tblCellSpacing w:w="15" w:type="dxa"/>
        </w:trPr>
        <w:tc>
          <w:tcPr>
            <w:tcW w:w="0" w:type="auto"/>
            <w:shd w:val="clear"/>
            <w:vAlign w:val="center"/>
          </w:tcPr>
          <w:p w14:paraId="3471D194">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THREAT-008</w:t>
            </w:r>
          </w:p>
        </w:tc>
        <w:tc>
          <w:tcPr>
            <w:tcW w:w="0" w:type="auto"/>
            <w:shd w:val="clear"/>
            <w:vAlign w:val="center"/>
          </w:tcPr>
          <w:p w14:paraId="2F8D144C">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TCP flood, DoS</w:t>
            </w:r>
          </w:p>
        </w:tc>
        <w:tc>
          <w:tcPr>
            <w:tcW w:w="0" w:type="auto"/>
            <w:shd w:val="clear"/>
            <w:vAlign w:val="center"/>
          </w:tcPr>
          <w:p w14:paraId="0C76355D">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4</w:t>
            </w:r>
          </w:p>
        </w:tc>
        <w:tc>
          <w:tcPr>
            <w:tcW w:w="0" w:type="auto"/>
            <w:shd w:val="clear"/>
            <w:vAlign w:val="center"/>
          </w:tcPr>
          <w:p w14:paraId="1467834B">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3</w:t>
            </w:r>
          </w:p>
        </w:tc>
        <w:tc>
          <w:tcPr>
            <w:tcW w:w="0" w:type="auto"/>
            <w:shd w:val="clear"/>
            <w:vAlign w:val="center"/>
          </w:tcPr>
          <w:p w14:paraId="3A5FE83B">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12</w:t>
            </w:r>
          </w:p>
        </w:tc>
        <w:tc>
          <w:tcPr>
            <w:tcW w:w="0" w:type="auto"/>
            <w:shd w:val="clear"/>
            <w:vAlign w:val="center"/>
          </w:tcPr>
          <w:p w14:paraId="2C4B3B08">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High</w:t>
            </w:r>
          </w:p>
        </w:tc>
        <w:tc>
          <w:tcPr>
            <w:tcW w:w="0" w:type="auto"/>
            <w:shd w:val="clear"/>
            <w:vAlign w:val="center"/>
          </w:tcPr>
          <w:p w14:paraId="282695E9">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P1</w:t>
            </w:r>
          </w:p>
        </w:tc>
      </w:tr>
      <w:tr w14:paraId="6476BE22">
        <w:trPr>
          <w:tblCellSpacing w:w="15" w:type="dxa"/>
        </w:trPr>
        <w:tc>
          <w:tcPr>
            <w:tcW w:w="0" w:type="auto"/>
            <w:shd w:val="clear"/>
            <w:vAlign w:val="center"/>
          </w:tcPr>
          <w:p w14:paraId="5F31F6AF">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THREAT-009</w:t>
            </w:r>
          </w:p>
        </w:tc>
        <w:tc>
          <w:tcPr>
            <w:tcW w:w="0" w:type="auto"/>
            <w:shd w:val="clear"/>
            <w:vAlign w:val="center"/>
          </w:tcPr>
          <w:p w14:paraId="63757B26">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Firmware vulnerability exploitation, root access</w:t>
            </w:r>
          </w:p>
        </w:tc>
        <w:tc>
          <w:tcPr>
            <w:tcW w:w="0" w:type="auto"/>
            <w:shd w:val="clear"/>
            <w:vAlign w:val="center"/>
          </w:tcPr>
          <w:p w14:paraId="41358EE9">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3</w:t>
            </w:r>
          </w:p>
        </w:tc>
        <w:tc>
          <w:tcPr>
            <w:tcW w:w="0" w:type="auto"/>
            <w:shd w:val="clear"/>
            <w:vAlign w:val="center"/>
          </w:tcPr>
          <w:p w14:paraId="79485726">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5</w:t>
            </w:r>
          </w:p>
        </w:tc>
        <w:tc>
          <w:tcPr>
            <w:tcW w:w="0" w:type="auto"/>
            <w:shd w:val="clear"/>
            <w:vAlign w:val="center"/>
          </w:tcPr>
          <w:p w14:paraId="795FFCE2">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15</w:t>
            </w:r>
          </w:p>
        </w:tc>
        <w:tc>
          <w:tcPr>
            <w:tcW w:w="0" w:type="auto"/>
            <w:shd w:val="clear"/>
            <w:vAlign w:val="center"/>
          </w:tcPr>
          <w:p w14:paraId="70F9579B">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High</w:t>
            </w:r>
          </w:p>
        </w:tc>
        <w:tc>
          <w:tcPr>
            <w:tcW w:w="0" w:type="auto"/>
            <w:shd w:val="clear"/>
            <w:vAlign w:val="center"/>
          </w:tcPr>
          <w:p w14:paraId="0F92FB8C">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P1</w:t>
            </w:r>
          </w:p>
        </w:tc>
      </w:tr>
      <w:tr w14:paraId="245985D8">
        <w:trPr>
          <w:tblCellSpacing w:w="15" w:type="dxa"/>
        </w:trPr>
        <w:tc>
          <w:tcPr>
            <w:tcW w:w="0" w:type="auto"/>
            <w:shd w:val="clear"/>
            <w:vAlign w:val="center"/>
          </w:tcPr>
          <w:p w14:paraId="4866F0D9">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THREAT-010</w:t>
            </w:r>
          </w:p>
        </w:tc>
        <w:tc>
          <w:tcPr>
            <w:tcW w:w="0" w:type="auto"/>
            <w:shd w:val="clear"/>
            <w:vAlign w:val="center"/>
          </w:tcPr>
          <w:p w14:paraId="4876010A">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Firmware tampering, malware implantation</w:t>
            </w:r>
          </w:p>
        </w:tc>
        <w:tc>
          <w:tcPr>
            <w:tcW w:w="0" w:type="auto"/>
            <w:shd w:val="clear"/>
            <w:vAlign w:val="center"/>
          </w:tcPr>
          <w:p w14:paraId="3A6EB857">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3</w:t>
            </w:r>
          </w:p>
        </w:tc>
        <w:tc>
          <w:tcPr>
            <w:tcW w:w="0" w:type="auto"/>
            <w:shd w:val="clear"/>
            <w:vAlign w:val="center"/>
          </w:tcPr>
          <w:p w14:paraId="326648B4">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5</w:t>
            </w:r>
          </w:p>
        </w:tc>
        <w:tc>
          <w:tcPr>
            <w:tcW w:w="0" w:type="auto"/>
            <w:shd w:val="clear"/>
            <w:vAlign w:val="center"/>
          </w:tcPr>
          <w:p w14:paraId="246CFEAC">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15</w:t>
            </w:r>
          </w:p>
        </w:tc>
        <w:tc>
          <w:tcPr>
            <w:tcW w:w="0" w:type="auto"/>
            <w:shd w:val="clear"/>
            <w:vAlign w:val="center"/>
          </w:tcPr>
          <w:p w14:paraId="345264B1">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High</w:t>
            </w:r>
          </w:p>
        </w:tc>
        <w:tc>
          <w:tcPr>
            <w:tcW w:w="0" w:type="auto"/>
            <w:shd w:val="clear"/>
            <w:vAlign w:val="center"/>
          </w:tcPr>
          <w:p w14:paraId="3668A39A">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P1</w:t>
            </w:r>
          </w:p>
        </w:tc>
      </w:tr>
      <w:tr w14:paraId="4328755D">
        <w:trPr>
          <w:tblCellSpacing w:w="15" w:type="dxa"/>
        </w:trPr>
        <w:tc>
          <w:tcPr>
            <w:tcW w:w="0" w:type="auto"/>
            <w:shd w:val="clear"/>
            <w:vAlign w:val="center"/>
          </w:tcPr>
          <w:p w14:paraId="2E93BB6C">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THREAT-011</w:t>
            </w:r>
          </w:p>
        </w:tc>
        <w:tc>
          <w:tcPr>
            <w:tcW w:w="0" w:type="auto"/>
            <w:shd w:val="clear"/>
            <w:vAlign w:val="center"/>
          </w:tcPr>
          <w:p w14:paraId="2DF1F12F">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Unreasonable permission assignment</w:t>
            </w:r>
          </w:p>
        </w:tc>
        <w:tc>
          <w:tcPr>
            <w:tcW w:w="0" w:type="auto"/>
            <w:shd w:val="clear"/>
            <w:vAlign w:val="center"/>
          </w:tcPr>
          <w:p w14:paraId="0A6700B1">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3</w:t>
            </w:r>
          </w:p>
        </w:tc>
        <w:tc>
          <w:tcPr>
            <w:tcW w:w="0" w:type="auto"/>
            <w:shd w:val="clear"/>
            <w:vAlign w:val="center"/>
          </w:tcPr>
          <w:p w14:paraId="0A7C4F15">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4</w:t>
            </w:r>
          </w:p>
        </w:tc>
        <w:tc>
          <w:tcPr>
            <w:tcW w:w="0" w:type="auto"/>
            <w:shd w:val="clear"/>
            <w:vAlign w:val="center"/>
          </w:tcPr>
          <w:p w14:paraId="6083C1E4">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12</w:t>
            </w:r>
          </w:p>
        </w:tc>
        <w:tc>
          <w:tcPr>
            <w:tcW w:w="0" w:type="auto"/>
            <w:shd w:val="clear"/>
            <w:vAlign w:val="center"/>
          </w:tcPr>
          <w:p w14:paraId="39F96289">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High</w:t>
            </w:r>
          </w:p>
        </w:tc>
        <w:tc>
          <w:tcPr>
            <w:tcW w:w="0" w:type="auto"/>
            <w:shd w:val="clear"/>
            <w:vAlign w:val="center"/>
          </w:tcPr>
          <w:p w14:paraId="56A41520">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P1</w:t>
            </w:r>
          </w:p>
        </w:tc>
      </w:tr>
      <w:tr w14:paraId="4AC8EA82">
        <w:trPr>
          <w:tblCellSpacing w:w="15" w:type="dxa"/>
        </w:trPr>
        <w:tc>
          <w:tcPr>
            <w:tcW w:w="0" w:type="auto"/>
            <w:shd w:val="clear"/>
            <w:vAlign w:val="center"/>
          </w:tcPr>
          <w:p w14:paraId="1AE97994">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THREAT-012</w:t>
            </w:r>
          </w:p>
        </w:tc>
        <w:tc>
          <w:tcPr>
            <w:tcW w:w="0" w:type="auto"/>
            <w:shd w:val="clear"/>
            <w:vAlign w:val="center"/>
          </w:tcPr>
          <w:p w14:paraId="43B44AB2">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Lack of O&amp;M audit</w:t>
            </w:r>
          </w:p>
        </w:tc>
        <w:tc>
          <w:tcPr>
            <w:tcW w:w="0" w:type="auto"/>
            <w:shd w:val="clear"/>
            <w:vAlign w:val="center"/>
          </w:tcPr>
          <w:p w14:paraId="51D1D667">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3</w:t>
            </w:r>
          </w:p>
        </w:tc>
        <w:tc>
          <w:tcPr>
            <w:tcW w:w="0" w:type="auto"/>
            <w:shd w:val="clear"/>
            <w:vAlign w:val="center"/>
          </w:tcPr>
          <w:p w14:paraId="69816EEB">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4</w:t>
            </w:r>
          </w:p>
        </w:tc>
        <w:tc>
          <w:tcPr>
            <w:tcW w:w="0" w:type="auto"/>
            <w:shd w:val="clear"/>
            <w:vAlign w:val="center"/>
          </w:tcPr>
          <w:p w14:paraId="43B7F4CE">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12</w:t>
            </w:r>
          </w:p>
        </w:tc>
        <w:tc>
          <w:tcPr>
            <w:tcW w:w="0" w:type="auto"/>
            <w:shd w:val="clear"/>
            <w:vAlign w:val="center"/>
          </w:tcPr>
          <w:p w14:paraId="78F3FF78">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High</w:t>
            </w:r>
          </w:p>
        </w:tc>
        <w:tc>
          <w:tcPr>
            <w:tcW w:w="0" w:type="auto"/>
            <w:shd w:val="clear"/>
            <w:vAlign w:val="center"/>
          </w:tcPr>
          <w:p w14:paraId="3A298D92">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P1</w:t>
            </w:r>
          </w:p>
        </w:tc>
      </w:tr>
    </w:tbl>
    <w:p w14:paraId="7E5D33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5.3 Risk Summary and Analysis</w:t>
      </w:r>
    </w:p>
    <w:p w14:paraId="530090B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5.3.1 Overall Risk Distribution</w:t>
      </w:r>
    </w:p>
    <w:p w14:paraId="2A9306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 total of 12 threats were identified:</w:t>
      </w:r>
    </w:p>
    <w:p w14:paraId="677EC91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3 Critical risks (25%)</w:t>
      </w:r>
    </w:p>
    <w:p w14:paraId="23854E4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9 High risks (75%)</w:t>
      </w:r>
    </w:p>
    <w:p w14:paraId="2D5500F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No Medium or Low risks</w:t>
      </w:r>
    </w:p>
    <w:p w14:paraId="79C836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 xml:space="preserve">The overall security risk level of the PIS is </w:t>
      </w:r>
      <w:r>
        <w:rPr>
          <w:rStyle w:val="9"/>
          <w:rFonts w:hint="default" w:ascii="Times New Roman Regular" w:hAnsi="Times New Roman Regular" w:eastAsia="宋体" w:cs="Times New Roman Regular"/>
          <w:b/>
          <w:bCs/>
          <w:color w:val="000000"/>
          <w:kern w:val="0"/>
          <w:sz w:val="24"/>
          <w:szCs w:val="24"/>
          <w:bdr w:val="none" w:color="auto" w:sz="0" w:space="0"/>
          <w:lang w:val="en-US" w:eastAsia="zh-CN" w:bidi="ar"/>
        </w:rPr>
        <w:t>high</w:t>
      </w:r>
      <w:r>
        <w:rPr>
          <w:rFonts w:hint="default" w:ascii="Times New Roman Regular" w:hAnsi="Times New Roman Regular" w:eastAsia="宋体" w:cs="Times New Roman Regular"/>
          <w:color w:val="000000"/>
          <w:kern w:val="0"/>
          <w:sz w:val="24"/>
          <w:szCs w:val="24"/>
          <w:bdr w:val="none" w:color="auto" w:sz="0" w:space="0"/>
          <w:lang w:val="en-US" w:eastAsia="zh-CN" w:bidi="ar"/>
        </w:rPr>
        <w:t>.</w:t>
      </w:r>
    </w:p>
    <w:p w14:paraId="33D91C1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5.3.2 Core Risk Analysis</w:t>
      </w:r>
    </w:p>
    <w:p w14:paraId="3B979E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Core risks focus on three areas:</w:t>
      </w:r>
    </w:p>
    <w:p w14:paraId="00A0347B">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Style w:val="9"/>
          <w:rFonts w:hint="default" w:ascii="Times New Roman Regular" w:hAnsi="Times New Roman Regular" w:cs="Times New Roman Regular"/>
          <w:b/>
          <w:bCs/>
          <w:color w:val="000000"/>
          <w:sz w:val="24"/>
          <w:szCs w:val="24"/>
          <w:bdr w:val="none" w:color="auto" w:sz="0" w:space="0"/>
        </w:rPr>
        <w:t>Non-runtime data security</w:t>
      </w:r>
      <w:r>
        <w:rPr>
          <w:rFonts w:hint="default" w:ascii="Times New Roman Regular" w:hAnsi="Times New Roman Regular" w:cs="Times New Roman Regular"/>
          <w:color w:val="000000"/>
          <w:sz w:val="24"/>
          <w:szCs w:val="24"/>
          <w:bdr w:val="none" w:color="auto" w:sz="0" w:space="0"/>
        </w:rPr>
        <w:t>: unencrypted storage and transmission lead to extremely high leakage and tampering risks.</w:t>
      </w:r>
    </w:p>
    <w:p w14:paraId="2A3DF32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Style w:val="9"/>
          <w:rFonts w:hint="default" w:ascii="Times New Roman Regular" w:hAnsi="Times New Roman Regular" w:cs="Times New Roman Regular"/>
          <w:b/>
          <w:bCs/>
          <w:color w:val="000000"/>
          <w:sz w:val="24"/>
          <w:szCs w:val="24"/>
          <w:bdr w:val="none" w:color="auto" w:sz="0" w:space="0"/>
        </w:rPr>
        <w:t>Hardware interface security</w:t>
      </w:r>
      <w:r>
        <w:rPr>
          <w:rFonts w:hint="default" w:ascii="Times New Roman Regular" w:hAnsi="Times New Roman Regular" w:cs="Times New Roman Regular"/>
          <w:color w:val="000000"/>
          <w:sz w:val="24"/>
          <w:szCs w:val="24"/>
          <w:bdr w:val="none" w:color="auto" w:sz="0" w:space="0"/>
        </w:rPr>
        <w:t>: no access control or authentication on USB and network ports, which are major attack entry points.</w:t>
      </w:r>
    </w:p>
    <w:p w14:paraId="5E7F74BE">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Style w:val="9"/>
          <w:rFonts w:hint="default" w:ascii="Times New Roman Regular" w:hAnsi="Times New Roman Regular" w:cs="Times New Roman Regular"/>
          <w:b/>
          <w:bCs/>
          <w:color w:val="000000"/>
          <w:sz w:val="24"/>
          <w:szCs w:val="24"/>
          <w:bdr w:val="none" w:color="auto" w:sz="0" w:space="0"/>
        </w:rPr>
        <w:t>Communication and software security</w:t>
      </w:r>
      <w:r>
        <w:rPr>
          <w:rFonts w:hint="default" w:ascii="Times New Roman Regular" w:hAnsi="Times New Roman Regular" w:cs="Times New Roman Regular"/>
          <w:color w:val="000000"/>
          <w:sz w:val="24"/>
          <w:szCs w:val="24"/>
          <w:bdr w:val="none" w:color="auto" w:sz="0" w:space="0"/>
        </w:rPr>
        <w:t>: lack of two-way authentication and rate limiting; firmware vulnerabilities expose terminals to takeover.</w:t>
      </w:r>
    </w:p>
    <w:p w14:paraId="6EF96D0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5.3.3 Risk Impact Summary</w:t>
      </w:r>
    </w:p>
    <w:p w14:paraId="7C1085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Impacts cover four dimensions:</w:t>
      </w:r>
    </w:p>
    <w:p w14:paraId="69E96056">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Style w:val="9"/>
          <w:rFonts w:hint="default" w:ascii="Times New Roman Regular" w:hAnsi="Times New Roman Regular" w:cs="Times New Roman Regular"/>
          <w:b/>
          <w:bCs/>
          <w:color w:val="000000"/>
          <w:sz w:val="24"/>
          <w:szCs w:val="24"/>
          <w:bdr w:val="none" w:color="auto" w:sz="0" w:space="0"/>
        </w:rPr>
        <w:t>Operational safety</w:t>
      </w:r>
      <w:r>
        <w:rPr>
          <w:rFonts w:hint="default" w:ascii="Times New Roman Regular" w:hAnsi="Times New Roman Regular" w:cs="Times New Roman Regular"/>
          <w:color w:val="000000"/>
          <w:sz w:val="24"/>
          <w:szCs w:val="24"/>
          <w:bdr w:val="none" w:color="auto" w:sz="0" w:space="0"/>
        </w:rPr>
        <w:t>: system failure, disorder of transportation operations.</w:t>
      </w:r>
    </w:p>
    <w:p w14:paraId="559E3017">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Style w:val="9"/>
          <w:rFonts w:hint="default" w:ascii="Times New Roman Regular" w:hAnsi="Times New Roman Regular" w:cs="Times New Roman Regular"/>
          <w:b/>
          <w:bCs/>
          <w:color w:val="000000"/>
          <w:sz w:val="24"/>
          <w:szCs w:val="24"/>
          <w:bdr w:val="none" w:color="auto" w:sz="0" w:space="0"/>
        </w:rPr>
        <w:t>Passenger rights</w:t>
      </w:r>
      <w:r>
        <w:rPr>
          <w:rFonts w:hint="default" w:ascii="Times New Roman Regular" w:hAnsi="Times New Roman Regular" w:cs="Times New Roman Regular"/>
          <w:color w:val="000000"/>
          <w:sz w:val="24"/>
          <w:szCs w:val="24"/>
          <w:bdr w:val="none" w:color="auto" w:sz="0" w:space="0"/>
        </w:rPr>
        <w:t>: privacy leakage, misleading information, complaints.</w:t>
      </w:r>
    </w:p>
    <w:p w14:paraId="4795DC14">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Style w:val="9"/>
          <w:rFonts w:hint="default" w:ascii="Times New Roman Regular" w:hAnsi="Times New Roman Regular" w:cs="Times New Roman Regular"/>
          <w:b/>
          <w:bCs/>
          <w:color w:val="000000"/>
          <w:sz w:val="24"/>
          <w:szCs w:val="24"/>
          <w:bdr w:val="none" w:color="auto" w:sz="0" w:space="0"/>
        </w:rPr>
        <w:t>Compliance</w:t>
      </w:r>
      <w:r>
        <w:rPr>
          <w:rFonts w:hint="default" w:ascii="Times New Roman Regular" w:hAnsi="Times New Roman Regular" w:cs="Times New Roman Regular"/>
          <w:color w:val="000000"/>
          <w:sz w:val="24"/>
          <w:szCs w:val="24"/>
          <w:bdr w:val="none" w:color="auto" w:sz="0" w:space="0"/>
        </w:rPr>
        <w:t>: violation of Data Security Law and Personal Information Protection Law, penalties.</w:t>
      </w:r>
    </w:p>
    <w:p w14:paraId="3B4800C5">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Regular" w:hAnsi="Times New Roman Regular" w:cs="Times New Roman Regular"/>
          <w:color w:val="000000"/>
          <w:sz w:val="24"/>
          <w:szCs w:val="24"/>
        </w:rPr>
      </w:pPr>
      <w:r>
        <w:rPr>
          <w:rStyle w:val="9"/>
          <w:rFonts w:hint="default" w:ascii="Times New Roman Regular" w:hAnsi="Times New Roman Regular" w:cs="Times New Roman Regular"/>
          <w:b/>
          <w:bCs/>
          <w:color w:val="000000"/>
          <w:sz w:val="24"/>
          <w:szCs w:val="24"/>
          <w:bdr w:val="none" w:color="auto" w:sz="0" w:space="0"/>
        </w:rPr>
        <w:t>Technical security</w:t>
      </w:r>
      <w:r>
        <w:rPr>
          <w:rFonts w:hint="default" w:ascii="Times New Roman Regular" w:hAnsi="Times New Roman Regular" w:cs="Times New Roman Regular"/>
          <w:color w:val="000000"/>
          <w:sz w:val="24"/>
          <w:szCs w:val="24"/>
          <w:bdr w:val="none" w:color="auto" w:sz="0" w:space="0"/>
        </w:rPr>
        <w:t>: terminal takeover, data breach, potential lateral movement.</w:t>
      </w:r>
    </w:p>
    <w:p w14:paraId="361513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6. Security Control Measures</w:t>
      </w:r>
    </w:p>
    <w:p w14:paraId="0F6E6C7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6.1 Critical Risk (P0) Control Measures</w:t>
      </w:r>
    </w:p>
    <w:p w14:paraId="631E2C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表格</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432"/>
        <w:gridCol w:w="2303"/>
        <w:gridCol w:w="1328"/>
        <w:gridCol w:w="1701"/>
        <w:gridCol w:w="1602"/>
      </w:tblGrid>
      <w:tr w14:paraId="08E95804">
        <w:trPr>
          <w:tblHeader/>
          <w:tblCellSpacing w:w="15" w:type="dxa"/>
        </w:trPr>
        <w:tc>
          <w:tcPr>
            <w:tcW w:w="0" w:type="auto"/>
            <w:shd w:val="clear"/>
            <w:vAlign w:val="center"/>
          </w:tcPr>
          <w:p w14:paraId="5EB8D95F">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Threat ID</w:t>
            </w:r>
          </w:p>
        </w:tc>
        <w:tc>
          <w:tcPr>
            <w:tcW w:w="0" w:type="auto"/>
            <w:shd w:val="clear"/>
            <w:vAlign w:val="center"/>
          </w:tcPr>
          <w:p w14:paraId="05D8D580">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Control Measures</w:t>
            </w:r>
          </w:p>
        </w:tc>
        <w:tc>
          <w:tcPr>
            <w:tcW w:w="0" w:type="auto"/>
            <w:shd w:val="clear"/>
            <w:vAlign w:val="center"/>
          </w:tcPr>
          <w:p w14:paraId="50B03405">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Responsible Department</w:t>
            </w:r>
          </w:p>
        </w:tc>
        <w:tc>
          <w:tcPr>
            <w:tcW w:w="0" w:type="auto"/>
            <w:shd w:val="clear"/>
            <w:vAlign w:val="center"/>
          </w:tcPr>
          <w:p w14:paraId="4DA434CF">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Implementation Period</w:t>
            </w:r>
          </w:p>
        </w:tc>
        <w:tc>
          <w:tcPr>
            <w:tcW w:w="0" w:type="auto"/>
            <w:shd w:val="clear"/>
            <w:vAlign w:val="center"/>
          </w:tcPr>
          <w:p w14:paraId="7B9D14F8">
            <w:pPr>
              <w:keepNext w:val="0"/>
              <w:keepLines w:val="0"/>
              <w:widowControl/>
              <w:suppressLineNumbers w:val="0"/>
              <w:spacing w:before="0" w:beforeAutospacing="0" w:after="0" w:afterAutospacing="0" w:line="480" w:lineRule="atLeast"/>
              <w:ind w:left="0" w:right="0"/>
              <w:jc w:val="center"/>
              <w:rPr>
                <w:rFonts w:hint="default" w:ascii="Times New Roman Regular" w:hAnsi="Times New Roman Regular" w:cs="Times New Roman Regular"/>
                <w:b/>
                <w:bCs/>
                <w:color w:val="000000"/>
                <w:sz w:val="24"/>
                <w:szCs w:val="24"/>
              </w:rPr>
            </w:pPr>
            <w:r>
              <w:rPr>
                <w:rFonts w:hint="default" w:ascii="Times New Roman Regular" w:hAnsi="Times New Roman Regular" w:eastAsia="宋体" w:cs="Times New Roman Regular"/>
                <w:b/>
                <w:bCs/>
                <w:color w:val="000000"/>
                <w:kern w:val="0"/>
                <w:sz w:val="24"/>
                <w:szCs w:val="24"/>
                <w:bdr w:val="none" w:color="auto" w:sz="0" w:space="0"/>
                <w:lang w:val="en-US" w:eastAsia="zh-CN" w:bidi="ar"/>
              </w:rPr>
              <w:t>Verification Method</w:t>
            </w:r>
          </w:p>
        </w:tc>
      </w:tr>
      <w:tr w14:paraId="0EAEE85D">
        <w:trPr>
          <w:tblCellSpacing w:w="15" w:type="dxa"/>
        </w:trPr>
        <w:tc>
          <w:tcPr>
            <w:tcW w:w="0" w:type="auto"/>
            <w:shd w:val="clear"/>
            <w:vAlign w:val="center"/>
          </w:tcPr>
          <w:p w14:paraId="41EEBA90">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THREAT-001</w:t>
            </w:r>
          </w:p>
        </w:tc>
        <w:tc>
          <w:tcPr>
            <w:tcW w:w="0" w:type="auto"/>
            <w:shd w:val="clear"/>
            <w:vAlign w:val="center"/>
          </w:tcPr>
          <w:p w14:paraId="7D50C656">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1. Enable USB access control with whitelist.2. Disable USB storage, retain only debugging with authentication.3. Enable USB access audit.4. Add physical protection for USB ports.</w:t>
            </w:r>
          </w:p>
        </w:tc>
        <w:tc>
          <w:tcPr>
            <w:tcW w:w="0" w:type="auto"/>
            <w:shd w:val="clear"/>
            <w:vAlign w:val="center"/>
          </w:tcPr>
          <w:p w14:paraId="7E1CC8B1">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R&amp;D Dept., O&amp;M Dept.</w:t>
            </w:r>
          </w:p>
        </w:tc>
        <w:tc>
          <w:tcPr>
            <w:tcW w:w="0" w:type="auto"/>
            <w:shd w:val="clear"/>
            <w:vAlign w:val="center"/>
          </w:tcPr>
          <w:p w14:paraId="400C588C">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Within 1 month</w:t>
            </w:r>
          </w:p>
        </w:tc>
        <w:tc>
          <w:tcPr>
            <w:tcW w:w="0" w:type="auto"/>
            <w:shd w:val="clear"/>
            <w:vAlign w:val="center"/>
          </w:tcPr>
          <w:p w14:paraId="0C54117A">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Test unauthorized access rejection; check audit logs; verify physical protection.</w:t>
            </w:r>
          </w:p>
        </w:tc>
      </w:tr>
      <w:tr w14:paraId="47AD049D">
        <w:trPr>
          <w:tblCellSpacing w:w="15" w:type="dxa"/>
        </w:trPr>
        <w:tc>
          <w:tcPr>
            <w:tcW w:w="0" w:type="auto"/>
            <w:shd w:val="clear"/>
            <w:vAlign w:val="center"/>
          </w:tcPr>
          <w:p w14:paraId="4B6477BE">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THREAT-003</w:t>
            </w:r>
          </w:p>
        </w:tc>
        <w:tc>
          <w:tcPr>
            <w:tcW w:w="0" w:type="auto"/>
            <w:shd w:val="clear"/>
            <w:vAlign w:val="center"/>
          </w:tcPr>
          <w:p w14:paraId="6C8CB323">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1. Encrypt all non-runtime data with AES-256.2. Establish key management system.3. Use encrypted channels for non-runtime data.4. Regularly check encryption status.</w:t>
            </w:r>
          </w:p>
        </w:tc>
        <w:tc>
          <w:tcPr>
            <w:tcW w:w="0" w:type="auto"/>
            <w:shd w:val="clear"/>
            <w:vAlign w:val="center"/>
          </w:tcPr>
          <w:p w14:paraId="738056F7">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R&amp;D Dept., Security Dept.</w:t>
            </w:r>
          </w:p>
        </w:tc>
        <w:tc>
          <w:tcPr>
            <w:tcW w:w="0" w:type="auto"/>
            <w:shd w:val="clear"/>
            <w:vAlign w:val="center"/>
          </w:tcPr>
          <w:p w14:paraId="10A5D32B">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Within 1.5 months</w:t>
            </w:r>
          </w:p>
        </w:tc>
        <w:tc>
          <w:tcPr>
            <w:tcW w:w="0" w:type="auto"/>
            <w:shd w:val="clear"/>
            <w:vAlign w:val="center"/>
          </w:tcPr>
          <w:p w14:paraId="7B2F2620">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Packet capture verification; check storage encryption; review key management.</w:t>
            </w:r>
          </w:p>
        </w:tc>
      </w:tr>
      <w:tr w14:paraId="39918A15">
        <w:trPr>
          <w:tblCellSpacing w:w="15" w:type="dxa"/>
        </w:trPr>
        <w:tc>
          <w:tcPr>
            <w:tcW w:w="0" w:type="auto"/>
            <w:shd w:val="clear"/>
            <w:vAlign w:val="center"/>
          </w:tcPr>
          <w:p w14:paraId="7D9BE3DF">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THREAT-004</w:t>
            </w:r>
          </w:p>
        </w:tc>
        <w:tc>
          <w:tcPr>
            <w:tcW w:w="0" w:type="auto"/>
            <w:shd w:val="clear"/>
            <w:vAlign w:val="center"/>
          </w:tcPr>
          <w:p w14:paraId="1A288A85">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1. Add SHA-256 integrity check and digital signature.2. Encrypt and sign configuration frames.3. Verify data before processing.4. Establish anomaly detection and alarm.</w:t>
            </w:r>
          </w:p>
        </w:tc>
        <w:tc>
          <w:tcPr>
            <w:tcW w:w="0" w:type="auto"/>
            <w:shd w:val="clear"/>
            <w:vAlign w:val="center"/>
          </w:tcPr>
          <w:p w14:paraId="183276D1">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R&amp;D Dept., Security Dept.</w:t>
            </w:r>
          </w:p>
        </w:tc>
        <w:tc>
          <w:tcPr>
            <w:tcW w:w="0" w:type="auto"/>
            <w:shd w:val="clear"/>
            <w:vAlign w:val="center"/>
          </w:tcPr>
          <w:p w14:paraId="017DF1D7">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Within 1.5 months</w:t>
            </w:r>
          </w:p>
        </w:tc>
        <w:tc>
          <w:tcPr>
            <w:tcW w:w="0" w:type="auto"/>
            <w:shd w:val="clear"/>
            <w:vAlign w:val="center"/>
          </w:tcPr>
          <w:p w14:paraId="7892C74D">
            <w:pPr>
              <w:keepNext w:val="0"/>
              <w:keepLines w:val="0"/>
              <w:widowControl/>
              <w:suppressLineNumbers w:val="0"/>
              <w:spacing w:before="0" w:beforeAutospacing="0" w:after="0" w:afterAutospacing="0" w:line="480" w:lineRule="atLeast"/>
              <w:ind w:left="0" w:right="0"/>
              <w:jc w:val="left"/>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Test tampering resistance; verify encryption &amp; signature; check alarm function.</w:t>
            </w:r>
          </w:p>
        </w:tc>
      </w:tr>
    </w:tbl>
    <w:p w14:paraId="23A784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6.2 High Risk (P1) Control Measures</w:t>
      </w:r>
    </w:p>
    <w:p w14:paraId="3A39560C">
      <w:pPr>
        <w:rPr>
          <w:rFonts w:hint="default" w:ascii="Times New Roman Regular" w:hAnsi="Times New Roman Regular" w:cs="Times New Roman Regula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Lantinghei SC Extralight">
    <w:panose1 w:val="02000000000000000000"/>
    <w:charset w:val="86"/>
    <w:family w:val="auto"/>
    <w:pitch w:val="default"/>
    <w:sig w:usb0="00000001" w:usb1="08000000" w:usb2="00000000" w:usb3="00000000" w:csb0="00040000" w:csb1="00000000"/>
  </w:font>
  <w:font w:name="华文宋体">
    <w:panose1 w:val="02010600040101010101"/>
    <w:charset w:val="86"/>
    <w:family w:val="auto"/>
    <w:pitch w:val="default"/>
    <w:sig w:usb0="80000287" w:usb1="280F3C52" w:usb2="00000016" w:usb3="00000000" w:csb0="0004001F" w:csb1="00000000"/>
  </w:font>
  <w:font w:name="PingFang SC Regular">
    <w:panose1 w:val="020B0400000000000000"/>
    <w:charset w:val="86"/>
    <w:family w:val="auto"/>
    <w:pitch w:val="default"/>
    <w:sig w:usb0="A00002FF" w:usb1="7ACFFDFB" w:usb2="00000017" w:usb3="00000000" w:csb0="00040001" w:csb1="00000000"/>
  </w:font>
  <w:font w:name="汉仪粗仿宋简">
    <w:panose1 w:val="02010600000101010101"/>
    <w:charset w:val="86"/>
    <w:family w:val="auto"/>
    <w:pitch w:val="default"/>
    <w:sig w:usb0="00000001" w:usb1="080E0800" w:usb2="00000002" w:usb3="00000000" w:csb0="00040000" w:csb1="00000000"/>
  </w:font>
  <w:font w:name="华文楷体">
    <w:panose1 w:val="02010600040101010101"/>
    <w:charset w:val="86"/>
    <w:family w:val="auto"/>
    <w:pitch w:val="default"/>
    <w:sig w:usb0="80000287" w:usb1="280F3C52" w:usb2="00000016" w:usb3="00000000" w:csb0="0004001F" w:csb1="00000000"/>
  </w:font>
  <w:font w:name="PingFang HK Regular">
    <w:panose1 w:val="020B0400000000000000"/>
    <w:charset w:val="88"/>
    <w:family w:val="auto"/>
    <w:pitch w:val="default"/>
    <w:sig w:usb0="A00002FF" w:usb1="7ACFFDFB" w:usb2="00000017" w:usb3="00000000" w:csb0="00100001" w:csb1="00000000"/>
  </w:font>
  <w:font w:name="宋体-简">
    <w:panose1 w:val="02010800040101010101"/>
    <w:charset w:val="86"/>
    <w:family w:val="auto"/>
    <w:pitch w:val="default"/>
    <w:sig w:usb0="00000001" w:usb1="080F0000" w:usb2="00000000" w:usb3="00000000" w:csb0="00040000" w:csb1="00000000"/>
  </w:font>
  <w:font w:name="AkayaTelivigala">
    <w:panose1 w:val="00000500000000000000"/>
    <w:charset w:val="00"/>
    <w:family w:val="auto"/>
    <w:pitch w:val="default"/>
    <w:sig w:usb0="00200007" w:usb1="00000000" w:usb2="00000000" w:usb3="00000000" w:csb0="20000093" w:csb1="00000000"/>
  </w:font>
  <w:font w:name="Baloo Tammudu 2 Regular">
    <w:panose1 w:val="03080502040302020200"/>
    <w:charset w:val="00"/>
    <w:family w:val="auto"/>
    <w:pitch w:val="default"/>
    <w:sig w:usb0="A020007F" w:usb1="4000207B" w:usb2="00000000" w:usb3="00000000" w:csb0="20000193" w:csb1="00000000"/>
  </w:font>
  <w:font w:name="Copperplate Regular">
    <w:panose1 w:val="02000504000000020004"/>
    <w:charset w:val="00"/>
    <w:family w:val="auto"/>
    <w:pitch w:val="default"/>
    <w:sig w:usb0="80000067" w:usb1="00000000" w:usb2="00000000" w:usb3="00000000" w:csb0="20000111" w:csb1="40000000"/>
  </w:font>
  <w:font w:name="Gotu">
    <w:panose1 w:val="00000000000000000000"/>
    <w:charset w:val="00"/>
    <w:family w:val="auto"/>
    <w:pitch w:val="default"/>
    <w:sig w:usb0="A000807F" w:usb1="0000207B" w:usb2="00000000" w:usb3="00000000" w:csb0="20000193" w:csb1="00000000"/>
  </w:font>
  <w:font w:name="ITF Devanagari Marathi Book">
    <w:panose1 w:val="02000000000000000000"/>
    <w:charset w:val="00"/>
    <w:family w:val="auto"/>
    <w:pitch w:val="default"/>
    <w:sig w:usb0="00008000" w:usb1="00000000" w:usb2="00000000" w:usb3="00000000" w:csb0="00000000" w:csb1="00000000"/>
  </w:font>
  <w:font w:name="Malayalam MN Regular">
    <w:panose1 w:val="00000500000000000000"/>
    <w:charset w:val="00"/>
    <w:family w:val="auto"/>
    <w:pitch w:val="default"/>
    <w:sig w:usb0="00800001" w:usb1="00000000" w:usb2="00000000" w:usb3="00000000" w:csb0="00000001" w:csb1="00000000"/>
  </w:font>
  <w:font w:name="Niramit Regular">
    <w:panose1 w:val="00000500000000000000"/>
    <w:charset w:val="00"/>
    <w:family w:val="auto"/>
    <w:pitch w:val="default"/>
    <w:sig w:usb0="21000007" w:usb1="00000001" w:usb2="00000000" w:usb3="00000000" w:csb0="20010193" w:csb1="00000000"/>
  </w:font>
  <w:font w:name="Noto Sans Kannada Regular">
    <w:panose1 w:val="020B0202040504020204"/>
    <w:charset w:val="00"/>
    <w:family w:val="auto"/>
    <w:pitch w:val="default"/>
    <w:sig w:usb0="80408003" w:usb1="00002042" w:usb2="00000000" w:usb3="00000000" w:csb0="00000001" w:csb1="00000000"/>
  </w:font>
  <w:font w:name="Thonburi Regular">
    <w:panose1 w:val="00000400000000000000"/>
    <w:charset w:val="00"/>
    <w:family w:val="auto"/>
    <w:pitch w:val="default"/>
    <w:sig w:usb0="01000000" w:usb1="00000000" w:usb2="00000000" w:usb3="00000000" w:csb0="20000193" w:csb1="4D000000"/>
  </w:font>
  <w:font w:name="Times New Roman Regular">
    <w:panose1 w:val="02020503050405090304"/>
    <w:charset w:val="00"/>
    <w:family w:val="auto"/>
    <w:pitch w:val="default"/>
    <w:sig w:usb0="E0000AFF" w:usb1="00007843" w:usb2="00000001" w:usb3="00000000" w:csb0="400001BF" w:csb1="DFF70000"/>
  </w:font>
  <w:font w:name="Apple Color Emoji">
    <w:panose1 w:val="00000000000000000000"/>
    <w:charset w:val="00"/>
    <w:family w:val="auto"/>
    <w:pitch w:val="default"/>
    <w:sig w:usb0="00000003" w:usb1="18000000" w:usb2="14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7F10CA"/>
    <w:multiLevelType w:val="multilevel"/>
    <w:tmpl w:val="887F10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EE8B8A2"/>
    <w:multiLevelType w:val="multilevel"/>
    <w:tmpl w:val="9EE8B8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EFB9A99"/>
    <w:multiLevelType w:val="multilevel"/>
    <w:tmpl w:val="AEFB9A99"/>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o"/>
      <w:lvlJc w:val="left"/>
      <w:pPr>
        <w:tabs>
          <w:tab w:val="left" w:pos="1860"/>
        </w:tabs>
        <w:ind w:left="1860" w:hanging="360"/>
      </w:pPr>
      <w:rPr>
        <w:rFonts w:ascii="Courier New" w:hAnsi="Courier New" w:cs="Courier New"/>
        <w:sz w:val="20"/>
      </w:rPr>
    </w:lvl>
    <w:lvl w:ilvl="2" w:tentative="0">
      <w:start w:val="1"/>
      <w:numFmt w:val="bullet"/>
      <w:lvlText w:val=""/>
      <w:lvlJc w:val="left"/>
      <w:pPr>
        <w:tabs>
          <w:tab w:val="left" w:pos="2580"/>
        </w:tabs>
        <w:ind w:left="2580" w:hanging="360"/>
      </w:pPr>
      <w:rPr>
        <w:rFonts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3">
    <w:nsid w:val="AFFF4AB8"/>
    <w:multiLevelType w:val="multilevel"/>
    <w:tmpl w:val="AFFF4A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FF6BDB1"/>
    <w:multiLevelType w:val="multilevel"/>
    <w:tmpl w:val="BFF6BD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93DE9B9"/>
    <w:multiLevelType w:val="multilevel"/>
    <w:tmpl w:val="E93DE9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F66FB9A9"/>
    <w:multiLevelType w:val="multilevel"/>
    <w:tmpl w:val="F66FB9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7FDF32A"/>
    <w:multiLevelType w:val="multilevel"/>
    <w:tmpl w:val="F7FDF3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FEA5906"/>
    <w:multiLevelType w:val="multilevel"/>
    <w:tmpl w:val="0FEA5906"/>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o"/>
      <w:lvlJc w:val="left"/>
      <w:pPr>
        <w:tabs>
          <w:tab w:val="left" w:pos="1860"/>
        </w:tabs>
        <w:ind w:left="1860" w:hanging="360"/>
      </w:pPr>
      <w:rPr>
        <w:rFonts w:hint="default" w:ascii="Courier New" w:hAnsi="Courier New" w:cs="Courier New"/>
        <w:sz w:val="20"/>
      </w:rPr>
    </w:lvl>
    <w:lvl w:ilvl="2" w:tentative="0">
      <w:start w:val="1"/>
      <w:numFmt w:val="bullet"/>
      <w:lvlText w:val=""/>
      <w:lvlJc w:val="left"/>
      <w:pPr>
        <w:tabs>
          <w:tab w:val="left" w:pos="2580"/>
        </w:tabs>
        <w:ind w:left="2580" w:hanging="360"/>
      </w:pPr>
      <w:rPr>
        <w:rFonts w:hint="default"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9">
    <w:nsid w:val="5DFB600C"/>
    <w:multiLevelType w:val="multilevel"/>
    <w:tmpl w:val="5DFB60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FFCC6C1"/>
    <w:multiLevelType w:val="multilevel"/>
    <w:tmpl w:val="6FFCC6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7DFFC599"/>
    <w:multiLevelType w:val="multilevel"/>
    <w:tmpl w:val="7DFFC599"/>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o"/>
      <w:lvlJc w:val="left"/>
      <w:pPr>
        <w:tabs>
          <w:tab w:val="left" w:pos="1860"/>
        </w:tabs>
        <w:ind w:left="1860" w:hanging="360"/>
      </w:pPr>
      <w:rPr>
        <w:rFonts w:hint="default" w:ascii="Courier New" w:hAnsi="Courier New" w:cs="Courier New"/>
        <w:sz w:val="20"/>
      </w:rPr>
    </w:lvl>
    <w:lvl w:ilvl="2" w:tentative="0">
      <w:start w:val="1"/>
      <w:numFmt w:val="bullet"/>
      <w:lvlText w:val=""/>
      <w:lvlJc w:val="left"/>
      <w:pPr>
        <w:tabs>
          <w:tab w:val="left" w:pos="2580"/>
        </w:tabs>
        <w:ind w:left="2580" w:hanging="360"/>
      </w:pPr>
      <w:rPr>
        <w:rFonts w:hint="default"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num w:numId="1">
    <w:abstractNumId w:val="2"/>
  </w:num>
  <w:num w:numId="2">
    <w:abstractNumId w:val="11"/>
  </w:num>
  <w:num w:numId="3">
    <w:abstractNumId w:val="8"/>
  </w:num>
  <w:num w:numId="4">
    <w:abstractNumId w:val="4"/>
  </w:num>
  <w:num w:numId="5">
    <w:abstractNumId w:val="0"/>
  </w:num>
  <w:num w:numId="6">
    <w:abstractNumId w:val="1"/>
  </w:num>
  <w:num w:numId="7">
    <w:abstractNumId w:val="10"/>
  </w:num>
  <w:num w:numId="8">
    <w:abstractNumId w:val="9"/>
  </w:num>
  <w:num w:numId="9">
    <w:abstractNumId w:val="3"/>
  </w:num>
  <w:num w:numId="10">
    <w:abstractNumId w:val="7"/>
  </w:num>
  <w:num w:numId="11">
    <w:abstractNumId w:val="5"/>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5C71D8"/>
    <w:rsid w:val="2FCB5D09"/>
    <w:rsid w:val="361D6299"/>
    <w:rsid w:val="3AF3C9A7"/>
    <w:rsid w:val="3BBBCDBC"/>
    <w:rsid w:val="3D7CB770"/>
    <w:rsid w:val="3EFF5956"/>
    <w:rsid w:val="3FCF5C5E"/>
    <w:rsid w:val="3FDDAF6D"/>
    <w:rsid w:val="3FDFE99C"/>
    <w:rsid w:val="3FF29242"/>
    <w:rsid w:val="457E2E24"/>
    <w:rsid w:val="474F3617"/>
    <w:rsid w:val="55EFC96E"/>
    <w:rsid w:val="5BFAA933"/>
    <w:rsid w:val="5BFF70A3"/>
    <w:rsid w:val="5CBFFC0B"/>
    <w:rsid w:val="5E304CB2"/>
    <w:rsid w:val="5EFFA4AB"/>
    <w:rsid w:val="5EFFB2BE"/>
    <w:rsid w:val="62E78E26"/>
    <w:rsid w:val="637A2465"/>
    <w:rsid w:val="6CE7600A"/>
    <w:rsid w:val="6E6F041A"/>
    <w:rsid w:val="6F7ED15A"/>
    <w:rsid w:val="6FA77E8C"/>
    <w:rsid w:val="6FDFF2A9"/>
    <w:rsid w:val="72FDBF64"/>
    <w:rsid w:val="77FF782E"/>
    <w:rsid w:val="79E550FA"/>
    <w:rsid w:val="7B3CDC5D"/>
    <w:rsid w:val="7CBF107C"/>
    <w:rsid w:val="7CBFC366"/>
    <w:rsid w:val="7DE779B0"/>
    <w:rsid w:val="7E7F5C18"/>
    <w:rsid w:val="7EF5B2F3"/>
    <w:rsid w:val="7EFFC2C0"/>
    <w:rsid w:val="7F3FAE64"/>
    <w:rsid w:val="7F7E87EF"/>
    <w:rsid w:val="7FAF84E2"/>
    <w:rsid w:val="7FF55CD3"/>
    <w:rsid w:val="7FFB694C"/>
    <w:rsid w:val="7FFB8CE2"/>
    <w:rsid w:val="7FFE5EE5"/>
    <w:rsid w:val="845CBB9E"/>
    <w:rsid w:val="87875810"/>
    <w:rsid w:val="8FDF3ECF"/>
    <w:rsid w:val="9643AD22"/>
    <w:rsid w:val="97FFA5F5"/>
    <w:rsid w:val="9BFF0553"/>
    <w:rsid w:val="9DF4DE49"/>
    <w:rsid w:val="AEAB48B6"/>
    <w:rsid w:val="B7BF1584"/>
    <w:rsid w:val="CCF7573A"/>
    <w:rsid w:val="D3FF640E"/>
    <w:rsid w:val="D5FF09CD"/>
    <w:rsid w:val="D7FE8584"/>
    <w:rsid w:val="D96799AE"/>
    <w:rsid w:val="DB3FAD96"/>
    <w:rsid w:val="DBBE4867"/>
    <w:rsid w:val="DBBF1AA3"/>
    <w:rsid w:val="DDB7E8D3"/>
    <w:rsid w:val="DEBAC3DF"/>
    <w:rsid w:val="DF89617F"/>
    <w:rsid w:val="DF9D810D"/>
    <w:rsid w:val="DFBEB838"/>
    <w:rsid w:val="DFFB2BF7"/>
    <w:rsid w:val="EEF3297B"/>
    <w:rsid w:val="EEFD1208"/>
    <w:rsid w:val="EFFBF17E"/>
    <w:rsid w:val="F5CF6D09"/>
    <w:rsid w:val="F5FFBDB9"/>
    <w:rsid w:val="FAFFC98B"/>
    <w:rsid w:val="FB2BC26D"/>
    <w:rsid w:val="FBEFF4B5"/>
    <w:rsid w:val="FCF68E37"/>
    <w:rsid w:val="FCFFF9D8"/>
    <w:rsid w:val="FDE64E0B"/>
    <w:rsid w:val="FDF5FFFF"/>
    <w:rsid w:val="FE7EC8EF"/>
    <w:rsid w:val="FE9BD043"/>
    <w:rsid w:val="FE9EB550"/>
    <w:rsid w:val="FEF7C0CC"/>
    <w:rsid w:val="FEFFEC1A"/>
    <w:rsid w:val="FF48891F"/>
    <w:rsid w:val="FFCB4AB4"/>
    <w:rsid w:val="FFD8FC77"/>
    <w:rsid w:val="FFDE2B6F"/>
    <w:rsid w:val="FFFF74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76</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2026-03-11T14:51:15Z</dcterms:created>
  <dc:creator>Data</dc:creator>
  <cp:lastModifiedBy>hebaojing</cp:lastModifiedBy>
  <dcterms:modified xsi:type="dcterms:W3CDTF">2026-03-11T16:47:46Z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A0E5744028F1B524EE10B169BCD57F95_42</vt:lpwstr>
  </property>
</Properties>
</file>