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B1" w:rsidRPr="007402B1" w:rsidRDefault="007402B1" w:rsidP="007402B1">
      <w:pPr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</w:pPr>
      <w:bookmarkStart w:id="0" w:name="_GoBack"/>
      <w:proofErr w:type="spellStart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>Tìm</w:t>
      </w:r>
      <w:proofErr w:type="spellEnd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>kiếm</w:t>
      </w:r>
      <w:proofErr w:type="spellEnd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>tuyến</w:t>
      </w:r>
      <w:proofErr w:type="spellEnd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Style w:val="Strong"/>
          <w:rFonts w:ascii="Arial" w:hAnsi="Arial" w:cs="Arial"/>
          <w:color w:val="FF0000"/>
          <w:sz w:val="23"/>
          <w:szCs w:val="23"/>
          <w:shd w:val="clear" w:color="auto" w:fill="FFFFFF"/>
        </w:rPr>
        <w:t>tính</w:t>
      </w:r>
      <w:proofErr w:type="spellEnd"/>
    </w:p>
    <w:bookmarkEnd w:id="0"/>
    <w:p w:rsidR="00CD7512" w:rsidRDefault="007402B1" w:rsidP="007402B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Linear Search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7402B1" w:rsidRPr="007402B1" w:rsidRDefault="007402B1" w:rsidP="007402B1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7402B1" w:rsidRPr="007402B1" w:rsidRDefault="007402B1" w:rsidP="007402B1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proofErr w:type="spellStart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>Tìm</w:t>
      </w:r>
      <w:proofErr w:type="spellEnd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>kiếm</w:t>
      </w:r>
      <w:proofErr w:type="spellEnd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>nhị</w:t>
      </w:r>
      <w:proofErr w:type="spellEnd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>phân</w:t>
      </w:r>
      <w:proofErr w:type="spellEnd"/>
      <w:r w:rsidRPr="007402B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:rsid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Binany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Search (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kiếm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nhị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nhanh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phức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thời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chạy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3"/>
          <w:szCs w:val="23"/>
        </w:rPr>
        <w:t>Ο(</w:t>
      </w:r>
      <w:proofErr w:type="gramEnd"/>
      <w:r>
        <w:rPr>
          <w:rStyle w:val="Strong"/>
          <w:rFonts w:ascii="Arial" w:hAnsi="Arial" w:cs="Arial"/>
          <w:color w:val="000000"/>
          <w:sz w:val="23"/>
          <w:szCs w:val="23"/>
        </w:rPr>
        <w:t>log n)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phân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nguyên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Divide and </w:t>
      </w:r>
      <w:proofErr w:type="gramStart"/>
      <w:r>
        <w:rPr>
          <w:rStyle w:val="Strong"/>
          <w:rFonts w:ascii="Arial" w:hAnsi="Arial" w:cs="Arial"/>
          <w:color w:val="000000"/>
          <w:sz w:val="23"/>
          <w:szCs w:val="23"/>
        </w:rPr>
        <w:t>Conquer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dạng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đã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sắp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xếp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Binary Search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kiếm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cụ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sánh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vị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trí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thấy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lớn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hơn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nằm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nếu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nằm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ở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trái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giữa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trình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tiếp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tục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vậy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hết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7402B1" w:rsidRP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3"/>
          <w:szCs w:val="23"/>
        </w:rPr>
      </w:pPr>
    </w:p>
    <w:p w:rsidR="007402B1" w:rsidRP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3"/>
          <w:szCs w:val="23"/>
        </w:rPr>
      </w:pP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Phương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pháp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đổi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chỗ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trực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tiếp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</w:pP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ươ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ng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pháp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đổ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i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ỗ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tr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ự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là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m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ộ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k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ỹ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thu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ậ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gi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ả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i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quy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bài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toán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ắ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x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danh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sách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b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ằ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ng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cách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so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sánh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các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ầ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ử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li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ề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k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ề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và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đổ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i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ỗ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chúng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u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ầ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thi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.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ươ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ng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pháp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này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là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ươ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ng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pháp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ắ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x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đơ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gi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ả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ấ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,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tuy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nhiên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hi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ệ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u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qu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ả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ủ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a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nó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ph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ụ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thu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ộ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vào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cách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ắ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x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ế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p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ban </w:t>
      </w:r>
      <w:proofErr w:type="spellStart"/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đầ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u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c</w:t>
      </w:r>
      <w:r w:rsidRPr="007402B1">
        <w:rPr>
          <w:rFonts w:ascii="Calibri" w:hAnsi="Calibri" w:cs="Calibri"/>
          <w:color w:val="FFFFFF"/>
          <w:sz w:val="23"/>
          <w:szCs w:val="23"/>
          <w:highlight w:val="darkGray"/>
          <w:shd w:val="clear" w:color="auto" w:fill="242526"/>
        </w:rPr>
        <w:t>ủ</w:t>
      </w:r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a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danh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 xml:space="preserve"> </w:t>
      </w:r>
      <w:proofErr w:type="spellStart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sách</w:t>
      </w:r>
      <w:proofErr w:type="spellEnd"/>
      <w:r w:rsidRPr="007402B1">
        <w:rPr>
          <w:rFonts w:ascii="Segoe UI Historic" w:hAnsi="Segoe UI Historic" w:cs="Segoe UI Historic"/>
          <w:color w:val="FFFFFF"/>
          <w:sz w:val="23"/>
          <w:szCs w:val="23"/>
          <w:highlight w:val="darkGray"/>
          <w:shd w:val="clear" w:color="auto" w:fill="242526"/>
        </w:rPr>
        <w:t>.</w:t>
      </w:r>
    </w:p>
    <w:p w:rsidR="007402B1" w:rsidRP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 Historic" w:hAnsi="Segoe UI Historic" w:cs="Segoe UI Historic"/>
          <w:color w:val="FF0000"/>
          <w:sz w:val="23"/>
          <w:szCs w:val="23"/>
          <w:shd w:val="clear" w:color="auto" w:fill="242526"/>
        </w:rPr>
      </w:pPr>
    </w:p>
    <w:p w:rsidR="007402B1" w:rsidRP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FF0000"/>
          <w:shd w:val="clear" w:color="auto" w:fill="444654"/>
        </w:rPr>
      </w:pP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Phương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pháp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chọn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trực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tiếp</w:t>
      </w:r>
      <w:proofErr w:type="spellEnd"/>
    </w:p>
    <w:p w:rsid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Phương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pháp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chọn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trực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(Selection Sort)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giản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bằng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tìm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kiếm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nhỏ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nhất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đầu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tục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tìm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kiếm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nhỏ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nhất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còn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lại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theo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tục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đến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khi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toàn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bộ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7402B1" w:rsidRP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FF0000"/>
          <w:shd w:val="clear" w:color="auto" w:fill="444654"/>
        </w:rPr>
      </w:pPr>
    </w:p>
    <w:p w:rsidR="007402B1" w:rsidRP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FF0000"/>
          <w:shd w:val="clear" w:color="auto" w:fill="444654"/>
        </w:rPr>
      </w:pP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Phương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pháp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chèn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trực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tiếp</w:t>
      </w:r>
      <w:proofErr w:type="spellEnd"/>
    </w:p>
    <w:p w:rsid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chèn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trực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(Insertion Sort)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giản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hiệu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quả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kích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thước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nhỏ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hoặc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đúng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này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hoạt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động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bằng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chèn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từng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đúng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của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gọi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"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chèn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trực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"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bởi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vì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chèn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trực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7402B1" w:rsidRP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FF0000"/>
          <w:shd w:val="clear" w:color="auto" w:fill="444654"/>
        </w:rPr>
      </w:pP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lastRenderedPageBreak/>
        <w:t>Sắp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xếp</w:t>
      </w:r>
      <w:proofErr w:type="spellEnd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 xml:space="preserve"> </w:t>
      </w:r>
      <w:proofErr w:type="spellStart"/>
      <w:r w:rsidRPr="007402B1">
        <w:rPr>
          <w:rFonts w:ascii="Segoe UI" w:hAnsi="Segoe UI" w:cs="Segoe UI"/>
          <w:color w:val="FF0000"/>
          <w:highlight w:val="black"/>
          <w:shd w:val="clear" w:color="auto" w:fill="444654"/>
        </w:rPr>
        <w:t>nhanh</w:t>
      </w:r>
      <w:proofErr w:type="spellEnd"/>
      <w:r w:rsidRPr="007402B1">
        <w:rPr>
          <w:rFonts w:ascii="Segoe UI" w:hAnsi="Segoe UI" w:cs="Segoe UI"/>
          <w:color w:val="FF0000"/>
          <w:shd w:val="clear" w:color="auto" w:fill="444654"/>
        </w:rPr>
        <w:t xml:space="preserve"> </w:t>
      </w:r>
    </w:p>
    <w:p w:rsidR="007402B1" w:rsidRDefault="007402B1" w:rsidP="007402B1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FFFFFF" w:themeColor="background1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(Quick Sort)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giản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hiệu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quả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dựa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trên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phương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pháp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chia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này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hoạt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động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bằng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chọn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gọi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"pivot"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sau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chia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thành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hai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chứa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nhỏ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pivot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chứa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lớn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pivot.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Sau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tục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này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bằng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đệ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quy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đến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khi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toàn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bộ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FFFF" w:themeColor="background1"/>
          <w:sz w:val="23"/>
          <w:szCs w:val="23"/>
        </w:rPr>
      </w:pPr>
    </w:p>
    <w:p w:rsidR="007402B1" w:rsidRP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3"/>
          <w:szCs w:val="23"/>
        </w:rPr>
      </w:pP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Sắp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xếp</w:t>
      </w:r>
      <w:proofErr w:type="spellEnd"/>
      <w:r w:rsidRPr="007402B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7402B1">
        <w:rPr>
          <w:rFonts w:ascii="Arial" w:hAnsi="Arial" w:cs="Arial"/>
          <w:color w:val="FF0000"/>
          <w:sz w:val="23"/>
          <w:szCs w:val="23"/>
        </w:rPr>
        <w:t>cây</w:t>
      </w:r>
      <w:proofErr w:type="spellEnd"/>
    </w:p>
    <w:p w:rsidR="007402B1" w:rsidRPr="007402B1" w:rsidRDefault="007402B1" w:rsidP="007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(Tree Sort)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thuật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dựa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trên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cấu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trúc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dữ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liệu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phân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tìm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kiếm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sắp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xếp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được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chèn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nhị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phân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tìm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kiếm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một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trực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tiếp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sau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duyệt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cây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trả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về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tử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theo</w:t>
      </w:r>
      <w:proofErr w:type="spellEnd"/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thứ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tự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tăng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hoặc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giảm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7402B1" w:rsidRPr="007402B1" w:rsidRDefault="007402B1" w:rsidP="007402B1">
      <w:pPr>
        <w:rPr>
          <w:color w:val="FFFFFF" w:themeColor="background1"/>
        </w:rPr>
      </w:pPr>
    </w:p>
    <w:sectPr w:rsidR="007402B1" w:rsidRPr="0074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B1"/>
    <w:rsid w:val="007402B1"/>
    <w:rsid w:val="00C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002E6A-6349-4D8D-AE54-0ECD9EFA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0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</cp:revision>
  <dcterms:created xsi:type="dcterms:W3CDTF">2023-03-08T13:22:00Z</dcterms:created>
  <dcterms:modified xsi:type="dcterms:W3CDTF">2023-03-08T13:36:00Z</dcterms:modified>
</cp:coreProperties>
</file>