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color w:val="000000"/>
          <w:u w:val="none"/>
        </w:rPr>
        <w:t>EdgeFlow AI Development and Research Plan</w:t>
      </w:r>
    </w:p>
    <w:p>
      <w:pPr>
        <w:widowControl/>
        <w:jc w:val="center"/>
      </w:pPr>
      <w:r>
        <w:rPr>
          <w:color w:val="000000"/>
        </w:rPr>
        <w:t>VEDC 2026 semifinal preparation and final development</w:t>
      </w:r>
    </w:p>
    <w:p>
      <w:pPr>
        <w:widowControl/>
        <w:jc w:val="center"/>
      </w:pPr>
      <w:r>
        <w:rPr>
          <w:color w:val="000000"/>
        </w:rPr>
        <w:t>Team 31µF  |  Revised 22 September 2026  |  Source plan 8 September 2026</w:t>
      </w:r>
    </w:p>
    <w:p>
      <w:pPr>
        <w:pStyle w:val="Heading2"/>
        <w:keepNext/>
        <w:widowControl/>
      </w:pPr>
      <w:r>
        <w:rPr>
          <w:color w:val="000000"/>
        </w:rPr>
        <w:t>Tóm tắt điều chỉnh</w:t>
      </w:r>
    </w:p>
    <w:p>
      <w:pPr>
        <w:widowControl/>
      </w:pPr>
      <w:r>
        <w:rPr>
          <w:color w:val="000000"/>
        </w:rPr>
        <w:t>Dự án đã có khung dịch vụ, hợp đồng dữ liệu, bộ chuyển đổi SUMO và giao diện. Tuy nhiên, mã nguồn trong ZIP chưa chứng minh được hiệu quả điều khiển giao thông hoặc sản phẩm AI nhúng hoàn chỉnh. Ưu tiên hiện tại là sửa đường đo kiểm, hoàn thiện điều khiển có ràng buộc thời gian và đưa mô hình AI lên thiết bị thật.</w:t>
      </w:r>
    </w:p>
    <w:p>
      <w:pPr>
        <w:widowControl/>
      </w:pPr>
      <w:r>
        <w:rPr>
          <w:color w:val="000000"/>
        </w:rPr>
        <w:t>Ba điểm ảnh hưởng trực tiếp đến kết quả nghiên cứu là dữ liệu benchmark dự phòng được tạo theo tên thuật toán, bộ Fixed-Time chuyển mục tiêu theo số lần gọi, và bộ Max-Pressure hiện chỉ cộng hàng đợi đầu vào. Các số giảm thời gian chờ và tăng lưu lượng trong báo cáo hiện có cần được chạy lại từ dữ liệu gốc trước khi đưa vào hồ sơ thi.</w:t>
      </w:r>
    </w:p>
    <w:p>
      <w:pPr>
        <w:widowControl/>
      </w:pPr>
      <w:r>
        <w:rPr>
          <w:color w:val="000000"/>
        </w:rPr>
        <w:t>Phạm vi đề xuất cho bán kết gồm mạng SUMO bốn nút giao đã kiểm tra, AI thị giác chạy trên Raspberry Pi và mô hình hai nút đèn có bộ điều khiển cục bộ. Điểm nghiên cứu tập trung vào ảnh hưởng của ùn tắc phía hạ lưu và chất lượng dữ liệu camera. RL tiếp tục là phần mở rộng sau khi các phép đo nền tảng đạt yêu cầu.</w:t>
      </w:r>
    </w:p>
    <w:p>
      <w:pPr>
        <w:widowControl/>
      </w:pPr>
      <w:r>
        <w:rPr>
          <w:color w:val="000000"/>
        </w:rPr>
        <w:t>Kế hoạch bên dưới giữ sáu phần và ngôn ngữ kỹ thuật của bản gốc, bổ sung các điều kiện nghiệm thu, mốc lịch cụ thể, thiết kế thí nghiệm và dẫn chứng mã nguồn. Các ngưỡng hiệu quả và hiệu năng đều là mục tiêu đề xuất, chưa phải kết quả đạt được.</w:t>
      </w:r>
    </w:p>
    <w:p>
      <w:pPr>
        <w:widowControl/>
      </w:pPr>
      <w:r>
        <w:rPr>
          <w:color w:val="000000"/>
        </w:rPr>
        <w:t>Mốc nội bộ: chốt số liệu ngày 9 tháng 10 và hoàn tất báo cáo ngày 11 tháng 10. Theo thể lệ đã gửi, bán kết diễn ra từ 19 đến 24 tháng 10; báo cáo nộp trước ngày thi một tuần. Ngày thi riêng của đội và mẫu báo cáo phải theo thông báo mới nhất của Ban tổ chức. Chung kết dự kiến ngày 25 tháng 11. [F4, R1]</w:t>
      </w:r>
    </w:p>
    <w:p>
      <w:pPr>
        <w:pStyle w:val="Heading1"/>
        <w:keepNext/>
        <w:pageBreakBefore/>
        <w:widowControl/>
      </w:pPr>
      <w:r>
        <w:rPr>
          <w:color w:val="000000"/>
        </w:rPr>
        <w:t>1 Project Direction and Architecture</w:t>
      </w:r>
    </w:p>
    <w:p>
      <w:pPr>
        <w:pStyle w:val="Heading2"/>
        <w:keepNext/>
        <w:widowControl/>
      </w:pPr>
      <w:r>
        <w:rPr>
          <w:color w:val="000000"/>
        </w:rPr>
        <w:t>1 1 Objective</w:t>
      </w:r>
    </w:p>
    <w:p>
      <w:pPr>
        <w:widowControl/>
      </w:pPr>
      <w:r>
        <w:rPr>
          <w:color w:val="000000"/>
        </w:rPr>
        <w:t>EdgeFlow AI will test whether adaptive signal timing reduces vehicle delay and prevents queue spillback in a small connected road network. The system represents roads and movements in a directed graph, obtains traffic observations from SUMO or cameras, and executes decisions through a timed actuator. A successful demonstration requires measured traffic outcomes, learned perception running on embedded hardware, and a physical signal prototype. Red signals remain necessary; the objective is to allocate green time more effectively under explicit constraints.</w:t>
      </w:r>
    </w:p>
    <w:p>
      <w:pPr>
        <w:pStyle w:val="ListBullet"/>
        <w:widowControl/>
        <w:spacing w:after="40"/>
      </w:pPr>
      <w:r>
        <w:rPr>
          <w:rFonts w:ascii="Liberation Sans" w:hAnsi="Liberation Sans"/>
          <w:color w:val="000000"/>
          <w:sz w:val="21"/>
        </w:rPr>
        <w:t>Represent intersections, approaches and road segments using a canonical directed topology.</w:t>
      </w:r>
    </w:p>
    <w:p>
      <w:pPr>
        <w:pStyle w:val="ListBullet"/>
        <w:widowControl/>
        <w:spacing w:after="40"/>
      </w:pPr>
      <w:r>
        <w:rPr>
          <w:color w:val="000000"/>
        </w:rPr>
        <w:t>Use measured queue, flow, speed and occupancy with documented units, observation windows and uncertainty. Missing measurements must remain missing; they must not be replaced with plausible traffic values.</w:t>
      </w:r>
    </w:p>
    <w:p>
      <w:pPr>
        <w:pStyle w:val="ListBullet"/>
        <w:widowControl/>
        <w:spacing w:after="40"/>
      </w:pPr>
      <w:r>
        <w:rPr>
          <w:color w:val="000000"/>
        </w:rPr>
        <w:t>Keep the present queue-sum controller as the MaxQueue baseline. Implement a movement-based MaxPressure baseline and an EdgeFlow candidate that considers downstream storage and observation quality. Keep RL, PressLight and MARL as extensions.</w:t>
      </w:r>
    </w:p>
    <w:p>
      <w:pPr>
        <w:pStyle w:val="ListBullet"/>
        <w:widowControl/>
        <w:spacing w:after="40"/>
      </w:pPr>
      <w:r>
        <w:rPr>
          <w:color w:val="000000"/>
        </w:rPr>
        <w:t>Support SUMO and vision observations through common semantics. Select one authoritative source for each node and run; never mix synthetic and measured streams silently.</w:t>
      </w:r>
    </w:p>
    <w:p>
      <w:pPr>
        <w:pStyle w:val="ListBullet"/>
        <w:widowControl/>
        <w:spacing w:after="40"/>
      </w:pPr>
      <w:r>
        <w:rPr>
          <w:color w:val="000000"/>
        </w:rPr>
        <w:t>Use one abstract ControlCommand for simulation and physical actuation. Device configuration owns mandatory safety timing; an optimizer cannot shorten it.</w:t>
      </w:r>
    </w:p>
    <w:p>
      <w:pPr>
        <w:pStyle w:val="ListBullet"/>
        <w:widowControl/>
        <w:spacing w:after="40"/>
      </w:pPr>
      <w:r>
        <w:rPr>
          <w:rFonts w:ascii="Liberation Sans" w:hAnsi="Liberation Sans"/>
          <w:color w:val="000000"/>
          <w:sz w:val="21"/>
        </w:rPr>
        <w:t>Use Docker Compose microservices for the software stack and reproducible integration testing.</w:t>
      </w:r>
    </w:p>
    <w:p>
      <w:pPr>
        <w:widowControl/>
      </w:pPr>
      <w:r>
        <w:rPr>
          <w:color w:val="000000"/>
        </w:rPr>
        <w:t>Architecture invariant: policy code consumes normalized state and does not branch on the sensor or simulator type. Each actuator owns signal sequencing and reports actual execution. Common contracts define identifiers, units and validity.</w:t>
      </w:r>
    </w:p>
    <w:p>
      <w:pPr>
        <w:pStyle w:val="Heading2"/>
        <w:keepNext/>
        <w:widowControl/>
      </w:pPr>
      <w:r>
        <w:rPr>
          <w:color w:val="000000"/>
        </w:rPr>
        <w:t>1 2 Logical architecture and deployment</w:t>
      </w:r>
    </w:p>
    <w:p>
      <w:pPr>
        <w:keepNext/>
        <w:keepLines/>
        <w:widowControl/>
      </w:pPr>
      <w:r>
        <w:rPr>
          <w:color w:val="000000"/>
        </w:rPr>
        <w:t>The research path closes a loop through SUMO, telemetry, control and a SimulationActuator. The physical path closes a loop through a camera, embedded perception, control and local signal nodes. MQTT carries observations, requests and applied states; API and dashboard display those states and experiment results. A recorded road video can validate perception, but changing a signal cannot change the recorded traffic. Label that mode as replay rather than a traffic-control experiment.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320"/>
        <w:gridCol w:w="3960"/>
      </w:tblGrid>
      <w:tr>
        <w:trPr>
          <w:cantSplit/>
          <w:tblHeader/>
        </w:trPr>
        <w:tc>
          <w:tcPr>
            <w:tcW w:type="dxa" w:w="1872"/>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Location</w:t>
            </w:r>
          </w:p>
        </w:tc>
        <w:tc>
          <w:tcPr>
            <w:tcW w:type="dxa" w:w="4320"/>
            <w:vAlign w:val="center"/>
            <w:shd w:fill="DCE6EE"/>
            <w:tcMar>
              <w:top w:w="85" w:type="dxa"/>
              <w:bottom w:w="85" w:type="dxa"/>
              <w:left w:w="100" w:type="dxa"/>
              <w:right w:w="100" w:type="dxa"/>
            </w:tcMar>
          </w:tcPr>
          <w:p>
            <w:pPr>
              <w:keepNext/>
              <w:spacing w:before="0" w:after="40" w:line="250" w:lineRule="auto"/>
              <w:jc w:val="center"/>
            </w:pPr>
            <w:r>
              <w:rPr>
                <w:rFonts w:ascii="Arial" w:hAnsi="Arial"/>
                <w:b/>
                <w:color w:val="000000"/>
                <w:sz w:val="19"/>
              </w:rPr>
              <w:t>Functions</w:t>
            </w:r>
          </w:p>
        </w:tc>
        <w:tc>
          <w:tcPr>
            <w:tcW w:type="dxa" w:w="3960"/>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Evidence to retain</w:t>
            </w:r>
          </w:p>
        </w:tc>
      </w:tr>
      <w:tr>
        <w:trPr>
          <w:cantSplit/>
        </w:trPr>
        <w:tc>
          <w:tcPr>
            <w:tcW w:type="dxa" w:w="187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Development computer</w:t>
            </w:r>
          </w:p>
        </w:tc>
        <w:tc>
          <w:tcPr>
            <w:tcW w:type="dxa" w:w="432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SUMO, isolated experiments, training and analysis; browser dashboard</w:t>
            </w:r>
          </w:p>
        </w:tc>
        <w:tc>
          <w:tcPr>
            <w:tcW w:type="dxa" w:w="39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Scenario files, seed, simulator version, raw metrics and run status</w:t>
            </w:r>
          </w:p>
        </w:tc>
      </w:tr>
      <w:tr>
        <w:trPr>
          <w:cantSplit/>
        </w:trPr>
        <w:tc>
          <w:tcPr>
            <w:tcW w:type="dxa" w:w="187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Raspberry Pi from the supplied BOM</w:t>
            </w:r>
          </w:p>
        </w:tc>
        <w:tc>
          <w:tcPr>
            <w:tcW w:type="dxa" w:w="432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Camera ingestion, learned detector and tracking; normalized state; local broker and coordinator if measured resources permit</w:t>
            </w:r>
          </w:p>
        </w:tc>
        <w:tc>
          <w:tcPr>
            <w:tcW w:type="dxa" w:w="39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Model hash, runtime version, capture timestamps, inference latency, temperature and power</w:t>
            </w:r>
          </w:p>
        </w:tc>
      </w:tr>
      <w:tr>
        <w:trPr>
          <w:cantSplit/>
        </w:trPr>
        <w:tc>
          <w:tcPr>
            <w:tcW w:type="dxa" w:w="187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Two local signal nodes</w:t>
            </w:r>
          </w:p>
        </w:tc>
        <w:tc>
          <w:tcPr>
            <w:tcW w:type="dxa" w:w="432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Timed signal execution, watchdog, local fallback schedule and status acknowledgement</w:t>
            </w:r>
          </w:p>
        </w:tc>
        <w:tc>
          <w:tcPr>
            <w:tcW w:type="dxa" w:w="39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Firmware, schematic, pin map and measured output traces</w:t>
            </w:r>
          </w:p>
        </w:tc>
      </w:tr>
    </w:tbl>
    <w:p>
      <w:pPr>
        <w:pStyle w:val="Heading2"/>
        <w:keepNext/>
        <w:keepLines/>
        <w:widowControl/>
      </w:pPr>
      <w:r>
        <w:rPr>
          <w:color w:val="000000"/>
        </w:rPr>
        <w:t>1 3 Scope changes from the previous plan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tblHeader/>
        </w:trPr>
        <w:tc>
          <w:tcPr>
            <w:tcW w:type="dxa" w:w="3888"/>
            <w:tcMar>
              <w:top w:w="70" w:type="dxa"/>
              <w:start w:w="75" w:type="dxa"/>
              <w:bottom w:w="70" w:type="dxa"/>
              <w:end w:w="75" w:type="dxa"/>
              <w:top w:w="85" w:type="dxa"/>
              <w:bottom w:w="85" w:type="dxa"/>
              <w:left w:w="100" w:type="dxa"/>
              <w:right w:w="100" w:type="dxa"/>
            </w:tcMar>
            <w:vAlign w:val="center"/>
            <w:shd w:fill="DCE6EE"/>
          </w:tcPr>
          <w:p>
            <w:pPr>
              <w:keepNext w:val="0"/>
              <w:spacing w:before="0" w:after="40" w:line="250" w:lineRule="auto"/>
            </w:pPr>
            <w:r>
              <w:rPr>
                <w:rFonts w:ascii="Arial" w:hAnsi="Arial"/>
                <w:b/>
                <w:color w:val="000000"/>
                <w:sz w:val="19"/>
              </w:rPr>
              <w:t>Earlier assumption</w:t>
            </w:r>
          </w:p>
        </w:tc>
        <w:tc>
          <w:tcPr>
            <w:tcW w:type="dxa" w:w="5472"/>
            <w:tcMar>
              <w:top w:w="70" w:type="dxa"/>
              <w:start w:w="75" w:type="dxa"/>
              <w:bottom w:w="70" w:type="dxa"/>
              <w:end w:w="75" w:type="dxa"/>
              <w:top w:w="85" w:type="dxa"/>
              <w:bottom w:w="85" w:type="dxa"/>
              <w:left w:w="100" w:type="dxa"/>
              <w:right w:w="100" w:type="dxa"/>
            </w:tcMar>
            <w:vAlign w:val="center"/>
            <w:shd w:fill="DCE6EE"/>
          </w:tcPr>
          <w:p>
            <w:pPr>
              <w:keepNext w:val="0"/>
              <w:spacing w:before="0" w:after="40" w:line="250" w:lineRule="auto"/>
              <w:jc w:val="center"/>
            </w:pPr>
            <w:r>
              <w:rPr>
                <w:rFonts w:ascii="Arial" w:hAnsi="Arial"/>
                <w:b/>
                <w:color w:val="000000"/>
                <w:sz w:val="19"/>
              </w:rPr>
              <w:t>Revised decision</w:t>
            </w:r>
          </w:p>
        </w:tc>
      </w:tr>
      <w:tr>
        <w:trPr>
          <w:cantSplit/>
        </w:trPr>
        <w:tc>
          <w:tcPr>
            <w:tcW w:type="dxa" w:w="388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Raspberry Pi plus three ESP32 sensing nodes</w:t>
            </w:r>
          </w:p>
        </w:tc>
        <w:tc>
          <w:tcPr>
            <w:tcW w:type="dxa" w:w="547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One Pi for learned perception; target two local signal controllers for the physical corridor. Use available MCU boards; do not reinstate IR sensing or MCU-based RL.</w:t>
            </w:r>
          </w:p>
        </w:tc>
      </w:tr>
      <w:tr>
        <w:trPr>
          <w:cantSplit/>
        </w:trPr>
        <w:tc>
          <w:tcPr>
            <w:tcW w:type="dxa" w:w="388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Twelve IR sensors</w:t>
            </w:r>
          </w:p>
        </w:tc>
        <w:tc>
          <w:tcPr>
            <w:tcW w:type="dxa" w:w="547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Optional diagnostic inputs only. Camera queue estimation is the required perception path.</w:t>
            </w:r>
          </w:p>
        </w:tc>
      </w:tr>
      <w:tr>
        <w:trPr>
          <w:cantSplit/>
        </w:trPr>
        <w:tc>
          <w:tcPr>
            <w:tcW w:type="dxa" w:w="388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ESP-NOW communication</w:t>
            </w:r>
          </w:p>
        </w:tc>
        <w:tc>
          <w:tcPr>
            <w:tcW w:type="dxa" w:w="547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MQTT over a local network remains the default. Demonstrate loss of the coordinator and recovery.</w:t>
            </w:r>
          </w:p>
        </w:tc>
      </w:tr>
      <w:tr>
        <w:trPr>
          <w:cantSplit/>
        </w:trPr>
        <w:tc>
          <w:tcPr>
            <w:tcW w:type="dxa" w:w="388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TFLite Micro policy on ESP32</w:t>
            </w:r>
          </w:p>
        </w:tc>
        <w:tc>
          <w:tcPr>
            <w:tcW w:type="dxa" w:w="547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Not required. AI contribution is learned perception on Pi; local nodes run deterministic control and fallback firmware.</w:t>
            </w:r>
          </w:p>
        </w:tc>
      </w:tr>
      <w:tr>
        <w:trPr>
          <w:cantSplit/>
        </w:trPr>
        <w:tc>
          <w:tcPr>
            <w:tcW w:type="dxa" w:w="388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Distributed optimization removed</w:t>
            </w:r>
          </w:p>
        </w:tc>
        <w:tc>
          <w:tcPr>
            <w:tcW w:type="dxa" w:w="547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Keep a centralized research baseline. Local fallback nodes provide distributed execution only; they do not prove distributed adaptive optimization. Resolve consistency with the registered proposal.</w:t>
            </w:r>
          </w:p>
        </w:tc>
      </w:tr>
      <w:tr>
        <w:trPr>
          <w:cantSplit/>
        </w:trPr>
        <w:tc>
          <w:tcPr>
            <w:tcW w:type="dxa" w:w="388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Hardware begins after two software weeks</w:t>
            </w:r>
          </w:p>
        </w:tc>
        <w:tc>
          <w:tcPr>
            <w:tcW w:type="dxa" w:w="547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Start embedded inference and physical timing immediately, in parallel with software repairs.</w:t>
            </w:r>
          </w:p>
        </w:tc>
      </w:tr>
      <w:tr>
        <w:trPr>
          <w:cantSplit/>
        </w:trPr>
        <w:tc>
          <w:tcPr>
            <w:tcW w:type="dxa" w:w="388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RL or MARL as the main algorithm</w:t>
            </w:r>
          </w:p>
        </w:tc>
        <w:tc>
          <w:tcPr>
            <w:tcW w:type="dxa" w:w="547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Defer until valid non-learning baselines, repeated experiments and hardware gates pass.</w:t>
            </w:r>
          </w:p>
        </w:tc>
      </w:tr>
      <w:tr>
        <w:trPr>
          <w:cantSplit/>
        </w:trPr>
        <w:tc>
          <w:tcPr>
            <w:tcW w:type="dxa" w:w="388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Versioned contracts and generated types already available</w:t>
            </w:r>
          </w:p>
        </w:tc>
        <w:tc>
          <w:tcPr>
            <w:tcW w:type="dxa" w:w="547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Three JSON schemas and a shared Python SDK exist. Additional schemas, generated types and semantic validation are planned work.</w:t>
            </w:r>
          </w:p>
        </w:tc>
      </w:tr>
      <w:tr>
        <w:trPr>
          <w:cantSplit/>
        </w:trPr>
        <w:tc>
          <w:tcPr>
            <w:tcW w:type="dxa" w:w="388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Docker for every process</w:t>
            </w:r>
          </w:p>
        </w:tc>
        <w:tc>
          <w:tcPr>
            <w:tcW w:type="dxa" w:w="547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Keep Docker Compose for development and tests. Native Pi or MCU processes may use the same contracts.</w:t>
            </w:r>
          </w:p>
        </w:tc>
      </w:tr>
    </w:tbl>
    <w:p>
      <w:pPr>
        <w:widowControl/>
        <w:spacing w:before="120"/>
      </w:pPr>
      <w:r>
        <w:rPr>
          <w:i/>
          <w:color w:val="000000"/>
          <w:sz w:val="19"/>
        </w:rPr>
        <w:t>Revision note  Hardware becomes a critical deliverable because the competition assesses embedded AI and a working electronic prototype. Board inventory and the submitted registration form were not supplied; these decisions are recommendations, not confirmed purchases or an organizer ruling.</w:t>
      </w:r>
    </w:p>
    <w:p>
      <w:pPr>
        <w:pStyle w:val="Heading2"/>
        <w:keepNext/>
        <w:widowControl/>
      </w:pPr>
      <w:r>
        <w:rPr>
          <w:color w:val="000000"/>
        </w:rPr>
        <w:t>1 4 Competition positioning and research contribution</w:t>
      </w:r>
    </w:p>
    <w:p>
      <w:pPr>
        <w:widowControl/>
      </w:pPr>
      <w:r>
        <w:rPr>
          <w:color w:val="000000"/>
        </w:rPr>
        <w:t>The official semifinal announcement lists 31µF from FPT University Ho Chi Minh City with EdgeFlow AI, described as distributed embedded-AI traffic control on a weighted road graph. It also lists a separate team named EdgeFlow in the North; the two must not be confused. The newer announcement selects 36 semifinalists, superseding the initial figure of 30 in the supplied rules. [R2]</w:t>
      </w:r>
    </w:p>
    <w:p>
      <w:pPr>
        <w:widowControl/>
      </w:pPr>
      <w:r>
        <w:rPr>
          <w:color w:val="000000"/>
        </w:rPr>
        <w:t>The uploaded plan explicitly changed optimization to a centralized Graph-Control service. Preserve a traceability table between the submitted idea and the prototype, and obtain organizer guidance if the change is material. Two autonomous fallback nodes support resilience, but should not be presented as proof that adaptive optimization itself is distributed. Keep the registered project title unchanged until this is resolved. [F1, F4, R2]</w:t>
      </w:r>
    </w:p>
    <w:p>
      <w:pPr>
        <w:widowControl/>
      </w:pPr>
      <w:r>
        <w:rPr>
          <w:color w:val="000000"/>
        </w:rPr>
        <w:t>Position the contribution as an affordable embedded prototype whose measured traffic-control behavior remains useful when downstream storage is limited and camera observations are imperfect. Max-pressure, finite-capacity pressure control and pressure-based reinforcement learning already exist. The research contribution must be the tested implementation and evidence under clearly specified conditions, not a claim to invent adaptive traffic lights or Max-Pressure. [R3, R4]</w:t>
      </w:r>
    </w:p>
    <w:p>
      <w:pPr>
        <w:pStyle w:val="Heading2"/>
        <w:keepNext/>
        <w:keepLines/>
        <w:widowControl/>
      </w:pPr>
      <w:r>
        <w:rPr>
          <w:color w:val="000000"/>
        </w:rPr>
        <w:t>1 5 Current evidence and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6192"/>
        <w:gridCol w:w="2160"/>
      </w:tblGrid>
      <w:tr>
        <w:trPr>
          <w:cantSplit/>
          <w:tblHeader/>
        </w:trPr>
        <w:tc>
          <w:tcPr>
            <w:tcW w:type="dxa" w:w="1800"/>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Capability</w:t>
            </w:r>
          </w:p>
        </w:tc>
        <w:tc>
          <w:tcPr>
            <w:tcW w:type="dxa" w:w="6192"/>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Observed in the ZIP</w:t>
            </w:r>
          </w:p>
        </w:tc>
        <w:tc>
          <w:tcPr>
            <w:tcW w:type="dxa" w:w="2160"/>
            <w:vAlign w:val="center"/>
            <w:shd w:fill="DCE6EE"/>
            <w:tcMar>
              <w:top w:w="85" w:type="dxa"/>
              <w:bottom w:w="85" w:type="dxa"/>
              <w:left w:w="100" w:type="dxa"/>
              <w:right w:w="100" w:type="dxa"/>
            </w:tcMar>
          </w:tcPr>
          <w:p>
            <w:pPr>
              <w:keepNext/>
              <w:spacing w:before="0" w:after="40" w:line="250" w:lineRule="auto"/>
              <w:jc w:val="center"/>
            </w:pPr>
            <w:r>
              <w:rPr>
                <w:rFonts w:ascii="Arial" w:hAnsi="Arial"/>
                <w:b/>
                <w:color w:val="000000"/>
                <w:sz w:val="19"/>
              </w:rPr>
              <w:t>Status</w:t>
            </w:r>
          </w:p>
        </w:tc>
      </w:tr>
      <w:tr>
        <w:trPr>
          <w:cantSplit/>
        </w:trPr>
        <w:tc>
          <w:tcPr>
            <w:tcW w:type="dxa" w:w="180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Software foundation</w:t>
            </w:r>
          </w:p>
        </w:tc>
        <w:tc>
          <w:tcPr>
            <w:tcW w:type="dxa" w:w="619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Separate services, three JSON schemas, SDK, six topology JSON files and SUMO import code</w:t>
            </w:r>
          </w:p>
        </w:tc>
        <w:tc>
          <w:tcPr>
            <w:tcW w:type="dxa" w:w="21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Implemented foundations</w:t>
            </w:r>
          </w:p>
        </w:tc>
      </w:tr>
      <w:tr>
        <w:trPr>
          <w:cantSplit/>
        </w:trPr>
        <w:tc>
          <w:tcPr>
            <w:tcW w:type="dxa" w:w="180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Control</w:t>
            </w:r>
          </w:p>
        </w:tc>
        <w:tc>
          <w:tcPr>
            <w:tcW w:type="dxa" w:w="619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MaxQueue-like phase selection; call-count phase cycling; MQTT handlers</w:t>
            </w:r>
          </w:p>
        </w:tc>
        <w:tc>
          <w:tcPr>
            <w:tcW w:type="dxa" w:w="21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Partial implementation</w:t>
            </w:r>
          </w:p>
        </w:tc>
      </w:tr>
      <w:tr>
        <w:trPr>
          <w:cantSplit/>
        </w:trPr>
        <w:tc>
          <w:tcPr>
            <w:tcW w:type="dxa" w:w="180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Vision</w:t>
            </w:r>
          </w:p>
        </w:tc>
        <w:tc>
          <w:tcPr>
            <w:tcW w:type="dxa" w:w="619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OpenCV MOG2 contours, default ROIs and formula-based metrics</w:t>
            </w:r>
          </w:p>
        </w:tc>
        <w:tc>
          <w:tcPr>
            <w:tcW w:type="dxa" w:w="21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Adapter prototype; trained vehicle detector not found</w:t>
            </w:r>
          </w:p>
        </w:tc>
      </w:tr>
      <w:tr>
        <w:trPr>
          <w:cantSplit/>
        </w:trPr>
        <w:tc>
          <w:tcPr>
            <w:tcW w:type="dxa" w:w="180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Interface</w:t>
            </w:r>
          </w:p>
        </w:tc>
        <w:tc>
          <w:tcPr>
            <w:tcW w:type="dxa" w:w="619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Topology API and React screens; random live values and fixed KPI examples</w:t>
            </w:r>
          </w:p>
        </w:tc>
        <w:tc>
          <w:tcPr>
            <w:tcW w:type="dxa" w:w="21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UI prototype; operational controls incomplete</w:t>
            </w:r>
          </w:p>
        </w:tc>
      </w:tr>
      <w:tr>
        <w:trPr>
          <w:cantSplit/>
        </w:trPr>
        <w:tc>
          <w:tcPr>
            <w:tcW w:type="dxa" w:w="180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Evidence and hardware</w:t>
            </w:r>
          </w:p>
        </w:tc>
        <w:tc>
          <w:tcPr>
            <w:tcW w:type="dxa" w:w="619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Two aggregate reports; no per-run artifact directories in the ZIP; no MCU firmware or physical measurement package found</w:t>
            </w:r>
          </w:p>
        </w:tc>
        <w:tc>
          <w:tcPr>
            <w:tcW w:type="dxa" w:w="21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Effectiveness and embedded readiness unverified</w:t>
            </w:r>
          </w:p>
        </w:tc>
      </w:tr>
    </w:tbl>
    <w:p>
      <w:pPr>
        <w:widowControl/>
        <w:spacing w:before="120"/>
      </w:pPr>
      <w:r>
        <w:rPr>
          <w:color w:val="000000"/>
        </w:rPr>
        <w:t>Read-only verification: 44 Python source files and 53 test functions were identified. The Fixed-Time function was called three times at the same timestamp and returned EW, NS, EW. An isolated execution of the original mock-sample function and collector confirmed controller-dependent synthetic values. This was not a SUMO or MQTT integration run. Both make contracts and make test stopped because pytest is unavailable here; Docker and SUMO executables are also unavailable. No test-pass percentage or full-stack readiness is asserted. Appendix A identifies the exact code locations.</w:t>
      </w:r>
    </w:p>
    <w:p>
      <w:pPr>
        <w:pStyle w:val="Heading1"/>
        <w:keepNext/>
        <w:widowControl/>
      </w:pPr>
      <w:r>
        <w:rPr>
          <w:color w:val="000000"/>
        </w:rPr>
        <w:t>2 Module Work Packages</w:t>
      </w:r>
    </w:p>
    <w:p>
      <w:pPr>
        <w:widowControl/>
      </w:pPr>
      <w:r>
        <w:rPr>
          <w:rFonts w:ascii="Liberation Sans" w:hAnsi="Liberation Sans"/>
          <w:color w:val="000000"/>
        </w:rPr>
        <w:t>Work should be assigned by module. Team members can redistribute modules without changing the architecture, provided module boundaries and shared contracts remain intact.</w:t>
      </w:r>
    </w:p>
    <w:p>
      <w:pPr>
        <w:pStyle w:val="Heading2"/>
        <w:keepNext/>
        <w:widowControl/>
      </w:pPr>
      <w:r>
        <w:rPr>
          <w:color w:val="000000"/>
        </w:rPr>
        <w:t>A Contracts</w:t>
      </w:r>
    </w:p>
    <w:p>
      <w:pPr>
        <w:keepNext/>
        <w:widowControl/>
      </w:pPr>
      <w:r>
        <w:rPr>
          <w:color w:val="000000"/>
        </w:rPr>
        <w:t>Purpose: Common definitions of messages, topology, movement mapping and provenance. Keep all additions in contracts/ and share one SDK across services.</w:t>
      </w:r>
    </w:p>
    <w:p>
      <w:pPr>
        <w:pStyle w:val="ListBullet"/>
        <w:widowControl/>
        <w:spacing w:after="40"/>
      </w:pPr>
      <w:r>
        <w:rPr>
          <w:color w:val="000000"/>
        </w:rPr>
        <w:t>Extend the three existing schemas with run ID, source mode, source ID, sequence, capture time, validity and applied signal state. Add graph-state, metrics, health and experiment schemas only as their consumers are implemented.</w:t>
      </w:r>
    </w:p>
    <w:p>
      <w:pPr>
        <w:pStyle w:val="ListBullet"/>
        <w:widowControl/>
        <w:spacing w:after="40"/>
      </w:pPr>
      <w:r>
        <w:rPr>
          <w:color w:val="000000"/>
        </w:rPr>
        <w:t>Use four_intersection_v1 first. Define lane-to-approach, incoming-to-outgoing movement, legal phases, turn ratios, storage capacities and exact SUMO connection mappings.</w:t>
      </w:r>
    </w:p>
    <w:p>
      <w:pPr>
        <w:pStyle w:val="ListBullet"/>
        <w:widowControl/>
        <w:spacing w:after="40"/>
      </w:pPr>
      <w:r>
        <w:rPr>
          <w:color w:val="000000"/>
        </w:rPr>
        <w:t>Generate Python and TypeScript types or use a common validated SDK until generation is ready. JSON shape validation must be supplemented by node, phase and movement membership checks.</w:t>
      </w:r>
    </w:p>
    <w:p>
      <w:pPr>
        <w:pStyle w:val="ListBullet"/>
        <w:keepNext/>
        <w:widowControl/>
        <w:spacing w:after="40"/>
      </w:pPr>
      <w:r>
        <w:rPr>
          <w:color w:val="000000"/>
        </w:rPr>
        <w:t>Provide golden fixtures for valid, stale, missing, duplicate and out-of-order messages. Reject negative counts, impossible durations and unknown topology IDs.</w:t>
      </w:r>
    </w:p>
    <w:p>
      <w:pPr>
        <w:widowControl/>
      </w:pPr>
      <w:r>
        <w:rPr>
          <w:color w:val="000000"/>
        </w:rPr>
        <w:t>Definition of done: each producer and consumer passes the same valid and invalid fixtures; source substitution preserves measurement meaning as well as JSON structure.</w:t>
      </w:r>
    </w:p>
    <w:p>
      <w:pPr>
        <w:pStyle w:val="Heading2"/>
        <w:keepNext/>
        <w:widowControl/>
      </w:pPr>
      <w:r>
        <w:rPr>
          <w:color w:val="000000"/>
        </w:rPr>
        <w:t>B MQTT Infrastructure</w:t>
      </w:r>
    </w:p>
    <w:p>
      <w:pPr>
        <w:keepNext/>
        <w:widowControl/>
      </w:pPr>
      <w:r>
        <w:rPr>
          <w:rFonts w:ascii="Liberation Sans" w:hAnsi="Liberation Sans"/>
          <w:b/>
          <w:color w:val="000000"/>
        </w:rPr>
        <w:t xml:space="preserve">Purpose: </w:t>
      </w:r>
      <w:r>
        <w:rPr>
          <w:rFonts w:ascii="Liberation Sans" w:hAnsi="Liberation Sans"/>
          <w:color w:val="000000"/>
        </w:rPr>
        <w:t>Mosquitto-based real-time event transport and Docker network configuration.</w:t>
      </w:r>
    </w:p>
    <w:p>
      <w:pPr>
        <w:pStyle w:val="ListBullet"/>
        <w:widowControl/>
        <w:spacing w:after="40"/>
      </w:pPr>
      <w:r>
        <w:rPr>
          <w:color w:val="000000"/>
        </w:rPr>
        <w:t>Configure a local broker, explicit readiness checks and reconnect behavior. Apply per-client publish permissions for commands; keep the competition system on a controlled local network.</w:t>
      </w:r>
    </w:p>
    <w:p>
      <w:pPr>
        <w:pStyle w:val="ListBullet"/>
        <w:widowControl/>
        <w:spacing w:after="40"/>
      </w:pPr>
      <w:r>
        <w:rPr>
          <w:color w:val="000000"/>
        </w:rPr>
        <w:t>Namespace runs and prevent multiple producers or controllers from owning one node. Use message IDs and sequence numbers for deduplication and command expiry; avoid retained executable commands.</w:t>
      </w:r>
    </w:p>
    <w:p>
      <w:pPr>
        <w:pStyle w:val="ListBullet"/>
        <w:keepNext/>
        <w:widowControl/>
        <w:spacing w:after="40"/>
      </w:pPr>
      <w:r>
        <w:rPr>
          <w:color w:val="000000"/>
        </w:rPr>
        <w:t>Run a real MQTT test that injects telemetry and observes a command, timed actuation, acknowledgement and API state. The existing direct-import smoke test is a component test.</w:t>
      </w:r>
    </w:p>
    <w:p>
      <w:pPr>
        <w:widowControl/>
      </w:pPr>
      <w:r>
        <w:rPr>
          <w:color w:val="000000"/>
        </w:rPr>
        <w:t>Definition of done: loss and restoration of the broker cannot cause conflicting green outputs, stale command execution or silent substitution of measurements.</w:t>
      </w:r>
    </w:p>
    <w:p>
      <w:pPr>
        <w:pStyle w:val="Heading2"/>
        <w:keepNext/>
        <w:widowControl/>
      </w:pPr>
      <w:r>
        <w:rPr>
          <w:color w:val="000000"/>
        </w:rPr>
        <w:t>C Simulator</w:t>
      </w:r>
    </w:p>
    <w:p>
      <w:pPr>
        <w:keepNext/>
        <w:widowControl/>
      </w:pPr>
      <w:r>
        <w:rPr>
          <w:color w:val="000000"/>
        </w:rPr>
        <w:t>Purpose: Verified SUMO test network, explicit demand generation and raw vehicle-level output. Treat it as a calibrated simulation only to the extent supported by data.</w:t>
      </w:r>
    </w:p>
    <w:p>
      <w:pPr>
        <w:pStyle w:val="ListBullet"/>
        <w:widowControl/>
        <w:spacing w:after="40"/>
      </w:pPr>
      <w:r>
        <w:rPr>
          <w:color w:val="000000"/>
        </w:rPr>
        <w:t>Verify the four-intersection network and all controlled links. Freeze network and route files after validation; do not regenerate the network silently at every startup.</w:t>
      </w:r>
    </w:p>
    <w:p>
      <w:pPr>
        <w:pStyle w:val="ListBullet"/>
        <w:widowControl/>
        <w:spacing w:after="40"/>
      </w:pPr>
      <w:r>
        <w:rPr>
          <w:color w:val="000000"/>
        </w:rPr>
        <w:t>Implement separate demand files and incident events for Balanced, Directional Surge and Downstream Congestion. Scenario names alone must never determine an improvement.</w:t>
      </w:r>
    </w:p>
    <w:p>
      <w:pPr>
        <w:pStyle w:val="ListBullet"/>
        <w:widowControl/>
        <w:spacing w:after="40"/>
      </w:pPr>
      <w:r>
        <w:rPr>
          <w:color w:val="000000"/>
        </w:rPr>
        <w:t>Use halting counts for the declared queue definition, observed crossing counts for flow, and normalized occupancy. SUMO edge occupancy is expressed in percent; convert it to a ratio. Edge vehicle count is not a crossing flow. [R5]</w:t>
      </w:r>
    </w:p>
    <w:p>
      <w:pPr>
        <w:pStyle w:val="ListBullet"/>
        <w:widowControl/>
        <w:spacing w:after="40"/>
      </w:pPr>
      <w:r>
        <w:rPr>
          <w:color w:val="000000"/>
        </w:rPr>
        <w:t>Let SimulationActuator apply actual green, yellow and all-red states. Read back the applied SUMO state. A requested phase or an internal cached value is not proof of execution.</w:t>
      </w:r>
    </w:p>
    <w:p>
      <w:pPr>
        <w:pStyle w:val="ListBullet"/>
        <w:keepNext/>
        <w:widowControl/>
        <w:spacing w:after="40"/>
      </w:pPr>
      <w:r>
        <w:rPr>
          <w:color w:val="000000"/>
        </w:rPr>
        <w:t>Export tripinfo, scheduled departures, arrivals, unfinished vehicles, queue time series, signal states and incidents. Evaluation must stop on a SUMO failure; synthetic fallback is allowed only in an explicitly marked developer mode.</w:t>
      </w:r>
    </w:p>
    <w:p>
      <w:pPr>
        <w:widowControl/>
      </w:pPr>
      <w:r>
        <w:rPr>
          <w:color w:val="000000"/>
        </w:rPr>
        <w:t>Definition of done: each scenario changes traffic demand or downstream capacity as intended; run seed reaches the simulator; all actuation and metrics use simulation time.</w:t>
      </w:r>
    </w:p>
    <w:p>
      <w:pPr>
        <w:pStyle w:val="Heading2"/>
        <w:keepNext/>
        <w:widowControl/>
      </w:pPr>
      <w:r>
        <w:rPr>
          <w:color w:val="000000"/>
        </w:rPr>
        <w:t>D Graph Control</w:t>
      </w:r>
    </w:p>
    <w:p>
      <w:pPr>
        <w:keepNext/>
        <w:widowControl/>
      </w:pPr>
      <w:r>
        <w:rPr>
          <w:color w:val="000000"/>
        </w:rPr>
        <w:t>Purpose: A validated network-state snapshot and interchangeable controllers. The present message callback uses one node payload and does not yet establish network-level downstream reasoning.</w:t>
      </w:r>
    </w:p>
    <w:p>
      <w:pPr>
        <w:pStyle w:val="ListBullet"/>
        <w:widowControl/>
        <w:spacing w:after="40"/>
      </w:pPr>
      <w:r>
        <w:rPr>
          <w:color w:val="000000"/>
        </w:rPr>
        <w:t>Maintain a time-aligned snapshot of upstream queues, downstream queues and receiving capacity. Record observation age and coverage; do not treat absent approaches as empty.</w:t>
      </w:r>
    </w:p>
    <w:p>
      <w:pPr>
        <w:pStyle w:val="ListBullet"/>
        <w:widowControl/>
        <w:spacing w:after="40"/>
      </w:pPr>
      <w:r>
        <w:rPr>
          <w:color w:val="000000"/>
        </w:rPr>
        <w:t>Implement tuned Fixed-Time, actuated control, MaxQueue, reference MaxPressure and the EdgeFlow candidate behind one policy interface.</w:t>
      </w:r>
    </w:p>
    <w:p>
      <w:pPr>
        <w:pStyle w:val="ListBullet"/>
        <w:widowControl/>
        <w:spacing w:after="40"/>
      </w:pPr>
      <w:r>
        <w:rPr>
          <w:color w:val="000000"/>
        </w:rPr>
        <w:t>Request hold or a legal next phase at a fixed decision interval. Read applied state from the actuator. Device timing constraints, maximum red handling and failover remain authoritative outside the optimizer.</w:t>
      </w:r>
    </w:p>
    <w:p>
      <w:pPr>
        <w:pStyle w:val="ListBullet"/>
        <w:widowControl/>
        <w:spacing w:after="40"/>
      </w:pPr>
      <w:r>
        <w:rPr>
          <w:color w:val="000000"/>
        </w:rPr>
        <w:t>Record the selected phase, candidate scores, blocked movements, data quality, decision time and reason. A tie should retain the current legal phase where appropriate.</w:t>
      </w:r>
    </w:p>
    <w:p>
      <w:pPr>
        <w:pStyle w:val="ListBullet"/>
        <w:keepNext/>
        <w:widowControl/>
        <w:spacing w:after="40"/>
      </w:pPr>
      <w:r>
        <w:rPr>
          <w:color w:val="000000"/>
        </w:rPr>
        <w:t>Start any RL work only after the non-learning comparison and embedded demonstration pass their gates. Compare it on unseen demand and report training cost and failure cases.</w:t>
      </w:r>
    </w:p>
    <w:p>
      <w:pPr>
        <w:widowControl/>
      </w:pPr>
      <w:r>
        <w:rPr>
          <w:color w:val="000000"/>
        </w:rPr>
        <w:t>Definition of done: a downstream blockage can change an upstream decision, while changing telemetry publication frequency does not change a Fixed-Time schedule.</w:t>
      </w:r>
    </w:p>
    <w:p>
      <w:pPr>
        <w:pStyle w:val="Heading2"/>
        <w:keepNext/>
        <w:widowControl/>
      </w:pPr>
      <w:r>
        <w:rPr>
          <w:color w:val="000000"/>
        </w:rPr>
        <w:t>E Vision</w:t>
      </w:r>
    </w:p>
    <w:p>
      <w:pPr>
        <w:keepNext/>
        <w:widowControl/>
      </w:pPr>
      <w:r>
        <w:rPr>
          <w:rFonts w:ascii="Liberation Sans" w:hAnsi="Liberation Sans"/>
          <w:b/>
          <w:color w:val="000000"/>
        </w:rPr>
        <w:t xml:space="preserve">Purpose: </w:t>
      </w:r>
      <w:r>
        <w:rPr>
          <w:rFonts w:ascii="Liberation Sans" w:hAnsi="Liberation Sans"/>
          <w:color w:val="000000"/>
        </w:rPr>
        <w:t>Camera/video perception adapter that emits the same traffic-state semantics as the simulator.</w:t>
      </w:r>
    </w:p>
    <w:p>
      <w:pPr>
        <w:pStyle w:val="ListBullet"/>
        <w:widowControl/>
        <w:spacing w:after="40"/>
      </w:pPr>
      <w:r>
        <w:rPr>
          <w:color w:val="000000"/>
        </w:rPr>
        <w:t>Keep file and webcam adapters. Add the Pi camera or available USB camera path with capture timestamps, correct video-time handling and explicit EOF or disconnection status.</w:t>
      </w:r>
    </w:p>
    <w:p>
      <w:pPr>
        <w:pStyle w:val="ListBullet"/>
        <w:widowControl/>
        <w:spacing w:after="40"/>
      </w:pPr>
      <w:r>
        <w:rPr>
          <w:color w:val="000000"/>
        </w:rPr>
        <w:t>Run a learned vehicle detector on Pi, assign persistent track IDs and calibrate per-camera ROIs. Keep MOG2 only as a development baseline. Select the model using local accuracy and latency measurements.</w:t>
      </w:r>
    </w:p>
    <w:p>
      <w:pPr>
        <w:pStyle w:val="ListBullet"/>
        <w:widowControl/>
        <w:spacing w:after="40"/>
      </w:pPr>
      <w:r>
        <w:rPr>
          <w:color w:val="000000"/>
        </w:rPr>
        <w:t>Estimate stopped queue from motion over time near the stop line; count unique track crossings for flow; report speed in m/s only after calibration. Bounding-box area occupancy is an image proxy and must not be silently equated with road storage occupancy.</w:t>
      </w:r>
    </w:p>
    <w:p>
      <w:pPr>
        <w:pStyle w:val="ListBullet"/>
        <w:keepNext/>
        <w:widowControl/>
        <w:spacing w:after="40"/>
      </w:pPr>
      <w:r>
        <w:rPr>
          <w:color w:val="000000"/>
        </w:rPr>
        <w:t>Create a per-camera and per-node mapping. The current single ROI setup for the first node must not be reused for every node. Camera failure produces missing data and an alert, never a queue of 2 with confidence 0.90.</w:t>
      </w:r>
    </w:p>
    <w:p>
      <w:pPr>
        <w:widowControl/>
      </w:pPr>
      <w:r>
        <w:rPr>
          <w:color w:val="000000"/>
        </w:rPr>
        <w:t>Definition of done: embedded inference works on held-out clips and a live camera; detection of stationary vehicles is checked; queue error and end-to-end age satisfy the declared limits.</w:t>
      </w:r>
    </w:p>
    <w:p>
      <w:pPr>
        <w:pStyle w:val="Heading2"/>
        <w:keepNext/>
        <w:widowControl/>
      </w:pPr>
      <w:r>
        <w:rPr>
          <w:color w:val="000000"/>
        </w:rPr>
        <w:t>F Actuator</w:t>
      </w:r>
    </w:p>
    <w:p>
      <w:pPr>
        <w:keepNext/>
        <w:widowControl/>
      </w:pPr>
      <w:r>
        <w:rPr>
          <w:rFonts w:ascii="Liberation Sans" w:hAnsi="Liberation Sans"/>
          <w:b/>
          <w:color w:val="000000"/>
        </w:rPr>
        <w:t xml:space="preserve">Purpose: </w:t>
      </w:r>
      <w:r>
        <w:rPr>
          <w:rFonts w:ascii="Liberation Sans" w:hAnsi="Liberation Sans"/>
          <w:color w:val="000000"/>
        </w:rPr>
        <w:t>Safe signal execution independent of optimization logic.</w:t>
      </w:r>
    </w:p>
    <w:p>
      <w:pPr>
        <w:pStyle w:val="ListBullet"/>
        <w:widowControl/>
        <w:spacing w:after="40"/>
      </w:pPr>
      <w:r>
        <w:rPr>
          <w:color w:val="000000"/>
        </w:rPr>
        <w:t>Implement a timed SimulationActuator and a physical low-voltage signal adapter in parallel. Target two MCU nodes with local watchdog and fallback schedules; preserve the same abstract command interface.</w:t>
      </w:r>
    </w:p>
    <w:p>
      <w:pPr>
        <w:pStyle w:val="ListBullet"/>
        <w:widowControl/>
        <w:spacing w:after="40"/>
      </w:pPr>
      <w:r>
        <w:rPr>
          <w:color w:val="000000"/>
        </w:rPr>
        <w:t>Enforce GREEN, YELLOW, ALL_RED and next GREEN across actual time steps. Keep a pending command; return ACCEPTED first and APPLIED only after the output state has been applied.</w:t>
      </w:r>
    </w:p>
    <w:p>
      <w:pPr>
        <w:pStyle w:val="ListBullet"/>
        <w:keepNext/>
        <w:widowControl/>
        <w:spacing w:after="40"/>
      </w:pPr>
      <w:r>
        <w:rPr>
          <w:color w:val="000000"/>
        </w:rPr>
        <w:t>Validate legal node and phase, configured minimum and maximum green, command sequence and expiry. Complete safe clearance on timeout; restart in a defined state and reject replayed commands.</w:t>
      </w:r>
    </w:p>
    <w:p>
      <w:pPr>
        <w:widowControl/>
      </w:pPr>
      <w:r>
        <w:rPr>
          <w:color w:val="000000"/>
        </w:rPr>
        <w:t>Definition of done: measured output traces prove clearance intervals, no conflicting greens, correct recovery and bounded response to communication loss. Software status alone is insufficient.</w:t>
      </w:r>
    </w:p>
    <w:p>
      <w:pPr>
        <w:pStyle w:val="Heading2"/>
        <w:keepNext/>
        <w:widowControl/>
      </w:pPr>
      <w:r>
        <w:rPr>
          <w:color w:val="000000"/>
        </w:rPr>
        <w:t>G API Persistence</w:t>
      </w:r>
    </w:p>
    <w:p>
      <w:pPr>
        <w:keepNext/>
        <w:widowControl/>
      </w:pPr>
      <w:r>
        <w:rPr>
          <w:rFonts w:ascii="Liberation Sans" w:hAnsi="Liberation Sans"/>
          <w:b/>
          <w:color w:val="000000"/>
        </w:rPr>
        <w:t xml:space="preserve">Purpose: </w:t>
      </w:r>
      <w:r>
        <w:rPr>
          <w:rFonts w:ascii="Liberation Sans" w:hAnsi="Liberation Sans"/>
          <w:color w:val="000000"/>
        </w:rPr>
        <w:t>System control plane, experiment records, historical querying and dashboard bridge.</w:t>
      </w:r>
    </w:p>
    <w:p>
      <w:pPr>
        <w:pStyle w:val="ListBullet"/>
        <w:widowControl/>
        <w:spacing w:after="40"/>
      </w:pPr>
      <w:r>
        <w:rPr>
          <w:color w:val="000000"/>
        </w:rPr>
        <w:t>Add network-state, experiment lifecycle and controller-configuration endpoints. Validate changes and expose pending, accepted, applied and rejected states.</w:t>
      </w:r>
    </w:p>
    <w:p>
      <w:pPr>
        <w:pStyle w:val="ListBullet"/>
        <w:widowControl/>
        <w:spacing w:after="40"/>
      </w:pPr>
      <w:r>
        <w:rPr>
          <w:color w:val="000000"/>
        </w:rPr>
        <w:t>Use SQLite for a run index and metadata when implemented; keep raw experiment files immutable and reference them by ID and hash. Assign one writer for each record type.</w:t>
      </w:r>
    </w:p>
    <w:p>
      <w:pPr>
        <w:pStyle w:val="ListBullet"/>
        <w:keepNext/>
        <w:widowControl/>
        <w:spacing w:after="40"/>
      </w:pPr>
      <w:r>
        <w:rPr>
          <w:color w:val="000000"/>
        </w:rPr>
        <w:t>Subscribe to real MQTT state and serve WebSocket updates. Health reports must reflect broker connection, telemetry freshness and backend status.</w:t>
      </w:r>
    </w:p>
    <w:p>
      <w:pPr>
        <w:widowControl/>
      </w:pPr>
      <w:r>
        <w:rPr>
          <w:color w:val="000000"/>
        </w:rPr>
        <w:t>Definition of done: selecting a controller changes the backend configuration and produces a matching execution record; users can retrieve the run manifest and raw results.</w:t>
      </w:r>
    </w:p>
    <w:p>
      <w:pPr>
        <w:pStyle w:val="Heading2"/>
        <w:keepNext/>
        <w:widowControl/>
      </w:pPr>
      <w:r>
        <w:rPr>
          <w:color w:val="000000"/>
        </w:rPr>
        <w:t>H Dashboard</w:t>
      </w:r>
    </w:p>
    <w:p>
      <w:pPr>
        <w:keepNext/>
        <w:widowControl/>
      </w:pPr>
      <w:r>
        <w:rPr>
          <w:rFonts w:ascii="Liberation Sans" w:hAnsi="Liberation Sans"/>
          <w:b/>
          <w:color w:val="000000"/>
        </w:rPr>
        <w:t xml:space="preserve">Purpose: </w:t>
      </w:r>
      <w:r>
        <w:rPr>
          <w:rFonts w:ascii="Liberation Sans" w:hAnsi="Liberation Sans"/>
          <w:color w:val="000000"/>
        </w:rPr>
        <w:t>IOC-style visualization for traffic state, system health and benchmark comparison.</w:t>
      </w:r>
    </w:p>
    <w:p>
      <w:pPr>
        <w:pStyle w:val="ListBullet"/>
        <w:widowControl/>
        <w:spacing w:after="40"/>
      </w:pPr>
      <w:r>
        <w:rPr>
          <w:color w:val="000000"/>
        </w:rPr>
        <w:t>Retain the topology map. Replace simulated React state with actual observations and read-back signal states; show NO DATA when observations are unavailable.</w:t>
      </w:r>
    </w:p>
    <w:p>
      <w:pPr>
        <w:pStyle w:val="ListBullet"/>
        <w:widowControl/>
        <w:spacing w:after="40"/>
      </w:pPr>
      <w:r>
        <w:rPr>
          <w:color w:val="000000"/>
        </w:rPr>
        <w:t>Show source mode, experiment ID, measurement age, applied phase, queues, downstream blockage and the reason for the last decision.</w:t>
      </w:r>
    </w:p>
    <w:p>
      <w:pPr>
        <w:pStyle w:val="ListBullet"/>
        <w:keepNext/>
        <w:widowControl/>
        <w:spacing w:after="40"/>
      </w:pPr>
      <w:r>
        <w:rPr>
          <w:color w:val="000000"/>
        </w:rPr>
        <w:t>Generate benchmark charts exclusively from eligible run artifacts. Show sample count, baseline, units and interval estimates; separate live data, replay and synthetic demonstrations.</w:t>
      </w:r>
    </w:p>
    <w:p>
      <w:pPr>
        <w:widowControl/>
      </w:pPr>
      <w:r>
        <w:rPr>
          <w:color w:val="000000"/>
        </w:rPr>
        <w:t>Definition of done: an observer can trace every KPI to a run and every displayed signal change to an actuator event. Configuration and manual controls show success only after backend acknowledgement.</w:t>
      </w:r>
    </w:p>
    <w:p>
      <w:pPr>
        <w:pStyle w:val="Heading2"/>
        <w:keepNext/>
        <w:widowControl/>
      </w:pPr>
      <w:r>
        <w:rPr>
          <w:color w:val="000000"/>
        </w:rPr>
        <w:t>I Experiment Runner</w:t>
      </w:r>
    </w:p>
    <w:p>
      <w:pPr>
        <w:keepNext/>
        <w:widowControl/>
      </w:pPr>
      <w:r>
        <w:rPr>
          <w:rFonts w:ascii="Liberation Sans" w:hAnsi="Liberation Sans"/>
          <w:b/>
          <w:color w:val="000000"/>
        </w:rPr>
        <w:t xml:space="preserve">Purpose: </w:t>
      </w:r>
      <w:r>
        <w:rPr>
          <w:rFonts w:ascii="Liberation Sans" w:hAnsi="Liberation Sans"/>
          <w:color w:val="000000"/>
        </w:rPr>
        <w:t>Reproducible benchmark orchestration and artifact generation.</w:t>
      </w:r>
    </w:p>
    <w:p>
      <w:pPr>
        <w:pStyle w:val="ListBullet"/>
        <w:widowControl/>
        <w:spacing w:after="40"/>
      </w:pPr>
      <w:r>
        <w:rPr>
          <w:color w:val="000000"/>
        </w:rPr>
        <w:t>The manifest must configure and reset the actual simulator, controller and actuator; record their accepted configuration and readiness before starting measurement.</w:t>
      </w:r>
    </w:p>
    <w:p>
      <w:pPr>
        <w:pStyle w:val="ListBullet"/>
        <w:widowControl/>
        <w:spacing w:after="40"/>
      </w:pPr>
      <w:r>
        <w:rPr>
          <w:color w:val="000000"/>
        </w:rPr>
        <w:t>Execute paired controller runs with identical frozen demand and seeds. Disable mock generation in evaluation; fail when no valid samples, no trips, the wrong backend or an incorrect controller is detected.</w:t>
      </w:r>
    </w:p>
    <w:p>
      <w:pPr>
        <w:pStyle w:val="ListBullet"/>
        <w:keepNext/>
        <w:widowControl/>
        <w:spacing w:after="40"/>
      </w:pPr>
      <w:r>
        <w:rPr>
          <w:color w:val="000000"/>
        </w:rPr>
        <w:t>Capture raw simulator output, signal events, configuration, code and model hashes, environment, metrics and validity status. Compare only eligible runs; retain failed runs and reasons.</w:t>
      </w:r>
    </w:p>
    <w:p>
      <w:pPr>
        <w:widowControl/>
      </w:pPr>
      <w:r>
        <w:rPr>
          <w:color w:val="000000"/>
        </w:rPr>
        <w:t>Definition of done: a clean run reproduces a scenario and its reported metrics; changing a scenario or seed changes the intended input, not just manifest labels.</w:t>
      </w:r>
    </w:p>
    <w:p>
      <w:pPr>
        <w:pStyle w:val="Heading2"/>
        <w:keepNext/>
        <w:widowControl/>
      </w:pPr>
      <w:r>
        <w:rPr>
          <w:color w:val="000000"/>
        </w:rPr>
        <w:t>J Testing CI Agent Guardrails</w:t>
      </w:r>
    </w:p>
    <w:p>
      <w:pPr>
        <w:keepNext/>
        <w:widowControl/>
      </w:pPr>
      <w:r>
        <w:rPr>
          <w:rFonts w:ascii="Liberation Sans" w:hAnsi="Liberation Sans"/>
          <w:b/>
          <w:color w:val="000000"/>
        </w:rPr>
        <w:t xml:space="preserve">Purpose: </w:t>
      </w:r>
      <w:r>
        <w:rPr>
          <w:rFonts w:ascii="Liberation Sans" w:hAnsi="Liberation Sans"/>
          <w:color w:val="000000"/>
        </w:rPr>
        <w:t>Cross-module validation, Docker smoke tests and coding-agent safety rules.</w:t>
      </w:r>
    </w:p>
    <w:p>
      <w:pPr>
        <w:pStyle w:val="ListBullet"/>
        <w:widowControl/>
        <w:spacing w:after="40"/>
      </w:pPr>
      <w:r>
        <w:rPr>
          <w:color w:val="000000"/>
        </w:rPr>
        <w:t>Keep unit and contract tests, and add behavioral tests for clocks, clearance, maximum green, expiry, wrong mappings, metric counting and forbidden fallback.</w:t>
      </w:r>
    </w:p>
    <w:p>
      <w:pPr>
        <w:pStyle w:val="ListBullet"/>
        <w:widowControl/>
        <w:spacing w:after="40"/>
      </w:pPr>
      <w:r>
        <w:rPr>
          <w:rFonts w:ascii="Liberation Sans" w:hAnsi="Liberation Sans"/>
          <w:color w:val="000000"/>
          <w:sz w:val="21"/>
        </w:rPr>
        <w:t>Validate producer/consumer contracts in CI.</w:t>
      </w:r>
    </w:p>
    <w:p>
      <w:pPr>
        <w:pStyle w:val="ListBullet"/>
        <w:widowControl/>
        <w:spacing w:after="40"/>
      </w:pPr>
      <w:r>
        <w:rPr>
          <w:rFonts w:ascii="Liberation Sans" w:hAnsi="Liberation Sans"/>
          <w:color w:val="000000"/>
          <w:sz w:val="21"/>
        </w:rPr>
        <w:t>Maintain AGENTS.md, architecture decision records and allowed-path task patterns for coding agents.</w:t>
      </w:r>
    </w:p>
    <w:p>
      <w:pPr>
        <w:pStyle w:val="ListBullet"/>
        <w:keepNext/>
        <w:widowControl/>
        <w:spacing w:after="40"/>
      </w:pPr>
      <w:r>
        <w:rPr>
          <w:color w:val="000000"/>
        </w:rPr>
        <w:t>Require an actual Docker and MQTT closed-loop smoke test before release. Mark it skipped or failed when its dependencies are unavailable; do not substitute direct function calls.</w:t>
      </w:r>
    </w:p>
    <w:p>
      <w:pPr>
        <w:widowControl/>
      </w:pPr>
      <w:r>
        <w:rPr>
          <w:color w:val="000000"/>
        </w:rPr>
        <w:t>Definition of done: evidence covers observed behavior, including injected failures. Passing schema tests does not prove traffic safety, inference accuracy or performance improvement.</w:t>
      </w:r>
    </w:p>
    <w:p>
      <w:pPr>
        <w:pStyle w:val="Heading2"/>
        <w:keepNext/>
        <w:widowControl/>
      </w:pPr>
      <w:r>
        <w:rPr>
          <w:color w:val="000000"/>
        </w:rPr>
        <w:t>K Embedded perception and physical validation</w:t>
      </w:r>
    </w:p>
    <w:p>
      <w:pPr>
        <w:widowControl/>
      </w:pPr>
      <w:r>
        <w:rPr>
          <w:color w:val="000000"/>
        </w:rPr>
        <w:t>Collect a small, documented local dataset before choosing or tuning a model. Target 6 to 10 short clips spanning low and high queues, vehicle overlap and at least two lighting conditions. Label at least 300 sampled frames and 10 one-minute counting windows as an initial dataset target. Split by recording session or camera view, not neighboring video frames. Lock the test split before tuning. Record data rights, class definitions, annotator agreement and blind spots.</w:t>
      </w:r>
    </w:p>
    <w:p>
      <w:pPr>
        <w:widowControl/>
      </w:pPr>
      <w:r>
        <w:rPr>
          <w:color w:val="000000"/>
        </w:rPr>
        <w:t>Treat model cars and road vehicles as different domains. A pretrained road detector may fail on the tabletop. Use separate held-out tabletop data if fine-tuning is needed, and validate real-road clips separately. Mixed motorcycle and car traffic should be a final-stage sensitivity study with explicit vehicle sizes and behavior assumptions, not a claim of city calibration.</w:t>
      </w:r>
    </w:p>
    <w:p>
      <w:pPr>
        <w:widowControl/>
      </w:pPr>
      <w:r>
        <w:rPr>
          <w:color w:val="000000"/>
        </w:rPr>
        <w:t>Benchmark one existing small detector first, including the YOLO11n option in the BOM. Compare its supported embedded runtime with an NCNN export if useful; current vendor guidance supports Raspberry Pi deployment, but published FPS cannot be assumed for this camera and pipeline. Record model version and export precision, and verify any quantization accuracy loss. [R8]</w:t>
      </w:r>
    </w:p>
    <w:p>
      <w:pPr>
        <w:widowControl/>
      </w:pPr>
      <w:r>
        <w:rPr>
          <w:color w:val="000000"/>
        </w:rPr>
        <w:t>Physical deliverables include schematic, MCU pin and signal map, LED drivers, current limiting, protected low-voltage power, enclosure, cable labels and a safe-stop input. Test boot, brownout or restart, camera unplug, network outage and recovery. A one-channel relay does not demonstrate compatibility with a real traffic cabinet. Public-road control requires a separate engineering and authorization process; this plan covers simulation and a laboratory prototype.</w:t>
      </w:r>
    </w:p>
    <w:p>
      <w:pPr>
        <w:pStyle w:val="Heading1"/>
        <w:keepNext/>
        <w:widowControl/>
      </w:pPr>
      <w:r>
        <w:rPr>
          <w:color w:val="000000"/>
        </w:rPr>
        <w:t>3 Shared Engineering Standards</w:t>
      </w:r>
    </w:p>
    <w:p>
      <w:pPr>
        <w:pStyle w:val="Heading2"/>
        <w:keepNext/>
        <w:widowControl/>
      </w:pPr>
      <w:r>
        <w:rPr>
          <w:color w:val="000000"/>
        </w:rPr>
        <w:t>3 1 Canonical topology and identifiers</w:t>
      </w:r>
    </w:p>
    <w:p>
      <w:pPr>
        <w:pStyle w:val="ListBullet"/>
        <w:widowControl/>
        <w:spacing w:after="40"/>
      </w:pPr>
      <w:r>
        <w:rPr>
          <w:rFonts w:ascii="Liberation Sans" w:hAnsi="Liberation Sans"/>
          <w:color w:val="000000"/>
          <w:sz w:val="21"/>
        </w:rPr>
        <w:t>Use stable human-readable IDs such as J1, J1_N_IN, J1_N_TO_E, J1_PHASE_NS and E_J1_J2_EB.</w:t>
      </w:r>
    </w:p>
    <w:p>
      <w:pPr>
        <w:pStyle w:val="ListBullet"/>
        <w:widowControl/>
        <w:spacing w:after="40"/>
      </w:pPr>
      <w:r>
        <w:rPr>
          <w:rFonts w:ascii="Liberation Sans" w:hAnsi="Liberation Sans"/>
          <w:color w:val="000000"/>
          <w:sz w:val="21"/>
        </w:rPr>
        <w:t>Never allow separate modules to invent unrelated numeric mappings without an explicit canonical mapping.</w:t>
      </w:r>
    </w:p>
    <w:p>
      <w:pPr>
        <w:pStyle w:val="ListBullet"/>
        <w:widowControl/>
        <w:spacing w:after="40"/>
      </w:pPr>
      <w:r>
        <w:rPr>
          <w:rFonts w:ascii="Liberation Sans" w:hAnsi="Liberation Sans"/>
          <w:color w:val="000000"/>
          <w:sz w:val="21"/>
        </w:rPr>
        <w:t>Keep the topology in a versioned JSON file consumed by simulator, graph-control, vision configuration, dashboard and experiments.</w:t>
      </w:r>
    </w:p>
    <w:p>
      <w:pPr>
        <w:pStyle w:val="Heading2"/>
        <w:keepNext/>
        <w:widowControl/>
      </w:pPr>
      <w:r>
        <w:rPr>
          <w:color w:val="000000"/>
        </w:rPr>
        <w:t>3 2 Standard message envelope and telemetry</w:t>
      </w:r>
    </w:p>
    <w:p>
      <w:pPr>
        <w:pStyle w:val="CodeBlock"/>
        <w:widowControl/>
      </w:pPr>
      <w:r>
        <w:rPr>
          <w:color w:val="000000"/>
        </w:rPr>
        <w:t>Target shared metadata for schema 1.1</w:t>
        <w:br/>
        <w:t>run_id, message_id, source_id, source_mode, seq</w:t>
        <w:br/>
        <w:t>timestamp_ms, simulation_time_s, validity, schema_version</w:t>
      </w:r>
    </w:p>
    <w:p>
      <w:pPr>
        <w:pStyle w:val="CodeBlock"/>
        <w:widowControl/>
      </w:pPr>
      <w:r>
        <w:rPr>
          <w:color w:val="000000"/>
        </w:rPr>
        <w:t>Telemetry retains node_id, approaches and applied phase.</w:t>
        <w:br/>
        <w:t>Each approach carries measured queue and flow plus quality.</w:t>
        <w:br/>
        <w:t>Add movement and receiving-capacity observations for pressure.</w:t>
        <w:br/>
        <w:t>Use explicit missing values when a quantity is not measured.</w:t>
      </w:r>
    </w:p>
    <w:p>
      <w:pPr>
        <w:widowControl/>
      </w:pPr>
      <w:r>
        <w:rPr>
          <w:color w:val="000000"/>
        </w:rPr>
        <w:t>This is a target contract, not a description of the current flat v1 payloads. Extend the flat payload through the shared SDK and fixtures first. A nested envelope would be a breaking change requiring a new topic version and coordinated migration. Keep provenance available to validation and experiment selection without introducing source-specific policy logic.</w:t>
      </w:r>
    </w:p>
    <w:p>
      <w:pPr>
        <w:pStyle w:val="Heading2"/>
        <w:keepNext/>
        <w:widowControl/>
      </w:pPr>
      <w:r>
        <w:rPr>
          <w:color w:val="000000"/>
        </w:rPr>
        <w:t>3 3 Control command and acknowledgement</w:t>
      </w:r>
    </w:p>
    <w:p>
      <w:pPr>
        <w:pStyle w:val="CodeBlock"/>
        <w:widowControl/>
      </w:pPr>
      <w:r>
        <w:rPr>
          <w:color w:val="000000"/>
        </w:rPr>
        <w:t>ControlCommand target additions</w:t>
        <w:br/>
        <w:t>command_id, run_id, node_id, target_phase_id, seq</w:t>
        <w:br/>
        <w:t>issued_at_ms, expires_at_ms, controller, config_version</w:t>
        <w:br/>
        <w:t>Requested timings are checked against device configuration.</w:t>
      </w:r>
    </w:p>
    <w:p>
      <w:pPr>
        <w:pStyle w:val="ListBullet"/>
        <w:widowControl/>
        <w:spacing w:after="40"/>
      </w:pPr>
      <w:r>
        <w:rPr>
          <w:rFonts w:ascii="Liberation Sans" w:hAnsi="Liberation Sans"/>
          <w:color w:val="000000"/>
          <w:sz w:val="21"/>
        </w:rPr>
        <w:t>Acknowledgement statuses: ACCEPTED, APPLIED, REJECTED, EXPIRED, FAILED.</w:t>
      </w:r>
    </w:p>
    <w:p>
      <w:pPr>
        <w:pStyle w:val="ListBullet"/>
        <w:widowControl/>
        <w:spacing w:after="40"/>
      </w:pPr>
      <w:r>
        <w:rPr>
          <w:color w:val="000000"/>
        </w:rPr>
        <w:t>ACKs distinguish request acceptance from actual actuation. Publish explicit ActuatorState events for green, yellow, all-red, elapsed phase time and pending target; these events drive SUMO and the dashboard.</w:t>
      </w:r>
    </w:p>
    <w:p>
      <w:pPr>
        <w:pStyle w:val="Heading2"/>
        <w:keepNext/>
        <w:keepLines/>
        <w:widowControl/>
      </w:pPr>
      <w:r>
        <w:rPr>
          <w:color w:val="000000"/>
        </w:rPr>
        <w:t>3 4 Units, clocks, freshness and errors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tblHeader/>
        </w:trPr>
        <w:tc>
          <w:tcPr>
            <w:tcW w:type="dxa" w:w="4032"/>
            <w:tcMar>
              <w:top w:w="70" w:type="dxa"/>
              <w:start w:w="75" w:type="dxa"/>
              <w:bottom w:w="70" w:type="dxa"/>
              <w:end w:w="75" w:type="dxa"/>
              <w:top w:w="85" w:type="dxa"/>
              <w:bottom w:w="85" w:type="dxa"/>
              <w:left w:w="100" w:type="dxa"/>
              <w:right w:w="100" w:type="dxa"/>
            </w:tcMar>
            <w:vAlign w:val="center"/>
            <w:shd w:fill="DCE6EE"/>
          </w:tcPr>
          <w:p>
            <w:pPr>
              <w:keepNext w:val="0"/>
              <w:spacing w:before="0" w:after="40" w:line="250" w:lineRule="auto"/>
              <w:jc w:val="center"/>
            </w:pPr>
            <w:r>
              <w:rPr>
                <w:rFonts w:ascii="Arial" w:hAnsi="Arial"/>
                <w:b/>
                <w:color w:val="000000"/>
                <w:sz w:val="19"/>
              </w:rPr>
              <w:t>Quantity</w:t>
            </w:r>
          </w:p>
        </w:tc>
        <w:tc>
          <w:tcPr>
            <w:tcW w:type="dxa" w:w="5184"/>
            <w:tcMar>
              <w:top w:w="70" w:type="dxa"/>
              <w:start w:w="75" w:type="dxa"/>
              <w:bottom w:w="70" w:type="dxa"/>
              <w:end w:w="75" w:type="dxa"/>
              <w:top w:w="85" w:type="dxa"/>
              <w:bottom w:w="85" w:type="dxa"/>
              <w:left w:w="100" w:type="dxa"/>
              <w:right w:w="100" w:type="dxa"/>
            </w:tcMar>
            <w:vAlign w:val="center"/>
            <w:shd w:fill="DCE6EE"/>
          </w:tcPr>
          <w:p>
            <w:pPr>
              <w:keepNext w:val="0"/>
              <w:spacing w:before="0" w:after="40" w:line="250" w:lineRule="auto"/>
              <w:jc w:val="center"/>
            </w:pPr>
            <w:r>
              <w:rPr>
                <w:rFonts w:ascii="Arial" w:hAnsi="Arial"/>
                <w:b/>
                <w:color w:val="000000"/>
                <w:sz w:val="19"/>
              </w:rPr>
              <w:t>Canonical unit</w:t>
            </w:r>
          </w:p>
        </w:tc>
      </w:tr>
      <w:tr>
        <w:trPr>
          <w:cantSplit/>
        </w:trPr>
        <w:tc>
          <w:tcPr>
            <w:tcW w:type="dxa" w:w="403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Distance</w:t>
            </w:r>
          </w:p>
        </w:tc>
        <w:tc>
          <w:tcPr>
            <w:tcW w:type="dxa" w:w="5184"/>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jc w:val="center"/>
            </w:pPr>
            <w:r>
              <w:rPr>
                <w:rFonts w:ascii="Arial" w:hAnsi="Arial"/>
                <w:b w:val="0"/>
                <w:color w:val="000000"/>
                <w:sz w:val="19"/>
              </w:rPr>
              <w:t>metres (m)</w:t>
            </w:r>
          </w:p>
        </w:tc>
      </w:tr>
      <w:tr>
        <w:trPr>
          <w:cantSplit/>
        </w:trPr>
        <w:tc>
          <w:tcPr>
            <w:tcW w:type="dxa" w:w="403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Speed</w:t>
            </w:r>
          </w:p>
        </w:tc>
        <w:tc>
          <w:tcPr>
            <w:tcW w:type="dxa" w:w="5184"/>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jc w:val="center"/>
            </w:pPr>
            <w:r>
              <w:rPr>
                <w:rFonts w:ascii="Arial" w:hAnsi="Arial"/>
                <w:b w:val="0"/>
                <w:color w:val="000000"/>
                <w:sz w:val="19"/>
              </w:rPr>
              <w:t>m/s</w:t>
            </w:r>
          </w:p>
        </w:tc>
      </w:tr>
      <w:tr>
        <w:trPr>
          <w:cantSplit/>
        </w:trPr>
        <w:tc>
          <w:tcPr>
            <w:tcW w:type="dxa" w:w="403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Flow</w:t>
            </w:r>
          </w:p>
        </w:tc>
        <w:tc>
          <w:tcPr>
            <w:tcW w:type="dxa" w:w="5184"/>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jc w:val="center"/>
            </w:pPr>
            <w:r>
              <w:rPr>
                <w:rFonts w:ascii="Arial" w:hAnsi="Arial"/>
                <w:b w:val="0"/>
                <w:color w:val="000000"/>
                <w:sz w:val="19"/>
              </w:rPr>
              <w:t>vehicles/s</w:t>
            </w:r>
          </w:p>
        </w:tc>
      </w:tr>
      <w:tr>
        <w:trPr>
          <w:cantSplit/>
        </w:trPr>
        <w:tc>
          <w:tcPr>
            <w:tcW w:type="dxa" w:w="403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Density</w:t>
            </w:r>
          </w:p>
        </w:tc>
        <w:tc>
          <w:tcPr>
            <w:tcW w:type="dxa" w:w="5184"/>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jc w:val="center"/>
            </w:pPr>
            <w:r>
              <w:rPr>
                <w:rFonts w:ascii="Arial" w:hAnsi="Arial"/>
                <w:b w:val="0"/>
                <w:color w:val="000000"/>
                <w:sz w:val="19"/>
              </w:rPr>
              <w:t>vehicles/m</w:t>
            </w:r>
          </w:p>
        </w:tc>
      </w:tr>
      <w:tr>
        <w:trPr>
          <w:cantSplit/>
        </w:trPr>
        <w:tc>
          <w:tcPr>
            <w:tcW w:type="dxa" w:w="403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Queue</w:t>
            </w:r>
          </w:p>
        </w:tc>
        <w:tc>
          <w:tcPr>
            <w:tcW w:type="dxa" w:w="5184"/>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jc w:val="center"/>
            </w:pPr>
            <w:r>
              <w:rPr>
                <w:rFonts w:ascii="Arial" w:hAnsi="Arial"/>
                <w:b w:val="0"/>
                <w:color w:val="000000"/>
                <w:sz w:val="19"/>
              </w:rPr>
              <w:t>vehicles</w:t>
            </w:r>
          </w:p>
        </w:tc>
      </w:tr>
      <w:tr>
        <w:trPr>
          <w:cantSplit/>
        </w:trPr>
        <w:tc>
          <w:tcPr>
            <w:tcW w:type="dxa" w:w="403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Duration</w:t>
            </w:r>
          </w:p>
        </w:tc>
        <w:tc>
          <w:tcPr>
            <w:tcW w:type="dxa" w:w="5184"/>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jc w:val="center"/>
            </w:pPr>
            <w:r>
              <w:rPr>
                <w:rFonts w:ascii="Arial" w:hAnsi="Arial"/>
                <w:b w:val="0"/>
                <w:color w:val="000000"/>
                <w:sz w:val="19"/>
              </w:rPr>
              <w:t>seconds</w:t>
            </w:r>
          </w:p>
        </w:tc>
      </w:tr>
      <w:tr>
        <w:trPr>
          <w:cantSplit/>
        </w:trPr>
        <w:tc>
          <w:tcPr>
            <w:tcW w:type="dxa" w:w="403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Latency</w:t>
            </w:r>
          </w:p>
        </w:tc>
        <w:tc>
          <w:tcPr>
            <w:tcW w:type="dxa" w:w="5184"/>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jc w:val="center"/>
            </w:pPr>
            <w:r>
              <w:rPr>
                <w:rFonts w:ascii="Arial" w:hAnsi="Arial"/>
                <w:b w:val="0"/>
                <w:color w:val="000000"/>
                <w:sz w:val="19"/>
              </w:rPr>
              <w:t>milliseconds</w:t>
            </w:r>
          </w:p>
        </w:tc>
      </w:tr>
      <w:tr>
        <w:trPr>
          <w:cantSplit/>
        </w:trPr>
        <w:tc>
          <w:tcPr>
            <w:tcW w:type="dxa" w:w="403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Occupancy / confidence</w:t>
            </w:r>
          </w:p>
        </w:tc>
        <w:tc>
          <w:tcPr>
            <w:tcW w:type="dxa" w:w="5184"/>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jc w:val="center"/>
            </w:pPr>
            <w:r>
              <w:rPr>
                <w:rFonts w:ascii="Arial" w:hAnsi="Arial"/>
                <w:b w:val="0"/>
                <w:color w:val="000000"/>
                <w:sz w:val="19"/>
              </w:rPr>
              <w:t>ratio 0-1</w:t>
            </w:r>
          </w:p>
        </w:tc>
      </w:tr>
      <w:tr>
        <w:trPr>
          <w:cantSplit/>
        </w:trPr>
        <w:tc>
          <w:tcPr>
            <w:tcW w:type="dxa" w:w="403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Timestamp</w:t>
            </w:r>
          </w:p>
        </w:tc>
        <w:tc>
          <w:tcPr>
            <w:tcW w:type="dxa" w:w="5184"/>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UTC Unix milliseconds</w:t>
            </w:r>
          </w:p>
        </w:tc>
      </w:tr>
    </w:tbl>
    <w:p>
      <w:pPr>
        <w:pStyle w:val="ListBullet"/>
        <w:widowControl/>
        <w:spacing w:after="40" w:before="120"/>
      </w:pPr>
      <w:r>
        <w:rPr>
          <w:color w:val="000000"/>
        </w:rPr>
        <w:t>Use UTC milliseconds for message capture and tracing. Use a monotonic clock for physical durations and the simulation clock for all simulation decisions, phase durations and KPI windows. Do not use sim_time_s multiplied by 1000 as a Unix timestamp.</w:t>
      </w:r>
    </w:p>
    <w:p>
      <w:pPr>
        <w:pStyle w:val="ListBullet"/>
        <w:widowControl/>
        <w:spacing w:after="40"/>
      </w:pPr>
      <w:r>
        <w:rPr>
          <w:color w:val="000000"/>
        </w:rPr>
        <w:t>Initial design settings: telemetry every 1 second and stale after 3 seconds. Freshness uses capture time and receive age; account for clock synchronization uncertainty. Test at least 1, 3 and 5 seconds of delay. These are laboratory settings to validate, not prescribed road timing.</w:t>
      </w:r>
    </w:p>
    <w:p>
      <w:pPr>
        <w:pStyle w:val="ListBullet"/>
        <w:widowControl/>
        <w:spacing w:after="40"/>
      </w:pPr>
      <w:r>
        <w:rPr>
          <w:rFonts w:ascii="Liberation Sans" w:hAnsi="Liberation Sans"/>
          <w:color w:val="000000"/>
          <w:sz w:val="21"/>
        </w:rPr>
        <w:t>Canonical errors: E_SCHEMA_INVALID, E_UNKNOWN_NODE, E_UNKNOWN_EDGE, E_UNKNOWN_PHASE, E_STALE_TELEMETRY, E_CONTROLLER_TIMEOUT, E_INVALID_COMMAND, E_BROKER_DISCONNECTED, E_SENSOR_UNAVAILABLE, E_SIMULATOR_UNAVAILABLE.</w:t>
      </w:r>
    </w:p>
    <w:p>
      <w:pPr>
        <w:pStyle w:val="Heading2"/>
        <w:keepNext/>
        <w:keepLines/>
        <w:widowControl/>
      </w:pPr>
      <w:r>
        <w:rPr>
          <w:color w:val="000000"/>
        </w:rPr>
        <w:t>3 5 MQTT, REST and WebSocket responsibilities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tblHeader/>
        </w:trPr>
        <w:tc>
          <w:tcPr>
            <w:tcW w:type="dxa" w:w="2592"/>
            <w:tcMar>
              <w:top w:w="70" w:type="dxa"/>
              <w:start w:w="75" w:type="dxa"/>
              <w:bottom w:w="70" w:type="dxa"/>
              <w:end w:w="75" w:type="dxa"/>
              <w:top w:w="85" w:type="dxa"/>
              <w:bottom w:w="85" w:type="dxa"/>
              <w:left w:w="100" w:type="dxa"/>
              <w:right w:w="100" w:type="dxa"/>
            </w:tcMar>
            <w:vAlign w:val="center"/>
            <w:shd w:fill="DCE6EE"/>
          </w:tcPr>
          <w:p>
            <w:pPr>
              <w:keepNext/>
              <w:spacing w:before="0" w:after="40" w:line="250" w:lineRule="auto"/>
              <w:jc w:val="center"/>
            </w:pPr>
            <w:r>
              <w:rPr>
                <w:rFonts w:ascii="Arial" w:hAnsi="Arial"/>
                <w:b/>
                <w:color w:val="000000"/>
                <w:sz w:val="19"/>
              </w:rPr>
              <w:t>Mechanism</w:t>
            </w:r>
          </w:p>
        </w:tc>
        <w:tc>
          <w:tcPr>
            <w:tcW w:type="dxa" w:w="6624"/>
            <w:tcMar>
              <w:top w:w="70" w:type="dxa"/>
              <w:start w:w="75" w:type="dxa"/>
              <w:bottom w:w="70" w:type="dxa"/>
              <w:end w:w="75" w:type="dxa"/>
              <w:top w:w="85" w:type="dxa"/>
              <w:bottom w:w="85" w:type="dxa"/>
              <w:left w:w="100" w:type="dxa"/>
              <w:right w:w="100" w:type="dxa"/>
            </w:tcMar>
            <w:vAlign w:val="center"/>
            <w:shd w:fill="DCE6EE"/>
          </w:tcPr>
          <w:p>
            <w:pPr>
              <w:keepNext/>
              <w:spacing w:before="0" w:after="40" w:line="250" w:lineRule="auto"/>
              <w:jc w:val="center"/>
            </w:pPr>
            <w:r>
              <w:rPr>
                <w:rFonts w:ascii="Arial" w:hAnsi="Arial"/>
                <w:b/>
                <w:color w:val="000000"/>
                <w:sz w:val="19"/>
              </w:rPr>
              <w:t>Use</w:t>
            </w:r>
          </w:p>
        </w:tc>
      </w:tr>
      <w:tr>
        <w:trPr>
          <w:cantSplit/>
        </w:trPr>
        <w:tc>
          <w:tcPr>
            <w:tcW w:type="dxa" w:w="2592"/>
            <w:vAlign w:val="center"/>
            <w:tcMar>
              <w:top w:w="60" w:type="dxa"/>
              <w:start w:w="70" w:type="dxa"/>
              <w:bottom w:w="60" w:type="dxa"/>
              <w:end w:w="70" w:type="dxa"/>
              <w:top w:w="85" w:type="dxa"/>
              <w:bottom w:w="85" w:type="dxa"/>
              <w:left w:w="100" w:type="dxa"/>
              <w:right w:w="100" w:type="dxa"/>
            </w:tcMar>
            <w:shd w:fill="FFFFFF"/>
          </w:tcPr>
          <w:p>
            <w:pPr>
              <w:keepNext/>
              <w:spacing w:before="0" w:after="40" w:line="250" w:lineRule="auto"/>
            </w:pPr>
            <w:r>
              <w:rPr>
                <w:rFonts w:ascii="Arial" w:hAnsi="Arial"/>
                <w:b w:val="0"/>
                <w:color w:val="000000"/>
                <w:sz w:val="19"/>
              </w:rPr>
              <w:t>MQTT</w:t>
            </w:r>
          </w:p>
        </w:tc>
        <w:tc>
          <w:tcPr>
            <w:tcW w:type="dxa" w:w="6624"/>
            <w:vAlign w:val="center"/>
            <w:tcMar>
              <w:top w:w="60" w:type="dxa"/>
              <w:start w:w="70" w:type="dxa"/>
              <w:bottom w:w="60" w:type="dxa"/>
              <w:end w:w="70" w:type="dxa"/>
              <w:top w:w="85" w:type="dxa"/>
              <w:bottom w:w="85" w:type="dxa"/>
              <w:left w:w="100" w:type="dxa"/>
              <w:right w:w="100" w:type="dxa"/>
            </w:tcMar>
            <w:shd w:fill="FFFFFF"/>
          </w:tcPr>
          <w:p>
            <w:pPr>
              <w:keepNext/>
              <w:spacing w:before="0" w:after="40" w:line="250" w:lineRule="auto"/>
            </w:pPr>
            <w:r>
              <w:rPr>
                <w:rFonts w:ascii="Arial" w:hAnsi="Arial"/>
                <w:b w:val="0"/>
                <w:color w:val="000000"/>
                <w:sz w:val="19"/>
              </w:rPr>
              <w:t>Telemetry, control commands, acknowledgements, state events, live metrics and health events</w:t>
            </w:r>
          </w:p>
        </w:tc>
      </w:tr>
      <w:tr>
        <w:trPr>
          <w:cantSplit/>
        </w:trPr>
        <w:tc>
          <w:tcPr>
            <w:tcW w:type="dxa" w:w="2592"/>
            <w:vAlign w:val="center"/>
            <w:tcMar>
              <w:top w:w="60" w:type="dxa"/>
              <w:start w:w="70" w:type="dxa"/>
              <w:bottom w:w="60" w:type="dxa"/>
              <w:end w:w="70" w:type="dxa"/>
              <w:top w:w="85" w:type="dxa"/>
              <w:bottom w:w="85" w:type="dxa"/>
              <w:left w:w="100" w:type="dxa"/>
              <w:right w:w="100" w:type="dxa"/>
            </w:tcMar>
            <w:shd w:fill="FFFFFF"/>
          </w:tcPr>
          <w:p>
            <w:pPr>
              <w:keepNext/>
              <w:spacing w:before="0" w:after="40" w:line="250" w:lineRule="auto"/>
            </w:pPr>
            <w:r>
              <w:rPr>
                <w:rFonts w:ascii="Arial" w:hAnsi="Arial"/>
                <w:b w:val="0"/>
                <w:color w:val="000000"/>
                <w:sz w:val="19"/>
              </w:rPr>
              <w:t>REST / FastAPI</w:t>
            </w:r>
          </w:p>
        </w:tc>
        <w:tc>
          <w:tcPr>
            <w:tcW w:type="dxa" w:w="6624"/>
            <w:vAlign w:val="center"/>
            <w:tcMar>
              <w:top w:w="60" w:type="dxa"/>
              <w:start w:w="70" w:type="dxa"/>
              <w:bottom w:w="60" w:type="dxa"/>
              <w:end w:w="70" w:type="dxa"/>
              <w:top w:w="85" w:type="dxa"/>
              <w:bottom w:w="85" w:type="dxa"/>
              <w:left w:w="100" w:type="dxa"/>
              <w:right w:w="100" w:type="dxa"/>
            </w:tcMar>
            <w:shd w:fill="FFFFFF"/>
          </w:tcPr>
          <w:p>
            <w:pPr>
              <w:keepNext/>
              <w:spacing w:before="0" w:after="40" w:line="250" w:lineRule="auto"/>
            </w:pPr>
            <w:r>
              <w:rPr>
                <w:rFonts w:ascii="Arial" w:hAnsi="Arial"/>
                <w:b w:val="0"/>
                <w:color w:val="000000"/>
                <w:sz w:val="19"/>
              </w:rPr>
              <w:t>Experiment creation/configuration, controller selection, historical queries, health/debug endpoints</w:t>
            </w:r>
          </w:p>
        </w:tc>
      </w:tr>
      <w:tr>
        <w:trPr>
          <w:cantSplit/>
        </w:trPr>
        <w:tc>
          <w:tcPr>
            <w:tcW w:type="dxa" w:w="259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WebSocket</w:t>
            </w:r>
          </w:p>
        </w:tc>
        <w:tc>
          <w:tcPr>
            <w:tcW w:type="dxa" w:w="6624"/>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Live dashboard updates</w:t>
            </w:r>
          </w:p>
        </w:tc>
      </w:tr>
    </w:tbl>
    <w:p>
      <w:pPr>
        <w:pStyle w:val="CodeBlock"/>
        <w:widowControl/>
        <w:spacing w:before="120"/>
      </w:pPr>
      <w:r>
        <w:rPr>
          <w:rFonts w:ascii="Liberation Mono" w:hAnsi="Liberation Mono"/>
          <w:color w:val="000000"/>
          <w:sz w:val="18"/>
        </w:rPr>
        <w:t>edgeflow/v1/telemetry/{node_id}</w:t>
        <w:br/>
      </w:r>
      <w:r>
        <w:rPr>
          <w:rFonts w:ascii="Liberation Mono" w:hAnsi="Liberation Mono"/>
          <w:color w:val="000000"/>
          <w:sz w:val="18"/>
        </w:rPr>
        <w:t>edgeflow/v1/control/{node_id}/command</w:t>
        <w:br/>
      </w:r>
      <w:r>
        <w:rPr>
          <w:rFonts w:ascii="Liberation Mono" w:hAnsi="Liberation Mono"/>
          <w:color w:val="000000"/>
          <w:sz w:val="18"/>
        </w:rPr>
        <w:t>edgeflow/v1/control/{node_id}/ack</w:t>
        <w:br/>
      </w:r>
      <w:r>
        <w:rPr>
          <w:rFonts w:ascii="Liberation Mono" w:hAnsi="Liberation Mono"/>
          <w:color w:val="000000"/>
          <w:sz w:val="18"/>
        </w:rPr>
        <w:t>edgeflow/v1/network/state</w:t>
        <w:br/>
      </w:r>
      <w:r>
        <w:rPr>
          <w:rFonts w:ascii="Liberation Mono" w:hAnsi="Liberation Mono"/>
          <w:color w:val="000000"/>
          <w:sz w:val="18"/>
        </w:rPr>
        <w:t>edgeflow/v1/metrics/network</w:t>
        <w:br/>
      </w:r>
      <w:r>
        <w:rPr>
          <w:rFonts w:ascii="Liberation Mono" w:hAnsi="Liberation Mono"/>
          <w:color w:val="000000"/>
          <w:sz w:val="18"/>
        </w:rPr>
        <w:t>edgeflow/v1/health/{service}</w:t>
        <w:br/>
      </w:r>
      <w:r>
        <w:rPr>
          <w:rFonts w:ascii="Liberation Mono" w:hAnsi="Liberation Mono"/>
          <w:color w:val="000000"/>
          <w:sz w:val="18"/>
        </w:rPr>
        <w:t>edgeflow/v1/events</w:t>
      </w:r>
    </w:p>
    <w:p>
      <w:pPr>
        <w:pStyle w:val="Heading2"/>
        <w:keepNext/>
        <w:keepLines/>
        <w:widowControl/>
      </w:pPr>
      <w:r>
        <w:rPr>
          <w:color w:val="000000"/>
        </w:rPr>
        <w:t>3 6 Traffic measurement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08"/>
      </w:tblGrid>
      <w:tr>
        <w:trPr>
          <w:cantSplit/>
          <w:tblHeader/>
        </w:trPr>
        <w:tc>
          <w:tcPr>
            <w:tcW w:type="dxa" w:w="1944"/>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Quantity</w:t>
            </w:r>
          </w:p>
        </w:tc>
        <w:tc>
          <w:tcPr>
            <w:tcW w:type="dxa" w:w="8208"/>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Required meaning and measurement</w:t>
            </w:r>
          </w:p>
        </w:tc>
      </w:tr>
      <w:tr>
        <w:trPr>
          <w:cantSplit/>
        </w:trPr>
        <w:tc>
          <w:tcPr>
            <w:tcW w:type="dxa" w:w="194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Queue</w:t>
            </w:r>
          </w:p>
        </w:tc>
        <w:tc>
          <w:tcPr>
            <w:tcW w:type="dxa" w:w="820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SUMO halting count uses its documented speed threshold. Vision uses a declared calibrated stop threshold and dwell time. Report both definitions and their agreement. [R5]</w:t>
            </w:r>
          </w:p>
        </w:tc>
      </w:tr>
      <w:tr>
        <w:trPr>
          <w:cantSplit/>
        </w:trPr>
        <w:tc>
          <w:tcPr>
            <w:tcW w:type="dxa" w:w="194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Flow</w:t>
            </w:r>
          </w:p>
        </w:tc>
        <w:tc>
          <w:tcPr>
            <w:tcW w:type="dxa" w:w="820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Unique vehicles crossing a named boundary divided by the observation window in seconds. Do not divide the number currently on an edge by one second.</w:t>
            </w:r>
          </w:p>
        </w:tc>
      </w:tr>
      <w:tr>
        <w:trPr>
          <w:cantSplit/>
        </w:trPr>
        <w:tc>
          <w:tcPr>
            <w:tcW w:type="dxa" w:w="194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Network throughput</w:t>
            </w:r>
          </w:p>
        </w:tc>
        <w:tc>
          <w:tcPr>
            <w:tcW w:type="dxa" w:w="820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Distinct vehicles completing or crossing the declared network exits per measurement second. Never sum the same vehicle at successive intersections.</w:t>
            </w:r>
          </w:p>
        </w:tc>
      </w:tr>
      <w:tr>
        <w:trPr>
          <w:cantSplit/>
        </w:trPr>
        <w:tc>
          <w:tcPr>
            <w:tcW w:type="dxa" w:w="194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Delay and travel time</w:t>
            </w:r>
          </w:p>
        </w:tc>
        <w:tc>
          <w:tcPr>
            <w:tcW w:type="dxa" w:w="820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Use per-vehicle waitingTime, timeLoss, duration and departDelay, with a declared cohort and completion rate. Queue divided by flow is not the primary delay estimator for changing traffic. [R6]</w:t>
            </w:r>
          </w:p>
        </w:tc>
      </w:tr>
      <w:tr>
        <w:trPr>
          <w:cantSplit/>
        </w:trPr>
        <w:tc>
          <w:tcPr>
            <w:tcW w:type="dxa" w:w="194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Occupancy and storage</w:t>
            </w:r>
          </w:p>
        </w:tc>
        <w:tc>
          <w:tcPr>
            <w:tcW w:type="dxa" w:w="820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Convert the SUMO occupancy percentage to ratio. Keep image area, detector time occupancy and storage utilization as distinct fields; estimate physical receiving space separately.</w:t>
            </w:r>
          </w:p>
        </w:tc>
      </w:tr>
      <w:tr>
        <w:trPr>
          <w:cantSplit/>
        </w:trPr>
        <w:tc>
          <w:tcPr>
            <w:tcW w:type="dxa" w:w="194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Stopped vehicles</w:t>
            </w:r>
          </w:p>
        </w:tc>
        <w:tc>
          <w:tcPr>
            <w:tcW w:type="dxa" w:w="8208"/>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Count unique stopped vehicle IDs or stop episodes as named. Summing stopped counts at every sample yields vehicle-samples, not unique vehicles.</w:t>
            </w:r>
          </w:p>
        </w:tc>
      </w:tr>
    </w:tbl>
    <w:p>
      <w:pPr>
        <w:pStyle w:val="Heading1"/>
        <w:keepNext/>
        <w:widowControl/>
      </w:pPr>
      <w:r>
        <w:rPr>
          <w:color w:val="000000"/>
        </w:rPr>
        <w:t>4 Development Environment, Repository and Agent Workflow</w:t>
      </w:r>
    </w:p>
    <w:p>
      <w:pPr>
        <w:pStyle w:val="Heading2"/>
        <w:keepNext/>
        <w:widowControl/>
      </w:pPr>
      <w:r>
        <w:rPr>
          <w:color w:val="000000"/>
        </w:rPr>
        <w:t>4 1 Docker Compose baseline</w:t>
      </w:r>
    </w:p>
    <w:p>
      <w:pPr>
        <w:pStyle w:val="ListBullet"/>
        <w:widowControl/>
        <w:spacing w:after="40"/>
      </w:pPr>
      <w:r>
        <w:rPr>
          <w:rFonts w:ascii="Liberation Sans" w:hAnsi="Liberation Sans"/>
          <w:color w:val="000000"/>
          <w:sz w:val="21"/>
        </w:rPr>
        <w:t>Use Docker Compose, not Kubernetes, for the competition development stack.</w:t>
      </w:r>
    </w:p>
    <w:p>
      <w:pPr>
        <w:pStyle w:val="ListBullet"/>
        <w:widowControl/>
        <w:spacing w:after="40"/>
      </w:pPr>
      <w:r>
        <w:rPr>
          <w:rFonts w:ascii="Liberation Sans" w:hAnsi="Liberation Sans"/>
          <w:color w:val="000000"/>
          <w:sz w:val="21"/>
        </w:rPr>
        <w:t>Canonical service names: mqtt, api, graph-control, simulator, vision, actuator, dashboard.</w:t>
      </w:r>
    </w:p>
    <w:p>
      <w:pPr>
        <w:pStyle w:val="ListBullet"/>
        <w:widowControl/>
        <w:spacing w:after="40"/>
      </w:pPr>
      <w:r>
        <w:rPr>
          <w:color w:val="000000"/>
        </w:rPr>
        <w:t>Development profiles remain simulation, vision, hardware and dev. Add a complete experiment profile only after dependencies and run isolation are verified.</w:t>
      </w:r>
    </w:p>
    <w:p>
      <w:pPr>
        <w:pStyle w:val="ListBullet"/>
        <w:widowControl/>
        <w:spacing w:after="40"/>
      </w:pPr>
      <w:r>
        <w:rPr>
          <w:rFonts w:ascii="Liberation Sans" w:hAnsi="Liberation Sans"/>
          <w:color w:val="000000"/>
          <w:sz w:val="21"/>
        </w:rPr>
        <w:t>Physical processes do not need to be containerized if they implement the same contracts.</w:t>
      </w:r>
    </w:p>
    <w:p>
      <w:pPr>
        <w:pStyle w:val="CodeBlock"/>
        <w:widowControl/>
      </w:pPr>
      <w:r>
        <w:rPr>
          <w:rFonts w:ascii="Liberation Mono" w:hAnsi="Liberation Mono"/>
          <w:color w:val="000000"/>
          <w:sz w:val="18"/>
        </w:rPr>
        <w:t>docker compose --profile simulation up --build</w:t>
      </w:r>
    </w:p>
    <w:p>
      <w:pPr>
        <w:pStyle w:val="Heading2"/>
        <w:keepNext/>
        <w:widowControl/>
      </w:pPr>
      <w:r>
        <w:rPr>
          <w:color w:val="000000"/>
        </w:rPr>
        <w:t>4 2 Repository structure</w:t>
      </w:r>
    </w:p>
    <w:p>
      <w:pPr>
        <w:widowControl/>
      </w:pPr>
      <w:r>
        <w:rPr>
          <w:color w:val="000000"/>
        </w:rPr>
        <w:t>Retain the existing services/experiment-runner/ location and shared contracts/ package. Add experiments/ for frozen input manifests and demand; add hardware/ for firmware, schematics and wiring. Keep raw run artifacts separate from generated comparison reports. Update Makefile and the setup guide together when an entry point changes.</w:t>
      </w:r>
    </w:p>
    <w:p>
      <w:pPr>
        <w:pStyle w:val="Heading2"/>
        <w:keepNext/>
        <w:widowControl/>
      </w:pPr>
      <w:r>
        <w:rPr>
          <w:color w:val="000000"/>
        </w:rPr>
        <w:t>4 3 Coding agent guardrails</w:t>
      </w:r>
    </w:p>
    <w:p>
      <w:pPr>
        <w:widowControl/>
        <w:spacing w:after="40"/>
        <w:ind w:left="317" w:hanging="317"/>
      </w:pPr>
      <w:r>
        <w:rPr>
          <w:rFonts w:ascii="Liberation Sans" w:hAnsi="Liberation Sans"/>
          <w:color w:val="000000"/>
          <w:sz w:val="21"/>
        </w:rPr>
        <w:t>1.  Never redefine canonical schemas inside a service; use generated contract types.</w:t>
      </w:r>
    </w:p>
    <w:p>
      <w:pPr>
        <w:widowControl/>
        <w:spacing w:after="40"/>
        <w:ind w:left="317" w:hanging="317"/>
      </w:pPr>
      <w:r>
        <w:rPr>
          <w:rFonts w:ascii="Liberation Sans" w:hAnsi="Liberation Sans"/>
          <w:color w:val="000000"/>
          <w:sz w:val="21"/>
        </w:rPr>
        <w:t>2.  Do not directly import implementation code from another microservice.</w:t>
      </w:r>
    </w:p>
    <w:p>
      <w:pPr>
        <w:widowControl/>
        <w:spacing w:after="40"/>
        <w:ind w:left="317" w:hanging="317"/>
      </w:pPr>
      <w:r>
        <w:rPr>
          <w:rFonts w:ascii="Liberation Sans" w:hAnsi="Liberation Sans"/>
          <w:color w:val="000000"/>
          <w:sz w:val="21"/>
        </w:rPr>
        <w:t>3.  Communicate across services only through documented MQTT/HTTP contracts.</w:t>
      </w:r>
    </w:p>
    <w:p>
      <w:pPr>
        <w:widowControl/>
        <w:spacing w:after="40"/>
        <w:ind w:left="317" w:hanging="317"/>
      </w:pPr>
      <w:r>
        <w:rPr>
          <w:rFonts w:ascii="Liberation Sans" w:hAnsi="Liberation Sans"/>
          <w:color w:val="000000"/>
          <w:sz w:val="21"/>
        </w:rPr>
        <w:t>4.  Do not change canonical IDs, units, topics or schemas without updating contracts and tests.</w:t>
      </w:r>
    </w:p>
    <w:p>
      <w:pPr>
        <w:widowControl/>
        <w:spacing w:after="40"/>
        <w:ind w:left="317" w:hanging="317"/>
      </w:pPr>
      <w:r>
        <w:rPr>
          <w:rFonts w:ascii="Liberation Sans" w:hAnsi="Liberation Sans"/>
          <w:color w:val="000000"/>
          <w:sz w:val="21"/>
        </w:rPr>
        <w:t>5.  Keep controllers behind one common controller interface.</w:t>
      </w:r>
    </w:p>
    <w:p>
      <w:pPr>
        <w:widowControl/>
        <w:spacing w:after="40"/>
        <w:ind w:left="317" w:hanging="317"/>
      </w:pPr>
      <w:r>
        <w:rPr>
          <w:rFonts w:ascii="Liberation Sans" w:hAnsi="Liberation Sans"/>
          <w:color w:val="000000"/>
          <w:sz w:val="21"/>
        </w:rPr>
        <w:t>6.  Keep simulator, vision and future sensors behind common telemetry semantics.</w:t>
      </w:r>
    </w:p>
    <w:p>
      <w:pPr>
        <w:widowControl/>
        <w:spacing w:after="40"/>
        <w:ind w:left="317" w:hanging="317"/>
      </w:pPr>
      <w:r>
        <w:rPr>
          <w:rFonts w:ascii="Liberation Sans" w:hAnsi="Liberation Sans"/>
          <w:color w:val="000000"/>
          <w:sz w:val="21"/>
        </w:rPr>
        <w:t>7.  Keep virtual and physical actuators behind the common command interface.</w:t>
      </w:r>
    </w:p>
    <w:p>
      <w:pPr>
        <w:widowControl/>
        <w:spacing w:after="40"/>
        <w:ind w:left="317" w:hanging="317"/>
      </w:pPr>
      <w:r>
        <w:rPr>
          <w:rFonts w:ascii="Liberation Sans" w:hAnsi="Liberation Sans"/>
          <w:color w:val="000000"/>
          <w:sz w:val="21"/>
        </w:rPr>
        <w:t>8.  Limit agent tasks to explicit modules/paths and acceptance criteria; avoid unrelated cross-service edits.</w:t>
      </w:r>
    </w:p>
    <w:p>
      <w:pPr>
        <w:widowControl/>
        <w:spacing w:after="40"/>
        <w:ind w:left="317" w:hanging="317"/>
      </w:pPr>
      <w:r>
        <w:rPr>
          <w:rFonts w:ascii="Liberation Sans" w:hAnsi="Liberation Sans"/>
          <w:color w:val="000000"/>
          <w:sz w:val="21"/>
        </w:rPr>
        <w:t>9.  Require contract tests and Docker integration smoke tests before merge.</w:t>
      </w:r>
    </w:p>
    <w:p>
      <w:pPr>
        <w:pStyle w:val="Heading2"/>
        <w:keepNext/>
        <w:widowControl/>
      </w:pPr>
      <w:r>
        <w:rPr>
          <w:color w:val="000000"/>
        </w:rPr>
        <w:t>4 4 Immediate integration repairs</w:t>
      </w:r>
    </w:p>
    <w:p>
      <w:pPr>
        <w:widowControl/>
      </w:pPr>
      <w:r>
        <w:rPr>
          <w:color w:val="000000"/>
        </w:rPr>
        <w:t>Fix the missing contracts mount for the vision container. The experiment profile currently depends on mqtt without enabling that profile on the broker; define a complete runnable evaluation stack. Repair make experiment, which refers to experiment_runner.runner and a --manifest argument that do not match the current service path and CLI. Prevent the dev profile from publishing simulator and vision observations for the same node concurrently.</w:t>
      </w:r>
    </w:p>
    <w:p>
      <w:pPr>
        <w:widowControl/>
      </w:pPr>
      <w:r>
        <w:rPr>
          <w:color w:val="000000"/>
        </w:rPr>
        <w:t>Pin a working Python, SUMO and dependency set; provide a clean-machine setup check. Record resolved versions and hashes in each run. Preserve the existing AGENTS.md boundaries and review any shared-contract change across every consumer. No source-code modifications were made as part of this planning review.</w:t>
      </w:r>
    </w:p>
    <w:p>
      <w:pPr>
        <w:pStyle w:val="Heading1"/>
        <w:keepNext/>
        <w:widowControl/>
      </w:pPr>
      <w:r>
        <w:rPr>
          <w:color w:val="000000"/>
        </w:rPr>
        <w:t>5 Implementation Roadmap and Validation</w:t>
      </w:r>
    </w:p>
    <w:p>
      <w:pPr>
        <w:pStyle w:val="Heading2"/>
        <w:keepNext/>
        <w:widowControl/>
      </w:pPr>
      <w:r>
        <w:rPr>
          <w:color w:val="000000"/>
        </w:rPr>
        <w:t>5 1 Calendar and acceptance gates</w:t>
      </w:r>
    </w:p>
    <w:p>
      <w:pPr>
        <w:keepNext/>
        <w:keepLines/>
        <w:widowControl/>
      </w:pPr>
      <w:r>
        <w:rPr>
          <w:color w:val="000000"/>
        </w:rPr>
        <w:t>Schedule from 22 September 2026. Semifinals are scheduled for 19 to 24 October and the final is provisionally 25 November. The supplied rules require each report one week before the relevant contest day. Use 11 October as the internal semifinal report deadline, ahead of the earliest implied external deadline of 12 October. Confirm the team-specific day and current template from organizer communications. The provisional final report date is 18 November if the final date remains unchanged. [F4, R1]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464"/>
        <w:gridCol w:w="4176"/>
      </w:tblGrid>
      <w:tr>
        <w:trPr>
          <w:cantSplit/>
          <w:tblHeader/>
        </w:trPr>
        <w:tc>
          <w:tcPr>
            <w:tcW w:type="dxa" w:w="1512"/>
            <w:vAlign w:val="center"/>
            <w:shd w:fill="DCE6EE"/>
            <w:tcMar>
              <w:top w:w="85" w:type="dxa"/>
              <w:bottom w:w="85" w:type="dxa"/>
              <w:left w:w="100" w:type="dxa"/>
              <w:right w:w="100" w:type="dxa"/>
            </w:tcMar>
          </w:tcPr>
          <w:p>
            <w:pPr>
              <w:keepNext w:val="0"/>
              <w:spacing w:before="0" w:after="40" w:line="250" w:lineRule="auto"/>
            </w:pPr>
            <w:r>
              <w:rPr>
                <w:rFonts w:ascii="Arial" w:hAnsi="Arial"/>
                <w:b/>
                <w:color w:val="000000"/>
                <w:sz w:val="19"/>
              </w:rPr>
              <w:t>Dates</w:t>
            </w:r>
          </w:p>
        </w:tc>
        <w:tc>
          <w:tcPr>
            <w:tcW w:type="dxa" w:w="4464"/>
            <w:vAlign w:val="center"/>
            <w:shd w:fill="DCE6EE"/>
            <w:tcMar>
              <w:top w:w="85" w:type="dxa"/>
              <w:bottom w:w="85" w:type="dxa"/>
              <w:left w:w="100" w:type="dxa"/>
              <w:right w:w="100" w:type="dxa"/>
            </w:tcMar>
          </w:tcPr>
          <w:p>
            <w:pPr>
              <w:keepNext w:val="0"/>
              <w:spacing w:before="0" w:after="40" w:line="250" w:lineRule="auto"/>
              <w:jc w:val="center"/>
            </w:pPr>
            <w:r>
              <w:rPr>
                <w:rFonts w:ascii="Arial" w:hAnsi="Arial"/>
                <w:b/>
                <w:color w:val="000000"/>
                <w:sz w:val="19"/>
              </w:rPr>
              <w:t>Deliverable</w:t>
            </w:r>
          </w:p>
        </w:tc>
        <w:tc>
          <w:tcPr>
            <w:tcW w:type="dxa" w:w="4176"/>
            <w:vAlign w:val="center"/>
            <w:shd w:fill="DCE6EE"/>
            <w:tcMar>
              <w:top w:w="85" w:type="dxa"/>
              <w:bottom w:w="85" w:type="dxa"/>
              <w:left w:w="100" w:type="dxa"/>
              <w:right w:w="100" w:type="dxa"/>
            </w:tcMar>
          </w:tcPr>
          <w:p>
            <w:pPr>
              <w:keepNext w:val="0"/>
              <w:spacing w:before="0" w:after="40" w:line="250" w:lineRule="auto"/>
            </w:pPr>
            <w:r>
              <w:rPr>
                <w:rFonts w:ascii="Arial" w:hAnsi="Arial"/>
                <w:b/>
                <w:color w:val="000000"/>
                <w:sz w:val="19"/>
              </w:rPr>
              <w:t>Gate for proceeding</w:t>
            </w:r>
          </w:p>
        </w:tc>
      </w:tr>
      <w:tr>
        <w:trPr>
          <w:cantSplit/>
        </w:trPr>
        <w:tc>
          <w:tcPr>
            <w:tcW w:type="dxa" w:w="151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22 to 24 Sep</w:t>
            </w:r>
          </w:p>
        </w:tc>
        <w:tc>
          <w:tcPr>
            <w:tcW w:type="dxa" w:w="446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Freeze four-node topology, registered scope, responsibilities and hardware inventory; classify old reports as unverified</w:t>
            </w:r>
          </w:p>
        </w:tc>
        <w:tc>
          <w:tcPr>
            <w:tcW w:type="dxa" w:w="417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One shared backlog; traceability to registration; each required board obtained or a dated sourcing fallback</w:t>
            </w:r>
          </w:p>
        </w:tc>
      </w:tr>
      <w:tr>
        <w:trPr>
          <w:cantSplit/>
        </w:trPr>
        <w:tc>
          <w:tcPr>
            <w:tcW w:type="dxa" w:w="151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25 to 28 Sep</w:t>
            </w:r>
          </w:p>
        </w:tc>
        <w:tc>
          <w:tcPr>
            <w:tcW w:type="dxa" w:w="446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Correct clocks, timed actuator, Fixed-Time, metric definitions and no-mock runner; first learned inference on Pi</w:t>
            </w:r>
          </w:p>
        </w:tc>
        <w:tc>
          <w:tcPr>
            <w:tcW w:type="dxa" w:w="417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Actual signal timing trace; empty or wrong-source runs fail; Pi inference demonstrated</w:t>
            </w:r>
          </w:p>
        </w:tc>
      </w:tr>
      <w:tr>
        <w:trPr>
          <w:cantSplit/>
        </w:trPr>
        <w:tc>
          <w:tcPr>
            <w:tcW w:type="dxa" w:w="151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29 Sep to 4 Oct</w:t>
            </w:r>
          </w:p>
        </w:tc>
        <w:tc>
          <w:tcPr>
            <w:tcW w:type="dxa" w:w="446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Closed-loop SUMO, reference pressure and EdgeFlow; two-node physical wiring; connect live API and dashboard</w:t>
            </w:r>
          </w:p>
        </w:tc>
        <w:tc>
          <w:tcPr>
            <w:tcW w:type="dxa" w:w="417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30-minute SUMO run and 30-minute physical run; measured queues; no invalid phase mapping</w:t>
            </w:r>
          </w:p>
        </w:tc>
      </w:tr>
      <w:tr>
        <w:trPr>
          <w:cantSplit/>
        </w:trPr>
        <w:tc>
          <w:tcPr>
            <w:tcW w:type="dxa" w:w="151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5 to 8 Oct</w:t>
            </w:r>
          </w:p>
        </w:tc>
        <w:tc>
          <w:tcPr>
            <w:tcW w:type="dxa" w:w="446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Freeze tuning; execute the core paired study; complete held-out perception evaluation and fault injection</w:t>
            </w:r>
          </w:p>
        </w:tc>
        <w:tc>
          <w:tcPr>
            <w:tcW w:type="dxa" w:w="417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75 valid core runs or an explicitly reduced study; raw artifacts; no mixed synthetic results</w:t>
            </w:r>
          </w:p>
        </w:tc>
      </w:tr>
      <w:tr>
        <w:trPr>
          <w:cantSplit/>
        </w:trPr>
        <w:tc>
          <w:tcPr>
            <w:tcW w:type="dxa" w:w="151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9 to 11 Oct</w:t>
            </w:r>
          </w:p>
        </w:tc>
        <w:tc>
          <w:tcPr>
            <w:tcW w:type="dxa" w:w="446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Review results, freeze code and figures, complete report and circuit documentation</w:t>
            </w:r>
          </w:p>
        </w:tc>
        <w:tc>
          <w:tcPr>
            <w:tcW w:type="dxa" w:w="417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Every claim traced to an artifact; internal report completed by 11 Oct</w:t>
            </w:r>
          </w:p>
        </w:tc>
      </w:tr>
      <w:tr>
        <w:trPr>
          <w:cantSplit/>
        </w:trPr>
        <w:tc>
          <w:tcPr>
            <w:tcW w:type="dxa" w:w="151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12 to 18 Oct</w:t>
            </w:r>
          </w:p>
        </w:tc>
        <w:tc>
          <w:tcPr>
            <w:tcW w:type="dxa" w:w="446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Submit on confirmed deadline; rehearse 25-minute presentation; repair only release blockers</w:t>
            </w:r>
          </w:p>
        </w:tc>
        <w:tc>
          <w:tcPr>
            <w:tcW w:type="dxa" w:w="417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Three consecutive successful demonstrations; spare cables and a labelled recorded backup</w:t>
            </w:r>
          </w:p>
        </w:tc>
      </w:tr>
      <w:tr>
        <w:trPr>
          <w:cantSplit/>
        </w:trPr>
        <w:tc>
          <w:tcPr>
            <w:tcW w:type="dxa" w:w="151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19 to 24 Oct</w:t>
            </w:r>
          </w:p>
        </w:tc>
        <w:tc>
          <w:tcPr>
            <w:tcW w:type="dxa" w:w="446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Semifinal demonstration and feedback capture</w:t>
            </w:r>
          </w:p>
        </w:tc>
        <w:tc>
          <w:tcPr>
            <w:tcW w:type="dxa" w:w="417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Record questions, failure cases and requested revisions</w:t>
            </w:r>
          </w:p>
        </w:tc>
      </w:tr>
      <w:tr>
        <w:trPr>
          <w:cantSplit/>
        </w:trPr>
        <w:tc>
          <w:tcPr>
            <w:tcW w:type="dxa" w:w="151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27 Oct to 10 Nov</w:t>
            </w:r>
          </w:p>
        </w:tc>
        <w:tc>
          <w:tcPr>
            <w:tcW w:type="dxa" w:w="446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If selected, run ablations, perception-error studies, 10-seed comparisons and a second validated topology</w:t>
            </w:r>
          </w:p>
        </w:tc>
        <w:tc>
          <w:tcPr>
            <w:tcW w:type="dxa" w:w="417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Quantified explanation of improvement and limits; stronger hardware reliability evidence</w:t>
            </w:r>
          </w:p>
        </w:tc>
      </w:tr>
      <w:tr>
        <w:trPr>
          <w:cantSplit/>
        </w:trPr>
        <w:tc>
          <w:tcPr>
            <w:tcW w:type="dxa" w:w="151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11 to 18 Nov</w:t>
            </w:r>
          </w:p>
        </w:tc>
        <w:tc>
          <w:tcPr>
            <w:tcW w:type="dxa" w:w="446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Freeze final build and report, address semifinal feedback</w:t>
            </w:r>
          </w:p>
        </w:tc>
        <w:tc>
          <w:tcPr>
            <w:tcW w:type="dxa" w:w="417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Final report ready one week before provisional 25 Nov date</w:t>
            </w:r>
          </w:p>
        </w:tc>
      </w:tr>
      <w:tr>
        <w:trPr>
          <w:cantSplit/>
        </w:trPr>
        <w:tc>
          <w:tcPr>
            <w:tcW w:type="dxa" w:w="151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19 to 25 Nov</w:t>
            </w:r>
          </w:p>
        </w:tc>
        <w:tc>
          <w:tcPr>
            <w:tcW w:type="dxa" w:w="446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Transport, setup rehearsal and final demonstration</w:t>
            </w:r>
          </w:p>
        </w:tc>
        <w:tc>
          <w:tcPr>
            <w:tcW w:type="dxa" w:w="417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Reproducible setup and stable local operation</w:t>
            </w:r>
          </w:p>
        </w:tc>
      </w:tr>
    </w:tbl>
    <w:p>
      <w:pPr>
        <w:widowControl/>
        <w:spacing w:before="120"/>
      </w:pPr>
      <w:r>
        <w:rPr>
          <w:color w:val="000000"/>
        </w:rPr>
        <w:t>Scope rule: if a gate slips, remove city-scale maps, extra topologies, UI polish and RL first. Keep actual embedded inference, truthful measurements, timed signal execution and one valid paired comparison. If only one physical intersection is ready, state the reduced demonstration scope; it no longer proves a two-node physical coordination result.</w:t>
      </w:r>
    </w:p>
    <w:p>
      <w:pPr>
        <w:pStyle w:val="Heading2"/>
        <w:keepNext/>
        <w:widowControl/>
      </w:pPr>
      <w:r>
        <w:rPr>
          <w:color w:val="000000"/>
        </w:rPr>
        <w:t>5 2 Hypotheses and controller definitions</w:t>
      </w:r>
    </w:p>
    <w:p>
      <w:pPr>
        <w:keepNext/>
        <w:keepLines/>
        <w:widowControl/>
      </w:pPr>
      <w:r>
        <w:rPr>
          <w:color w:val="000000"/>
        </w:rPr>
        <w:t>H1: under a directional demand change, adaptive control reduces mean vehicle waiting time relative to a tuned Fixed-Time plan without unacceptable deterioration of tail waiting time. H2: explicit downstream receiving capacity reduces spillback duration relative to reference MaxPressure on a finite-storage network. H3: quality-aware observation handling reduces performance degradation and unnecessary switches under camera errors. Each hypothesis can fail; report unfavorable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064"/>
      </w:tblGrid>
      <w:tr>
        <w:trPr>
          <w:cantSplit/>
          <w:tblHeader/>
        </w:trPr>
        <w:tc>
          <w:tcPr>
            <w:tcW w:type="dxa" w:w="2088"/>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Policy</w:t>
            </w:r>
          </w:p>
        </w:tc>
        <w:tc>
          <w:tcPr>
            <w:tcW w:type="dxa" w:w="8064"/>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Purpose and fair configuration</w:t>
            </w:r>
          </w:p>
        </w:tc>
      </w:tr>
      <w:tr>
        <w:trPr>
          <w:cantSplit/>
        </w:trPr>
        <w:tc>
          <w:tcPr>
            <w:tcW w:type="dxa" w:w="208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Tuned Fixed-Time</w:t>
            </w:r>
          </w:p>
        </w:tc>
        <w:tc>
          <w:tcPr>
            <w:tcW w:type="dxa" w:w="806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A real clock-based cycle with green splits and clearance. Tune cycle and splits on training demand only; freeze them for test runs.</w:t>
            </w:r>
          </w:p>
        </w:tc>
      </w:tr>
      <w:tr>
        <w:trPr>
          <w:cantSplit/>
        </w:trPr>
        <w:tc>
          <w:tcPr>
            <w:tcW w:type="dxa" w:w="208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Actuated</w:t>
            </w:r>
          </w:p>
        </w:tc>
        <w:tc>
          <w:tcPr>
            <w:tcW w:type="dxa" w:w="806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A practical detector-based green extension or gap-out baseline, with documented detector placement and fixed tuned parameters.</w:t>
            </w:r>
          </w:p>
        </w:tc>
      </w:tr>
      <w:tr>
        <w:trPr>
          <w:cantSplit/>
        </w:trPr>
        <w:tc>
          <w:tcPr>
            <w:tcW w:type="dxa" w:w="208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MaxQueue</w:t>
            </w:r>
          </w:p>
        </w:tc>
        <w:tc>
          <w:tcPr>
            <w:tcW w:type="dxa" w:w="806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Preserve and rename the present incoming-queue sum policy. This shows whether downstream information adds value beyond local demand.</w:t>
            </w:r>
          </w:p>
        </w:tc>
      </w:tr>
      <w:tr>
        <w:trPr>
          <w:cantSplit/>
        </w:trPr>
        <w:tc>
          <w:tcPr>
            <w:tcW w:type="dxa" w:w="208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Reference MaxPressure</w:t>
            </w:r>
          </w:p>
        </w:tc>
        <w:tc>
          <w:tcPr>
            <w:tcW w:type="dxa" w:w="806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Score served movements using upstream queue minus turning-weighted downstream queues, multiplied by saturation service rates. Use explicit movement mappings and shared timing constraints.</w:t>
            </w:r>
          </w:p>
        </w:tc>
      </w:tr>
      <w:tr>
        <w:trPr>
          <w:cantSplit/>
        </w:trPr>
        <w:tc>
          <w:tcPr>
            <w:tcW w:type="dxa" w:w="2088"/>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EdgeFlow candidate</w:t>
            </w:r>
          </w:p>
        </w:tc>
        <w:tc>
          <w:tcPr>
            <w:tcW w:type="dxa" w:w="806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Reference pressure with a receiving-space filter, calibrated observation-quality handling and a switching margin. Keep the same legal phases and safety timing as the baselines.</w:t>
            </w:r>
          </w:p>
        </w:tc>
      </w:tr>
    </w:tbl>
    <w:p>
      <w:pPr>
        <w:widowControl/>
        <w:spacing w:before="120"/>
      </w:pPr>
      <w:r>
        <w:rPr>
          <w:color w:val="000000"/>
        </w:rPr>
        <w:t>Reference pressure is based on the established back-pressure formulation [R3]. For movement i to j, q is its queue, r describes the next turn distribution, and s is its saturation service rate. Sum movement pressure over the movements served by phase p. Exit movements have zero downstream queue. If vision observes only an approach total, allocate by calibrated turn ratios and label it an estimate; evaluate its error instead of calling it exact movement ground truth.</w:t>
      </w:r>
    </w:p>
    <w:p>
      <w:pPr>
        <w:widowControl/>
        <w:jc w:val="center"/>
      </w:pPr>
      <w:r>
        <w:rPr>
          <w:color w:val="000000"/>
        </w:rPr>
      </w:r>
      <m:oMathPara>
        <m:oMath>
          <m:sSub>
            <m:e>
              <m:r>
                <m:t>P</m:t>
              </m:r>
            </m:e>
            <m:sub>
              <m:r>
                <m:t>p</m:t>
              </m:r>
            </m:sub>
          </m:sSub>
          <m:r>
            <m:t> = </m:t>
          </m:r>
          <m:nary>
            <m:naryPr>
              <m:chr m:val="∑"/>
              <m:limLoc m:val="subSup"/>
              <m:supHide m:val="1"/>
            </m:naryPr>
            <m:sub>
              <m:r>
                <m:t>(i,j)∈p</m:t>
              </m:r>
            </m:sub>
            <m:sup/>
            <m:e>
              <m:sSub>
                <m:e>
                  <m:r>
                    <m:t>s</m:t>
                  </m:r>
                </m:e>
                <m:sub>
                  <m:r>
                    <m:t>ij</m:t>
                  </m:r>
                </m:sub>
              </m:sSub>
              <m:r>
                <m:t> (</m:t>
              </m:r>
              <m:sSub>
                <m:e>
                  <m:r>
                    <m:t>q</m:t>
                  </m:r>
                </m:e>
                <m:sub>
                  <m:r>
                    <m:t>ij</m:t>
                  </m:r>
                </m:sub>
              </m:sSub>
              <m:r>
                <m:t> − </m:t>
              </m:r>
              <m:nary>
                <m:naryPr>
                  <m:chr m:val="∑"/>
                  <m:limLoc m:val="subSup"/>
                  <m:supHide m:val="1"/>
                </m:naryPr>
                <m:sub>
                  <m:r>
                    <m:t>k</m:t>
                  </m:r>
                </m:sub>
                <m:sup/>
                <m:e>
                  <m:sSub>
                    <m:e>
                      <m:r>
                        <m:t>r</m:t>
                      </m:r>
                    </m:e>
                    <m:sub>
                      <m:r>
                        <m:t>jk</m:t>
                      </m:r>
                    </m:sub>
                  </m:sSub>
                  <m:r>
                    <m:t> </m:t>
                  </m:r>
                  <m:sSub>
                    <m:e>
                      <m:r>
                        <m:t>q</m:t>
                      </m:r>
                    </m:e>
                    <m:sub>
                      <m:r>
                        <m:t>jk</m:t>
                      </m:r>
                    </m:sub>
                  </m:sSub>
                </m:e>
              </m:nary>
              <m:r>
                <m:t>)</m:t>
              </m:r>
            </m:e>
          </m:nary>
        </m:oMath>
      </m:oMathPara>
    </w:p>
    <w:p>
      <w:pPr>
        <w:widowControl/>
      </w:pPr>
      <w:r>
        <w:rPr>
          <w:color w:val="000000"/>
        </w:rPr>
        <w:t>Apply the EdgeFlow candidate in this order: validate a fresh state snapshot; calculate reference pressure; exclude movements whose downstream receiving space is insufficient for the minimum permitted discharge horizon; compare eligible phases using a switching margin; enforce minimum green, maximum green and service-age constraints; request the change through the timed actuator. With a shared lane, a blocked turning movement may also block other turns, so do not assume it can be removed independently.</w:t>
      </w:r>
    </w:p>
    <w:p>
      <w:pPr>
        <w:widowControl/>
      </w:pPr>
      <w:r>
        <w:rPr>
          <w:color w:val="000000"/>
        </w:rPr>
        <w:t>Use an upper estimate of downstream occupancy when uncertainty is material. Missing or stale observations must not become zero queues. Brief moderate uncertainty may retain the last valid estimate with a recorded age; exceeding the declared TTL activates the local fallback. If all receiving links are blocked, use a prevalidated hold or clearance behavior and record any infeasible maximum-red target. A fairness rule must not force green into a known full receiving link.</w:t>
      </w:r>
    </w:p>
    <w:p>
      <w:pPr>
        <w:widowControl/>
      </w:pPr>
      <w:r>
        <w:rPr>
          <w:color w:val="000000"/>
        </w:rPr>
        <w:t>The candidate is a testable heuristic inspired by finite-capacity pressure control, not a new stability theorem. Identify its free parameters, tune them on a separate set and freeze them. All policies share the actuator, legal phase set, minimum and maximum green, clearance and mandatory stale-data failover. Adaptive policies may not gain an unfair advantage by skipping lost time.</w:t>
      </w:r>
    </w:p>
    <w:p>
      <w:pPr>
        <w:pStyle w:val="Heading2"/>
        <w:keepNext/>
        <w:widowControl/>
      </w:pPr>
      <w:r>
        <w:rPr>
          <w:color w:val="000000"/>
        </w:rPr>
        <w:t>5 3 Reproducible experiment design</w:t>
      </w:r>
    </w:p>
    <w:p>
      <w:pPr>
        <w:keepNext/>
        <w:keepLines/>
        <w:widowControl/>
      </w:pPr>
      <w:r>
        <w:rPr>
          <w:color w:val="000000"/>
        </w:rPr>
        <w:t>Core semifinal study: 1 validated topology × 3 traffic scenarios × 5 controllers × 5 paired test seeds = 75 runs. Use test seeds 101, 202, 303, 404 and 505 after tuning on a separate set. Generate and freeze one demand file per scenario and seed, and replay that exact file for every controller. Pass the seed to SUMO and all other randomized components, reset all service state and verify the accepted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256"/>
        <w:gridCol w:w="2952"/>
      </w:tblGrid>
      <w:tr>
        <w:trPr>
          <w:cantSplit/>
          <w:tblHeader/>
        </w:trPr>
        <w:tc>
          <w:tcPr>
            <w:tcW w:type="dxa" w:w="1944"/>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Scenario</w:t>
            </w:r>
          </w:p>
        </w:tc>
        <w:tc>
          <w:tcPr>
            <w:tcW w:type="dxa" w:w="5256"/>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Input specification to freeze</w:t>
            </w:r>
          </w:p>
        </w:tc>
        <w:tc>
          <w:tcPr>
            <w:tcW w:type="dxa" w:w="2952"/>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Primary diagnostic</w:t>
            </w:r>
          </w:p>
        </w:tc>
      </w:tr>
      <w:tr>
        <w:trPr>
          <w:cantSplit/>
        </w:trPr>
        <w:tc>
          <w:tcPr>
            <w:tcW w:type="dxa" w:w="194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Balanced</w:t>
            </w:r>
          </w:p>
        </w:tc>
        <w:tc>
          <w:tcPr>
            <w:tcW w:type="dxa" w:w="5256"/>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Comparable demand on the approaches; select a subcritical load using the verified network capacity</w:t>
            </w:r>
          </w:p>
        </w:tc>
        <w:tc>
          <w:tcPr>
            <w:tcW w:type="dxa" w:w="295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Delay, tail waiting and unnecessary switching</w:t>
            </w:r>
          </w:p>
        </w:tc>
      </w:tr>
      <w:tr>
        <w:trPr>
          <w:cantSplit/>
        </w:trPr>
        <w:tc>
          <w:tcPr>
            <w:tcW w:type="dxa" w:w="194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Directional surge</w:t>
            </w:r>
          </w:p>
        </w:tc>
        <w:tc>
          <w:tcPr>
            <w:tcW w:type="dxa" w:w="5256"/>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During the evaluation window, increase one corridor demand, initially testing a factor of 2, then restore it; hold the realized demand file fixed across policies</w:t>
            </w:r>
          </w:p>
        </w:tc>
        <w:tc>
          <w:tcPr>
            <w:tcW w:type="dxa" w:w="295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Recovery time and queue buildup</w:t>
            </w:r>
          </w:p>
        </w:tc>
      </w:tr>
      <w:tr>
        <w:trPr>
          <w:cantSplit/>
        </w:trPr>
        <w:tc>
          <w:tcPr>
            <w:tcW w:type="dxa" w:w="194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Downstream congestion</w:t>
            </w:r>
          </w:p>
        </w:tc>
        <w:tc>
          <w:tcPr>
            <w:tcW w:type="dxa" w:w="525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Reduce a selected downstream discharge capacity for a declared interval, initially testing 50 percent; use short finite storage and an explicit incident event</w:t>
            </w:r>
          </w:p>
        </w:tc>
        <w:tc>
          <w:tcPr>
            <w:tcW w:type="dxa" w:w="295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Receiving-link blockage and upstream spillback</w:t>
            </w:r>
          </w:p>
        </w:tc>
      </w:tr>
    </w:tbl>
    <w:p>
      <w:pPr>
        <w:widowControl/>
        <w:spacing w:before="120"/>
      </w:pPr>
      <w:r>
        <w:rPr>
          <w:color w:val="000000"/>
        </w:rPr>
        <w:t>The load factors above are scenario design values, not measured local traffic. Check whether demand actually enters the network and include insertion delay. Begin with 300 seconds of warm-up, 900 seconds of measurement and up to 600 seconds of demand-free draining. Check warm-up sensitivity on a pilot; freeze the final horizon before evaluation. In the core study all policies receive the same SUMO-derived observations; evaluate estimated camera observations in a separate study. The core matrix has at most 37.5 simulated hours at these horizons. Estimate wall-clock time on a pilot, and accelerate only after every timing component uses simulation time.</w:t>
      </w:r>
    </w:p>
    <w:p>
      <w:pPr>
        <w:widowControl/>
      </w:pPr>
      <w:r>
        <w:rPr>
          <w:color w:val="000000"/>
        </w:rPr>
        <w:t>Trip cohort: vehicles with scheduled departures inside the measurement window. Track their intended and actual departure, waitingTime, timeLoss, duration and completion. Report unfinished and not-yet-inserted vehicles, backlog, arrivals and departure delay for every policy. SUMO tripinfo omits unfinished vehicles by default, so enable unfinished output and reconcile against the scheduled demand. [R6]</w:t>
      </w:r>
    </w:p>
    <w:p>
      <w:pPr>
        <w:widowControl/>
      </w:pPr>
      <w:r>
        <w:rPr>
          <w:color w:val="000000"/>
        </w:rPr>
        <w:t>Report completed-cohort mean and P95 waiting time with completion coverage. Do not rank policies by a completed-only mean when completion differs materially or is below the proposed 99 percent target. In those cases lead with fixed-horizon total waiting vehicle-seconds, exit throughput, remaining vehicles and insertion delay; label partial trip statistics as censored. A controller must not appear efficient merely because heavily delayed vehicles never completed.</w:t>
      </w:r>
    </w:p>
    <w:p>
      <w:pPr>
        <w:widowControl/>
      </w:pPr>
      <w:r>
        <w:rPr>
          <w:color w:val="000000"/>
        </w:rPr>
        <w:t>Report average and maximum queue over time, spillback duration under a declared storage threshold, stop episodes, network exit throughput, P95 delay by approach and signal switches per hour. At low demand, all policies may pass the same number of vehicles; a delay improvement need not produce a throughput gain. Retain each scenario separately and never average unrelated network sizes without weights. This links throughput, access equity and reliability to separate validation measures. [R9]</w:t>
      </w:r>
    </w:p>
    <w:p>
      <w:pPr>
        <w:widowControl/>
      </w:pPr>
      <w:r>
        <w:rPr>
          <w:color w:val="000000"/>
        </w:rPr>
        <w:t>Use the seed as the independent replicate. Calculate paired differences between EdgeFlow and each baseline, show all five differences and a 95 percent interval on their mean; a paired t interval with four degrees of freedom is exploratory at this sample size. Do not treat one-second telemetry samples as independent runs. Use ten or more seeds for the final where feasible, and emphasize effect size, interval width and scenario consistency rather than a single percentage.</w:t>
      </w:r>
    </w:p>
    <w:p>
      <w:pPr>
        <w:widowControl/>
      </w:pPr>
      <w:r>
        <w:rPr>
          <w:color w:val="000000"/>
        </w:rPr>
        <w:t>Proposed performance target: at least 15 percent lower mean waiting time than tuned Fixed-Time on the surge scenario, while P95 waiting does not worsen by more than 10 percent and throughput does not materially decrease. Also report comparison with actuated control and reference MaxPressure even if EdgeFlow loses. These are decision targets, not promised improvements. If results fail, retain the negative result and diagnose demand, perception, mapping or algorithm effects.</w:t>
      </w:r>
    </w:p>
    <w:p>
      <w:pPr>
        <w:pStyle w:val="Heading2"/>
        <w:keepNext/>
        <w:widowControl/>
      </w:pPr>
      <w:r>
        <w:rPr>
          <w:color w:val="000000"/>
        </w:rPr>
        <w:t>5 4 Ablations and embedded measurement</w:t>
      </w:r>
    </w:p>
    <w:p>
      <w:pPr>
        <w:widowControl/>
      </w:pPr>
      <w:r>
        <w:rPr>
          <w:color w:val="000000"/>
        </w:rPr>
        <w:t>After the semifinal baseline is frozen, run a focused ablation on the surge and congestion scenarios: reference MaxPressure, pressure plus receiving-space filter, and the full EdgeFlow candidate, with five identical seeds. This 30-run study separates downstream-space benefit from the remaining additions. If it suggests a benefit, test quality handling and switching margin separately while retaining all mandatory safety rules.</w:t>
      </w:r>
    </w:p>
    <w:p>
      <w:pPr>
        <w:keepNext/>
        <w:keepLines/>
        <w:widowControl/>
      </w:pPr>
      <w:r>
        <w:rPr>
          <w:color w:val="000000"/>
        </w:rPr>
        <w:t>For robustness, apply the same seeded corruption to both reference pressure and EdgeFlow observations: missed vehicles at proposed rates 0, 10 and 25 percent; observation delays of 0, 1 and 3 seconds; short camera outages. Start with one factor at a time. Use measured vision errors to set the final distributions and add a combined stress case. Keep the simulator ground truth hidden from both policies but available to the evaluator.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04"/>
        <w:gridCol w:w="4248"/>
      </w:tblGrid>
      <w:tr>
        <w:trPr>
          <w:cantSplit/>
          <w:tblHeader/>
        </w:trPr>
        <w:tc>
          <w:tcPr>
            <w:tcW w:type="dxa" w:w="1800"/>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Measure</w:t>
            </w:r>
          </w:p>
        </w:tc>
        <w:tc>
          <w:tcPr>
            <w:tcW w:type="dxa" w:w="4104"/>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Proposed acceptance target</w:t>
            </w:r>
          </w:p>
        </w:tc>
        <w:tc>
          <w:tcPr>
            <w:tcW w:type="dxa" w:w="4248"/>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Measurement method</w:t>
            </w:r>
          </w:p>
        </w:tc>
      </w:tr>
      <w:tr>
        <w:trPr>
          <w:cantSplit/>
        </w:trPr>
        <w:tc>
          <w:tcPr>
            <w:tcW w:type="dxa" w:w="180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Queue estimate</w:t>
            </w:r>
          </w:p>
        </w:tc>
        <w:tc>
          <w:tcPr>
            <w:tcW w:type="dxa" w:w="410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MAE no more than 2 vehicles per approach in the declared operating range; report relative error and bias as well</w:t>
            </w:r>
          </w:p>
        </w:tc>
        <w:tc>
          <w:tcPr>
            <w:tcW w:type="dxa" w:w="424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Held-out annotated frames; stratify by queue size, overlap and lighting</w:t>
            </w:r>
          </w:p>
        </w:tc>
      </w:tr>
      <w:tr>
        <w:trPr>
          <w:cantSplit/>
        </w:trPr>
        <w:tc>
          <w:tcPr>
            <w:tcW w:type="dxa" w:w="180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Crossing count</w:t>
            </w:r>
          </w:p>
        </w:tc>
        <w:tc>
          <w:tcPr>
            <w:tcW w:type="dxa" w:w="410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Absolute percentage error no more than 10 percent on labelled windows with sufficient vehicles</w:t>
            </w:r>
          </w:p>
        </w:tc>
        <w:tc>
          <w:tcPr>
            <w:tcW w:type="dxa" w:w="424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Compare unique track crossings with manual counts; use absolute error for near-zero counts</w:t>
            </w:r>
          </w:p>
        </w:tc>
      </w:tr>
      <w:tr>
        <w:trPr>
          <w:cantSplit/>
        </w:trPr>
        <w:tc>
          <w:tcPr>
            <w:tcW w:type="dxa" w:w="180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Perception pipeline</w:t>
            </w:r>
          </w:p>
        </w:tc>
        <w:tc>
          <w:tcPr>
            <w:tcW w:type="dxa" w:w="410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At least 5 processed frames per second for the configured camera coverage, subject to pilot confirmation</w:t>
            </w:r>
          </w:p>
        </w:tc>
        <w:tc>
          <w:tcPr>
            <w:tcW w:type="dxa" w:w="424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Measure capture, preprocessing, inference, tracking and publishing separately on Pi</w:t>
            </w:r>
          </w:p>
        </w:tc>
      </w:tr>
      <w:tr>
        <w:trPr>
          <w:cantSplit/>
        </w:trPr>
        <w:tc>
          <w:tcPr>
            <w:tcW w:type="dxa" w:w="180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Control freshness</w:t>
            </w:r>
          </w:p>
        </w:tc>
        <w:tc>
          <w:tcPr>
            <w:tcW w:type="dxa" w:w="410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P95 capture-to-decision age no more than 1 second; P95 policy compute time no more than 100 ms for four nodes</w:t>
            </w:r>
          </w:p>
        </w:tc>
        <w:tc>
          <w:tcPr>
            <w:tcW w:type="dxa" w:w="424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Timestamped events with synchronized clocks; separate clearance time from compute latency</w:t>
            </w:r>
          </w:p>
        </w:tc>
      </w:tr>
      <w:tr>
        <w:trPr>
          <w:cantSplit/>
        </w:trPr>
        <w:tc>
          <w:tcPr>
            <w:tcW w:type="dxa" w:w="180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Signal behavior</w:t>
            </w:r>
          </w:p>
        </w:tc>
        <w:tc>
          <w:tcPr>
            <w:tcW w:type="dxa" w:w="4104"/>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Zero conflicting green events; every required yellow and all-red interval completed; no expired command applied</w:t>
            </w:r>
          </w:p>
        </w:tc>
        <w:tc>
          <w:tcPr>
            <w:tcW w:type="dxa" w:w="4248"/>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Software traces plus MCU or logic-analyzer output traces across repeated switching and fault tests</w:t>
            </w:r>
          </w:p>
        </w:tc>
      </w:tr>
      <w:tr>
        <w:trPr>
          <w:cantSplit/>
        </w:trPr>
        <w:tc>
          <w:tcPr>
            <w:tcW w:type="dxa" w:w="180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Reliability</w:t>
            </w:r>
          </w:p>
        </w:tc>
        <w:tc>
          <w:tcPr>
            <w:tcW w:type="dxa" w:w="4104"/>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At least 30 minutes continuous physical operation before the semifinal and 2 hours before the final</w:t>
            </w:r>
          </w:p>
        </w:tc>
        <w:tc>
          <w:tcPr>
            <w:tcW w:type="dxa" w:w="4248"/>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Record restart, disconnect, recovery, CPU, memory, temperature, power and throttling</w:t>
            </w:r>
          </w:p>
        </w:tc>
      </w:tr>
    </w:tbl>
    <w:p>
      <w:pPr>
        <w:widowControl/>
        <w:spacing w:before="120"/>
      </w:pPr>
      <w:r>
        <w:rPr>
          <w:color w:val="000000"/>
        </w:rPr>
        <w:t>Use provisional laboratory timings such as 10 seconds minimum green, 60 seconds maximum green, 3 seconds yellow and 2 seconds all-red only for controlled testing. A maximum-red target such as 120 seconds is conditional on feasible phase geometry and downstream capacity. Verify it in the declared demo domain. These values are not a certified road-signal timing plan.</w:t>
      </w:r>
    </w:p>
    <w:p>
      <w:pPr>
        <w:pStyle w:val="Heading2"/>
        <w:keepNext/>
        <w:widowControl/>
      </w:pPr>
      <w:r>
        <w:rPr>
          <w:color w:val="000000"/>
        </w:rPr>
        <w:t>5 5 Experiment manifest and evidence package</w:t>
      </w:r>
    </w:p>
    <w:p>
      <w:pPr>
        <w:widowControl/>
      </w:pPr>
      <w:r>
        <w:rPr>
          <w:color w:val="000000"/>
        </w:rPr>
        <w:t>Before measurement, each run must confirm backend=sumo, source_mode=sumo, the intended policy, topology hash, demand hash, seed, clock mode, actuator configuration and readiness. Include model and ROI hashes when perception is used. Make mock mode an explicit separate command that marks every output synthetic and disallows research summary generation.</w:t>
      </w:r>
    </w:p>
    <w:p>
      <w:pPr>
        <w:widowControl/>
      </w:pPr>
      <w:r>
        <w:rPr>
          <w:color w:val="000000"/>
        </w:rPr>
        <w:t>Retain manifest.yaml, environment.json, scheduled_demand, tripinfo.xml, queue_metrics.csv, signal_events.jsonl, raw MQTT events, faults.jsonl, validity.json and summary.json for each run. Include source commit or archive hash, dependencies, actual start and finish times, received sample count, node coverage, late or missing samples, trips, simulator errors and exclusion reasons.</w:t>
      </w:r>
    </w:p>
    <w:p>
      <w:pPr>
        <w:widowControl/>
      </w:pPr>
      <w:r>
        <w:rPr>
          <w:color w:val="000000"/>
        </w:rPr>
        <w:t>Generate figures and comparison tables from those artifacts in one reproducible analysis step. The current aggregate JSON and Markdown disagree in run count and scenario results; neither should be used as accepted research evidence until reconciled to raw runs. A failed run is retained with a reason and cannot silently become a zero-delay success.</w:t>
      </w:r>
    </w:p>
    <w:p>
      <w:pPr>
        <w:pStyle w:val="Heading1"/>
        <w:keepNext/>
        <w:keepLines/>
        <w:widowControl/>
      </w:pPr>
      <w:r>
        <w:rPr>
          <w:color w:val="000000"/>
        </w:rPr>
        <w:t>6 Module Workload Summary and Critical Path</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blHeader/>
        </w:trPr>
        <w:tc>
          <w:tcPr>
            <w:tcW w:type="dxa" w:w="1728"/>
            <w:tcMar>
              <w:top w:w="70" w:type="dxa"/>
              <w:start w:w="75" w:type="dxa"/>
              <w:bottom w:w="70" w:type="dxa"/>
              <w:end w:w="75" w:type="dxa"/>
              <w:top w:w="85" w:type="dxa"/>
              <w:bottom w:w="85" w:type="dxa"/>
              <w:left w:w="100" w:type="dxa"/>
              <w:right w:w="100" w:type="dxa"/>
            </w:tcMar>
            <w:vAlign w:val="center"/>
            <w:shd w:fill="DCE6EE"/>
          </w:tcPr>
          <w:p>
            <w:pPr>
              <w:keepNext w:val="0"/>
              <w:spacing w:before="0" w:after="40" w:line="250" w:lineRule="auto"/>
              <w:jc w:val="center"/>
            </w:pPr>
            <w:r>
              <w:rPr>
                <w:rFonts w:ascii="Arial" w:hAnsi="Arial"/>
                <w:b/>
                <w:color w:val="000000"/>
                <w:sz w:val="19"/>
              </w:rPr>
              <w:t>Module</w:t>
            </w:r>
          </w:p>
        </w:tc>
        <w:tc>
          <w:tcPr>
            <w:tcW w:type="dxa" w:w="4752"/>
            <w:tcMar>
              <w:top w:w="70" w:type="dxa"/>
              <w:start w:w="75" w:type="dxa"/>
              <w:bottom w:w="70" w:type="dxa"/>
              <w:end w:w="75" w:type="dxa"/>
              <w:top w:w="85" w:type="dxa"/>
              <w:bottom w:w="85" w:type="dxa"/>
              <w:left w:w="100" w:type="dxa"/>
              <w:right w:w="100" w:type="dxa"/>
            </w:tcMar>
            <w:vAlign w:val="center"/>
            <w:shd w:fill="DCE6EE"/>
          </w:tcPr>
          <w:p>
            <w:pPr>
              <w:keepNext w:val="0"/>
              <w:spacing w:before="0" w:after="40" w:line="250" w:lineRule="auto"/>
              <w:jc w:val="center"/>
            </w:pPr>
            <w:r>
              <w:rPr>
                <w:rFonts w:ascii="Arial" w:hAnsi="Arial"/>
                <w:b/>
                <w:color w:val="000000"/>
                <w:sz w:val="19"/>
              </w:rPr>
              <w:t>Core workload</w:t>
            </w:r>
          </w:p>
        </w:tc>
        <w:tc>
          <w:tcPr>
            <w:tcW w:type="dxa" w:w="3600"/>
            <w:tcMar>
              <w:top w:w="70" w:type="dxa"/>
              <w:start w:w="75" w:type="dxa"/>
              <w:bottom w:w="70" w:type="dxa"/>
              <w:end w:w="75" w:type="dxa"/>
              <w:top w:w="85" w:type="dxa"/>
              <w:bottom w:w="85" w:type="dxa"/>
              <w:left w:w="100" w:type="dxa"/>
              <w:right w:w="100" w:type="dxa"/>
            </w:tcMar>
            <w:vAlign w:val="center"/>
            <w:shd w:fill="DCE6EE"/>
          </w:tcPr>
          <w:p>
            <w:pPr>
              <w:keepNext w:val="0"/>
              <w:spacing w:before="0" w:after="40" w:line="250" w:lineRule="auto"/>
              <w:jc w:val="center"/>
            </w:pPr>
            <w:r>
              <w:rPr>
                <w:rFonts w:ascii="Arial" w:hAnsi="Arial"/>
                <w:b/>
                <w:color w:val="000000"/>
                <w:sz w:val="19"/>
              </w:rPr>
              <w:t>Completion criterion</w:t>
            </w:r>
          </w:p>
        </w:tc>
      </w:tr>
      <w:tr>
        <w:trPr>
          <w:cantSplit/>
        </w:trPr>
        <w:tc>
          <w:tcPr>
            <w:tcW w:type="dxa" w:w="172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Contracts</w:t>
            </w:r>
          </w:p>
        </w:tc>
        <w:tc>
          <w:tcPr>
            <w:tcW w:type="dxa" w:w="475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Schemas, topology, generated types, fixtures</w:t>
            </w:r>
          </w:p>
        </w:tc>
        <w:tc>
          <w:tcPr>
            <w:tcW w:type="dxa" w:w="3600"/>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Semantic fixtures and movement mappings accepted</w:t>
            </w:r>
          </w:p>
        </w:tc>
      </w:tr>
      <w:tr>
        <w:trPr>
          <w:cantSplit/>
        </w:trPr>
        <w:tc>
          <w:tcPr>
            <w:tcW w:type="dxa" w:w="172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MQTT</w:t>
            </w:r>
          </w:p>
        </w:tc>
        <w:tc>
          <w:tcPr>
            <w:tcW w:type="dxa" w:w="475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Broker, topics, health, integration config</w:t>
            </w:r>
          </w:p>
        </w:tc>
        <w:tc>
          <w:tcPr>
            <w:tcW w:type="dxa" w:w="3600"/>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Run ownership and outage behavior verified</w:t>
            </w:r>
          </w:p>
        </w:tc>
      </w:tr>
      <w:tr>
        <w:trPr>
          <w:cantSplit/>
        </w:trPr>
        <w:tc>
          <w:tcPr>
            <w:tcW w:type="dxa" w:w="172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Simulator</w:t>
            </w:r>
          </w:p>
        </w:tc>
        <w:tc>
          <w:tcPr>
            <w:tcW w:type="dxa" w:w="475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SUMO topology, scenarios, telemetry/control adapter</w:t>
            </w:r>
          </w:p>
        </w:tc>
        <w:tc>
          <w:tcPr>
            <w:tcW w:type="dxa" w:w="3600"/>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Real SUMO with raw metrics and explicit scenarios</w:t>
            </w:r>
          </w:p>
        </w:tc>
      </w:tr>
      <w:tr>
        <w:trPr>
          <w:cantSplit/>
        </w:trPr>
        <w:tc>
          <w:tcPr>
            <w:tcW w:type="dxa" w:w="172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Graph-Control</w:t>
            </w:r>
          </w:p>
        </w:tc>
        <w:tc>
          <w:tcPr>
            <w:tcW w:type="dxa" w:w="475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Graph state, freshness, Fixed-Time, Max-Pressure</w:t>
            </w:r>
          </w:p>
        </w:tc>
        <w:tc>
          <w:tcPr>
            <w:tcW w:type="dxa" w:w="3600"/>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Fair baselines and downstream-sensitive decisions</w:t>
            </w:r>
          </w:p>
        </w:tc>
      </w:tr>
      <w:tr>
        <w:trPr>
          <w:cantSplit/>
        </w:trPr>
        <w:tc>
          <w:tcPr>
            <w:tcW w:type="dxa" w:w="172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Vision</w:t>
            </w:r>
          </w:p>
        </w:tc>
        <w:tc>
          <w:tcPr>
            <w:tcW w:type="dxa" w:w="475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Source abstraction, detector/tracker, ROI and traffic state</w:t>
            </w:r>
          </w:p>
        </w:tc>
        <w:tc>
          <w:tcPr>
            <w:tcW w:type="dxa" w:w="3600"/>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Measured learned inference on Pi</w:t>
            </w:r>
          </w:p>
        </w:tc>
      </w:tr>
      <w:tr>
        <w:trPr>
          <w:cantSplit/>
        </w:trPr>
        <w:tc>
          <w:tcPr>
            <w:tcW w:type="dxa" w:w="172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Actuator</w:t>
            </w:r>
          </w:p>
        </w:tc>
        <w:tc>
          <w:tcPr>
            <w:tcW w:type="dxa" w:w="475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State machine, ACK, failsafe, virtual/physical adapters</w:t>
            </w:r>
          </w:p>
        </w:tc>
        <w:tc>
          <w:tcPr>
            <w:tcW w:type="dxa" w:w="3600"/>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Physical timing trace and local fallback</w:t>
            </w:r>
          </w:p>
        </w:tc>
      </w:tr>
      <w:tr>
        <w:trPr>
          <w:cantSplit/>
        </w:trPr>
        <w:tc>
          <w:tcPr>
            <w:tcW w:type="dxa" w:w="172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API</w:t>
            </w:r>
          </w:p>
        </w:tc>
        <w:tc>
          <w:tcPr>
            <w:tcW w:type="dxa" w:w="475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REST, SQLite, experiment/history, WebSocket</w:t>
            </w:r>
          </w:p>
        </w:tc>
        <w:tc>
          <w:tcPr>
            <w:tcW w:type="dxa" w:w="3600"/>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Real state and configuration acknowledgement</w:t>
            </w:r>
          </w:p>
        </w:tc>
      </w:tr>
      <w:tr>
        <w:trPr>
          <w:cantSplit/>
        </w:trPr>
        <w:tc>
          <w:tcPr>
            <w:tcW w:type="dxa" w:w="172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Dashboard</w:t>
            </w:r>
          </w:p>
        </w:tc>
        <w:tc>
          <w:tcPr>
            <w:tcW w:type="dxa" w:w="475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Topology, state, health, benchmark views</w:t>
            </w:r>
          </w:p>
        </w:tc>
        <w:tc>
          <w:tcPr>
            <w:tcW w:type="dxa" w:w="3600"/>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Every value linked to its source</w:t>
            </w:r>
          </w:p>
        </w:tc>
      </w:tr>
      <w:tr>
        <w:trPr>
          <w:cantSplit/>
        </w:trPr>
        <w:tc>
          <w:tcPr>
            <w:tcW w:type="dxa" w:w="172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Experiment Runner</w:t>
            </w:r>
          </w:p>
        </w:tc>
        <w:tc>
          <w:tcPr>
            <w:tcW w:type="dxa" w:w="475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Manifests, repeatable runs, artifacts</w:t>
            </w:r>
          </w:p>
        </w:tc>
        <w:tc>
          <w:tcPr>
            <w:tcW w:type="dxa" w:w="3600"/>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Reset, configure, measure and fail truthfully</w:t>
            </w:r>
          </w:p>
        </w:tc>
      </w:tr>
      <w:tr>
        <w:trPr>
          <w:cantSplit/>
        </w:trPr>
        <w:tc>
          <w:tcPr>
            <w:tcW w:type="dxa" w:w="1728"/>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Testing/CI</w:t>
            </w:r>
          </w:p>
        </w:tc>
        <w:tc>
          <w:tcPr>
            <w:tcW w:type="dxa" w:w="4752"/>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Contract, integration, E2E, agent guardrails</w:t>
            </w:r>
          </w:p>
        </w:tc>
        <w:tc>
          <w:tcPr>
            <w:tcW w:type="dxa" w:w="3600"/>
            <w:vAlign w:val="center"/>
            <w:tcMar>
              <w:top w:w="60" w:type="dxa"/>
              <w:start w:w="70" w:type="dxa"/>
              <w:bottom w:w="60" w:type="dxa"/>
              <w:end w:w="70" w:type="dxa"/>
              <w:top w:w="85" w:type="dxa"/>
              <w:bottom w:w="85" w:type="dxa"/>
              <w:left w:w="100" w:type="dxa"/>
              <w:right w:w="100" w:type="dxa"/>
            </w:tcMar>
            <w:shd w:fill="FFFFFF"/>
          </w:tcPr>
          <w:p>
            <w:pPr>
              <w:keepNext w:val="0"/>
              <w:spacing w:before="0" w:after="40" w:line="250" w:lineRule="auto"/>
            </w:pPr>
            <w:r>
              <w:rPr>
                <w:rFonts w:ascii="Arial" w:hAnsi="Arial"/>
                <w:b w:val="0"/>
                <w:color w:val="000000"/>
                <w:sz w:val="19"/>
              </w:rPr>
              <w:t>Behavioral and real integration evidence</w:t>
            </w:r>
          </w:p>
        </w:tc>
      </w:tr>
    </w:tbl>
    <w:p>
      <w:pPr>
        <w:widowControl/>
        <w:spacing w:before="120"/>
      </w:pPr>
      <w:r>
        <w:rPr>
          <w:color w:val="000000"/>
        </w:rPr>
        <w:t>Critical work proceeds on two tracks: measurement and control correctness; and embedded perception with physical actuation. They converge in a source-verified end-to-end run, followed by the paired study and competition rehearsal. Hardware starts immediately. Add network scale and learning controllers only after those gates pass.</w:t>
      </w:r>
    </w:p>
    <w:p>
      <w:pPr>
        <w:pStyle w:val="Heading2"/>
        <w:keepNext/>
        <w:widowControl/>
      </w:pPr>
      <w:r>
        <w:rPr>
          <w:color w:val="000000"/>
        </w:rPr>
        <w:t>6 1 Ownership and immediate work</w:t>
      </w:r>
    </w:p>
    <w:p>
      <w:pPr>
        <w:widowControl/>
      </w:pPr>
      <w:r>
        <w:rPr>
          <w:color w:val="000000"/>
        </w:rPr>
        <w:t>Assign named owners internally; actual team membership and available hours were not supplied. Suggested responsibilities for five contributors are: integration and contracts; SUMO and research metrics; controllers and experiment design; embedded vision and annotation; electronics and firmware. Each owner has a second reviewer. For a smaller team, combine roles and reduce scope before adding overtime assumptions.</w:t>
      </w:r>
    </w:p>
    <w:p>
      <w:pPr>
        <w:widowControl/>
      </w:pPr>
      <w:r>
        <w:rPr>
          <w:color w:val="000000"/>
        </w:rPr>
        <w:t>First 72 hours: archive and label the current results; disable synthetic output in the evaluation path; freeze one legal topology; instrument Fixed-Time and the actuator; obtain one Pi-camera inference trace; assign dataset annotation; verify hardware availability; and reconcile the registered distributed-control scope. These outputs decide whether the October schedule is feasible.</w:t>
      </w:r>
    </w:p>
    <w:p>
      <w:pPr>
        <w:pStyle w:val="Heading2"/>
        <w:keepNext/>
        <w:keepLines/>
        <w:widowControl/>
      </w:pPr>
      <w:r>
        <w:rPr>
          <w:color w:val="000000"/>
        </w:rPr>
        <w:t>6 2 Competition evidence and 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936"/>
        <w:gridCol w:w="5256"/>
      </w:tblGrid>
      <w:tr>
        <w:trPr>
          <w:cantSplit/>
          <w:tblHeader/>
        </w:trPr>
        <w:tc>
          <w:tcPr>
            <w:tcW w:type="dxa" w:w="3960"/>
            <w:vAlign w:val="center"/>
            <w:shd w:fill="DCE6EE"/>
            <w:tcMar>
              <w:top w:w="85" w:type="dxa"/>
              <w:bottom w:w="85" w:type="dxa"/>
              <w:left w:w="100" w:type="dxa"/>
              <w:right w:w="100" w:type="dxa"/>
            </w:tcMar>
          </w:tcPr>
          <w:p>
            <w:pPr>
              <w:keepNext w:val="0"/>
              <w:spacing w:before="0" w:after="40" w:line="250" w:lineRule="auto"/>
            </w:pPr>
            <w:r>
              <w:rPr>
                <w:rFonts w:ascii="Arial" w:hAnsi="Arial"/>
                <w:b/>
                <w:color w:val="000000"/>
                <w:sz w:val="19"/>
              </w:rPr>
              <w:t>Stage and criterion</w:t>
            </w:r>
          </w:p>
        </w:tc>
        <w:tc>
          <w:tcPr>
            <w:tcW w:type="dxa" w:w="936"/>
            <w:vAlign w:val="center"/>
            <w:shd w:fill="DCE6EE"/>
            <w:tcMar>
              <w:top w:w="85" w:type="dxa"/>
              <w:bottom w:w="85" w:type="dxa"/>
              <w:left w:w="100" w:type="dxa"/>
              <w:right w:w="100" w:type="dxa"/>
            </w:tcMar>
          </w:tcPr>
          <w:p>
            <w:pPr>
              <w:keepNext w:val="0"/>
              <w:spacing w:before="0" w:after="40" w:line="250" w:lineRule="auto"/>
              <w:jc w:val="center"/>
            </w:pPr>
            <w:r>
              <w:rPr>
                <w:rFonts w:ascii="Arial" w:hAnsi="Arial"/>
                <w:b/>
                <w:color w:val="000000"/>
                <w:sz w:val="19"/>
              </w:rPr>
              <w:t>Weight</w:t>
            </w:r>
          </w:p>
        </w:tc>
        <w:tc>
          <w:tcPr>
            <w:tcW w:type="dxa" w:w="5256"/>
            <w:vAlign w:val="center"/>
            <w:shd w:fill="DCE6EE"/>
            <w:tcMar>
              <w:top w:w="85" w:type="dxa"/>
              <w:bottom w:w="85" w:type="dxa"/>
              <w:left w:w="100" w:type="dxa"/>
              <w:right w:w="100" w:type="dxa"/>
            </w:tcMar>
          </w:tcPr>
          <w:p>
            <w:pPr>
              <w:keepNext w:val="0"/>
              <w:spacing w:before="0" w:after="40" w:line="250" w:lineRule="auto"/>
            </w:pPr>
            <w:r>
              <w:rPr>
                <w:rFonts w:ascii="Arial" w:hAnsi="Arial"/>
                <w:b/>
                <w:color w:val="000000"/>
                <w:sz w:val="19"/>
              </w:rPr>
              <w:t>Evidence to prepare</w:t>
            </w:r>
          </w:p>
        </w:tc>
      </w:tr>
      <w:tr>
        <w:trPr>
          <w:cantSplit/>
        </w:trPr>
        <w:tc>
          <w:tcPr>
            <w:tcW w:type="dxa" w:w="39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Semifinal system model</w:t>
            </w:r>
          </w:p>
        </w:tc>
        <w:tc>
          <w:tcPr>
            <w:tcW w:type="dxa" w:w="936"/>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t>20%</w:t>
            </w:r>
          </w:p>
        </w:tc>
        <w:tc>
          <w:tcPr>
            <w:tcW w:type="dxa" w:w="525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Architecture, circuit schematic, phase-conflict map and operating principle</w:t>
            </w:r>
          </w:p>
        </w:tc>
      </w:tr>
      <w:tr>
        <w:trPr>
          <w:cantSplit/>
        </w:trPr>
        <w:tc>
          <w:tcPr>
            <w:tcW w:type="dxa" w:w="39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Semifinal hardware and software</w:t>
            </w:r>
          </w:p>
        </w:tc>
        <w:tc>
          <w:tcPr>
            <w:tcW w:type="dxa" w:w="936"/>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t>25%</w:t>
            </w:r>
          </w:p>
        </w:tc>
        <w:tc>
          <w:tcPr>
            <w:tcW w:type="dxa" w:w="525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Embedded inference, firmware, communication and working control interface</w:t>
            </w:r>
          </w:p>
        </w:tc>
      </w:tr>
      <w:tr>
        <w:trPr>
          <w:cantSplit/>
        </w:trPr>
        <w:tc>
          <w:tcPr>
            <w:tcW w:type="dxa" w:w="39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Semifinal operating prototype</w:t>
            </w:r>
          </w:p>
        </w:tc>
        <w:tc>
          <w:tcPr>
            <w:tcW w:type="dxa" w:w="936"/>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t>20%</w:t>
            </w:r>
          </w:p>
        </w:tc>
        <w:tc>
          <w:tcPr>
            <w:tcW w:type="dxa" w:w="525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Live camera interaction and timed physical signal outputs</w:t>
            </w:r>
          </w:p>
        </w:tc>
      </w:tr>
      <w:tr>
        <w:trPr>
          <w:cantSplit/>
        </w:trPr>
        <w:tc>
          <w:tcPr>
            <w:tcW w:type="dxa" w:w="39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Semifinal application and scale</w:t>
            </w:r>
          </w:p>
        </w:tc>
        <w:tc>
          <w:tcPr>
            <w:tcW w:type="dxa" w:w="936"/>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t>20%</w:t>
            </w:r>
          </w:p>
        </w:tc>
        <w:tc>
          <w:tcPr>
            <w:tcW w:type="dxa" w:w="525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Measured limitations, maintenance plan and cost assumptions</w:t>
            </w:r>
          </w:p>
        </w:tc>
      </w:tr>
      <w:tr>
        <w:trPr>
          <w:cantSplit/>
        </w:trPr>
        <w:tc>
          <w:tcPr>
            <w:tcW w:type="dxa" w:w="39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Semifinal presentation and defense</w:t>
            </w:r>
          </w:p>
        </w:tc>
        <w:tc>
          <w:tcPr>
            <w:tcW w:type="dxa" w:w="936"/>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t>15%</w:t>
            </w:r>
          </w:p>
        </w:tc>
        <w:tc>
          <w:tcPr>
            <w:tcW w:type="dxa" w:w="525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Reproducible evidence and clear explanations of failure cases</w:t>
            </w:r>
          </w:p>
        </w:tc>
      </w:tr>
      <w:tr>
        <w:trPr>
          <w:cantSplit/>
        </w:trPr>
        <w:tc>
          <w:tcPr>
            <w:tcW w:type="dxa" w:w="39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Final originality</w:t>
            </w:r>
          </w:p>
        </w:tc>
        <w:tc>
          <w:tcPr>
            <w:tcW w:type="dxa" w:w="936"/>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t>20%</w:t>
            </w:r>
          </w:p>
        </w:tc>
        <w:tc>
          <w:tcPr>
            <w:tcW w:type="dxa" w:w="525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Prior-work comparison and ablations supporting the specific contribution</w:t>
            </w:r>
          </w:p>
        </w:tc>
      </w:tr>
      <w:tr>
        <w:trPr>
          <w:cantSplit/>
        </w:trPr>
        <w:tc>
          <w:tcPr>
            <w:tcW w:type="dxa" w:w="39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Final technical completion</w:t>
            </w:r>
          </w:p>
        </w:tc>
        <w:tc>
          <w:tcPr>
            <w:tcW w:type="dxa" w:w="936"/>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t>25%</w:t>
            </w:r>
          </w:p>
        </w:tc>
        <w:tc>
          <w:tcPr>
            <w:tcW w:type="dxa" w:w="525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Stable assembled hardware, controlled wiring and release documentation</w:t>
            </w:r>
          </w:p>
        </w:tc>
      </w:tr>
      <w:tr>
        <w:trPr>
          <w:cantSplit/>
        </w:trPr>
        <w:tc>
          <w:tcPr>
            <w:tcW w:type="dxa" w:w="39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Final practical application</w:t>
            </w:r>
          </w:p>
        </w:tc>
        <w:tc>
          <w:tcPr>
            <w:tcW w:type="dxa" w:w="936"/>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t>20%</w:t>
            </w:r>
          </w:p>
        </w:tc>
        <w:tc>
          <w:tcPr>
            <w:tcW w:type="dxa" w:w="525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Pilot deployment model, maintenance and conditional economic analysis</w:t>
            </w:r>
          </w:p>
        </w:tc>
      </w:tr>
      <w:tr>
        <w:trPr>
          <w:cantSplit/>
        </w:trPr>
        <w:tc>
          <w:tcPr>
            <w:tcW w:type="dxa" w:w="39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Final live demo and interface</w:t>
            </w:r>
          </w:p>
        </w:tc>
        <w:tc>
          <w:tcPr>
            <w:tcW w:type="dxa" w:w="936"/>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t>20%</w:t>
            </w:r>
          </w:p>
        </w:tc>
        <w:tc>
          <w:tcPr>
            <w:tcW w:type="dxa" w:w="525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Source-labelled live operation, failure recovery and understandable reasons</w:t>
            </w:r>
          </w:p>
        </w:tc>
      </w:tr>
      <w:tr>
        <w:trPr>
          <w:cantSplit/>
        </w:trPr>
        <w:tc>
          <w:tcPr>
            <w:tcW w:type="dxa" w:w="39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Final technical defense</w:t>
            </w:r>
          </w:p>
        </w:tc>
        <w:tc>
          <w:tcPr>
            <w:tcW w:type="dxa" w:w="936"/>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t>15%</w:t>
            </w:r>
          </w:p>
        </w:tc>
        <w:tc>
          <w:tcPr>
            <w:tcW w:type="dxa" w:w="5256"/>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Raw experiments, uncertainty, limitations and answers to semifinal feedback</w:t>
            </w:r>
          </w:p>
        </w:tc>
      </w:tr>
    </w:tbl>
    <w:p>
      <w:pPr>
        <w:widowControl/>
        <w:spacing w:before="120"/>
      </w:pPr>
      <w:r>
        <w:rPr>
          <w:color w:val="000000"/>
        </w:rPr>
        <w:t>The weights above come from pages 4 and 5 of the supplied rules [F4]. Prepare the semifinal presentation within the stated 25 minutes excluding questions: problem and use case 3 minutes, electronics and architecture 5, algorithm and prior work 4, live demonstration 6, measured results and limitations 5, deployment and next steps 2.</w:t>
      </w:r>
    </w:p>
    <w:p>
      <w:pPr>
        <w:widowControl/>
      </w:pPr>
      <w:r>
        <w:rPr>
          <w:color w:val="000000"/>
        </w:rPr>
        <w:t>Demonstration sequence: show empty and occupied approaches, vary an upstream queue, demonstrate a downstream blockage, then unplug the camera or disconnect the coordinator. Display the resulting decision and fallback state beside actual LEDs. Present A/B traffic-effect results from paired SUMO runs. A manually moved tabletop car or a fixed road video cannot establish a causal throughput improvement. Keep a clearly labelled recording as a backup if the live demonstration fails.</w:t>
      </w:r>
    </w:p>
    <w:p>
      <w:pPr>
        <w:pStyle w:val="Heading2"/>
        <w:keepNext/>
        <w:widowControl/>
      </w:pPr>
      <w:r>
        <w:rPr>
          <w:color w:val="000000"/>
        </w:rPr>
        <w:t>6 3 Budget and practical deployment</w:t>
      </w:r>
    </w:p>
    <w:p>
      <w:pPr>
        <w:keepNext/>
        <w:keepLines/>
        <w:widowControl/>
      </w:pPr>
      <w:r>
        <w:rPr>
          <w:color w:val="000000"/>
        </w:rPr>
        <w:t>The supplied original BOM totals VND 7,288,000. The following is a planning reuse of its prices for a two-node physical corridor, not a current supplier quotation or a statement that equipment has been purchased. [F3]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0"/>
        <w:gridCol w:w="1224"/>
        <w:gridCol w:w="3168"/>
      </w:tblGrid>
      <w:tr>
        <w:trPr>
          <w:cantSplit/>
          <w:tblHeader/>
        </w:trPr>
        <w:tc>
          <w:tcPr>
            <w:tcW w:type="dxa" w:w="5760"/>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Item</w:t>
            </w:r>
          </w:p>
        </w:tc>
        <w:tc>
          <w:tcPr>
            <w:tcW w:type="dxa" w:w="1224"/>
            <w:vAlign w:val="center"/>
            <w:shd w:fill="DCE6EE"/>
            <w:tcMar>
              <w:top w:w="85" w:type="dxa"/>
              <w:bottom w:w="85" w:type="dxa"/>
              <w:left w:w="100" w:type="dxa"/>
              <w:right w:w="100" w:type="dxa"/>
            </w:tcMar>
          </w:tcPr>
          <w:p>
            <w:pPr>
              <w:keepNext/>
              <w:spacing w:before="0" w:after="40" w:line="250" w:lineRule="auto"/>
              <w:jc w:val="center"/>
            </w:pPr>
            <w:r>
              <w:rPr>
                <w:rFonts w:ascii="Arial" w:hAnsi="Arial"/>
                <w:b/>
                <w:color w:val="000000"/>
                <w:sz w:val="19"/>
              </w:rPr>
              <w:t>Quantity</w:t>
            </w:r>
          </w:p>
        </w:tc>
        <w:tc>
          <w:tcPr>
            <w:tcW w:type="dxa" w:w="3168"/>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Reference subtotal VND</w:t>
            </w:r>
          </w:p>
        </w:tc>
      </w:tr>
      <w:tr>
        <w:trPr>
          <w:cantSplit/>
        </w:trPr>
        <w:tc>
          <w:tcPr>
            <w:tcW w:type="dxa" w:w="57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Raspberry Pi 5 4 GB kit</w:t>
            </w:r>
          </w:p>
        </w:tc>
        <w:tc>
          <w:tcPr>
            <w:tcW w:type="dxa" w:w="1224"/>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1</w:t>
            </w:r>
          </w:p>
        </w:tc>
        <w:tc>
          <w:tcPr>
            <w:tcW w:type="dxa" w:w="3168"/>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4,698,000</w:t>
            </w:r>
          </w:p>
        </w:tc>
      </w:tr>
      <w:tr>
        <w:trPr>
          <w:cantSplit/>
        </w:trPr>
        <w:tc>
          <w:tcPr>
            <w:tcW w:type="dxa" w:w="57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Camera Module 3 from the original BOM</w:t>
            </w:r>
          </w:p>
        </w:tc>
        <w:tc>
          <w:tcPr>
            <w:tcW w:type="dxa" w:w="1224"/>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1</w:t>
            </w:r>
          </w:p>
        </w:tc>
        <w:tc>
          <w:tcPr>
            <w:tcW w:type="dxa" w:w="3168"/>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864,000</w:t>
            </w:r>
          </w:p>
        </w:tc>
      </w:tr>
      <w:tr>
        <w:trPr>
          <w:cantSplit/>
        </w:trPr>
        <w:tc>
          <w:tcPr>
            <w:tcW w:type="dxa" w:w="57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MCU board allowance at original ESP32 unit cost</w:t>
            </w:r>
          </w:p>
        </w:tc>
        <w:tc>
          <w:tcPr>
            <w:tcW w:type="dxa" w:w="1224"/>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2</w:t>
            </w:r>
          </w:p>
        </w:tc>
        <w:tc>
          <w:tcPr>
            <w:tcW w:type="dxa" w:w="3168"/>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380,000</w:t>
            </w:r>
          </w:p>
        </w:tc>
      </w:tr>
      <w:tr>
        <w:trPr>
          <w:cantSplit/>
        </w:trPr>
        <w:tc>
          <w:tcPr>
            <w:tcW w:type="dxa" w:w="57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Three-color signal modules</w:t>
            </w:r>
          </w:p>
        </w:tc>
        <w:tc>
          <w:tcPr>
            <w:tcW w:type="dxa" w:w="1224"/>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8</w:t>
            </w:r>
          </w:p>
        </w:tc>
        <w:tc>
          <w:tcPr>
            <w:tcW w:type="dxa" w:w="3168"/>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64,000</w:t>
            </w:r>
          </w:p>
        </w:tc>
      </w:tr>
      <w:tr>
        <w:trPr>
          <w:cantSplit/>
        </w:trPr>
        <w:tc>
          <w:tcPr>
            <w:tcW w:type="dxa" w:w="57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Low-voltage wiring and power allowance</w:t>
            </w:r>
          </w:p>
        </w:tc>
        <w:tc>
          <w:tcPr>
            <w:tcW w:type="dxa" w:w="1224"/>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1 lot</w:t>
            </w:r>
          </w:p>
        </w:tc>
        <w:tc>
          <w:tcPr>
            <w:tcW w:type="dxa" w:w="3168"/>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250,000</w:t>
            </w:r>
          </w:p>
        </w:tc>
      </w:tr>
      <w:tr>
        <w:trPr>
          <w:cantSplit/>
        </w:trPr>
        <w:tc>
          <w:tcPr>
            <w:tcW w:type="dxa" w:w="576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Model and rigid camera support allowance</w:t>
            </w:r>
          </w:p>
        </w:tc>
        <w:tc>
          <w:tcPr>
            <w:tcW w:type="dxa" w:w="1224"/>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1 lot</w:t>
            </w:r>
          </w:p>
        </w:tc>
        <w:tc>
          <w:tcPr>
            <w:tcW w:type="dxa" w:w="3168"/>
            <w:vAlign w:val="center"/>
            <w:shd w:fill="FFFFFF"/>
            <w:tcMar>
              <w:top w:w="85" w:type="dxa"/>
              <w:bottom w:w="85" w:type="dxa"/>
              <w:left w:w="100" w:type="dxa"/>
              <w:right w:w="100" w:type="dxa"/>
            </w:tcMar>
          </w:tcPr>
          <w:p>
            <w:pPr>
              <w:keepNext/>
              <w:spacing w:before="0" w:after="40" w:line="250" w:lineRule="auto"/>
              <w:jc w:val="center"/>
            </w:pPr>
            <w:r>
              <w:rPr>
                <w:rFonts w:ascii="Arial" w:hAnsi="Arial"/>
                <w:b w:val="0"/>
                <w:color w:val="000000"/>
                <w:sz w:val="19"/>
              </w:rPr>
              <w:t>600,000</w:t>
            </w:r>
          </w:p>
        </w:tc>
      </w:tr>
      <w:tr>
        <w:trPr>
          <w:cantSplit/>
        </w:trPr>
        <w:tc>
          <w:tcPr>
            <w:tcW w:type="dxa" w:w="576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Reference subtotal</w:t>
            </w:r>
          </w:p>
        </w:tc>
        <w:tc>
          <w:tcPr>
            <w:tcW w:type="dxa" w:w="1224"/>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r>
          </w:p>
        </w:tc>
        <w:tc>
          <w:tcPr>
            <w:tcW w:type="dxa" w:w="3168"/>
            <w:vAlign w:val="center"/>
            <w:shd w:fill="FFFFFF"/>
            <w:tcMar>
              <w:top w:w="85" w:type="dxa"/>
              <w:bottom w:w="85" w:type="dxa"/>
              <w:left w:w="100" w:type="dxa"/>
              <w:right w:w="100" w:type="dxa"/>
            </w:tcMar>
          </w:tcPr>
          <w:p>
            <w:pPr>
              <w:keepNext w:val="0"/>
              <w:spacing w:before="0" w:after="40" w:line="250" w:lineRule="auto"/>
              <w:jc w:val="center"/>
            </w:pPr>
            <w:r>
              <w:rPr>
                <w:rFonts w:ascii="Arial" w:hAnsi="Arial"/>
                <w:b w:val="0"/>
                <w:color w:val="000000"/>
                <w:sz w:val="19"/>
              </w:rPr>
              <w:t>6,856,000</w:t>
            </w:r>
          </w:p>
        </w:tc>
      </w:tr>
    </w:tbl>
    <w:p>
      <w:pPr>
        <w:widowControl/>
        <w:spacing w:before="120"/>
      </w:pPr>
      <w:r>
        <w:rPr>
          <w:color w:val="000000"/>
        </w:rPr>
        <w:t>Obtain separate quotes for compatible camera cable, driver electronics or PCB, watchdog and safe-stop hardware, spare parts and measurement instruments or their loan. A proposed VND 8,500,000 ceiling leaves VND 1,644,000 above the reference subtotal, but feasibility depends on those quotes and existing inventory. Do not subtract the rules’ VND 2,000,000 support until eligibility and receipt are confirmed. This ceiling is a budget decision for the team, not an approved spend.</w:t>
      </w:r>
    </w:p>
    <w:p>
      <w:pPr>
        <w:widowControl/>
      </w:pPr>
      <w:r>
        <w:rPr>
          <w:color w:val="000000"/>
        </w:rPr>
        <w:t>Use a campus or other controlled pilot as the first deployment hypothesis. Measure installation, camera calibration, power, cleaning, replacement and support costs. Report prototype BOM separately from the cost of a weatherproof field installation and integration with an existing traffic cabinet. For economic analysis, calculate annual incremental cost and the value of measured vehicle-hours saved using stated local assumptions; report a sensitivity range. Do not convert simulation gains directly into citywide savings or a verified ROI.</w:t>
      </w:r>
    </w:p>
    <w:p>
      <w:pPr>
        <w:pStyle w:val="Heading2"/>
        <w:keepNext/>
        <w:keepLines/>
        <w:widowControl/>
      </w:pPr>
      <w:r>
        <w:rPr>
          <w:color w:val="000000"/>
        </w:rPr>
        <w:t>6 4 Risks and fallback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72"/>
      </w:tblGrid>
      <w:tr>
        <w:trPr>
          <w:cantSplit/>
          <w:tblHeader/>
        </w:trPr>
        <w:tc>
          <w:tcPr>
            <w:tcW w:type="dxa" w:w="2880"/>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Risk</w:t>
            </w:r>
          </w:p>
        </w:tc>
        <w:tc>
          <w:tcPr>
            <w:tcW w:type="dxa" w:w="7272"/>
            <w:vAlign w:val="center"/>
            <w:shd w:fill="DCE6EE"/>
            <w:tcMar>
              <w:top w:w="85" w:type="dxa"/>
              <w:bottom w:w="85" w:type="dxa"/>
              <w:left w:w="100" w:type="dxa"/>
              <w:right w:w="100" w:type="dxa"/>
            </w:tcMar>
          </w:tcPr>
          <w:p>
            <w:pPr>
              <w:keepNext/>
              <w:spacing w:before="0" w:after="40" w:line="250" w:lineRule="auto"/>
            </w:pPr>
            <w:r>
              <w:rPr>
                <w:rFonts w:ascii="Arial" w:hAnsi="Arial"/>
                <w:b/>
                <w:color w:val="000000"/>
                <w:sz w:val="19"/>
              </w:rPr>
              <w:t>Response and decision point</w:t>
            </w:r>
          </w:p>
        </w:tc>
      </w:tr>
      <w:tr>
        <w:trPr>
          <w:cantSplit/>
        </w:trPr>
        <w:tc>
          <w:tcPr>
            <w:tcW w:type="dxa" w:w="288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No embedded model by 28 Sep</w:t>
            </w:r>
          </w:p>
        </w:tc>
        <w:tc>
          <w:tcPr>
            <w:tcW w:type="dxa" w:w="727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Reduce camera coverage or model input size and measure again; secure a loan device. A laptop-only model remains an incomplete embedded deliverable.</w:t>
            </w:r>
          </w:p>
        </w:tc>
      </w:tr>
      <w:tr>
        <w:trPr>
          <w:cantSplit/>
        </w:trPr>
        <w:tc>
          <w:tcPr>
            <w:tcW w:type="dxa" w:w="288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Poor tabletop detection</w:t>
            </w:r>
          </w:p>
        </w:tc>
        <w:tc>
          <w:tcPr>
            <w:tcW w:type="dxa" w:w="727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Collect tabletop-specific labels and validate them separately; keep road-video perception evidence distinct.</w:t>
            </w:r>
          </w:p>
        </w:tc>
      </w:tr>
      <w:tr>
        <w:trPr>
          <w:cantSplit/>
        </w:trPr>
        <w:tc>
          <w:tcPr>
            <w:tcW w:type="dxa" w:w="288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Weak or negative control gains</w:t>
            </w:r>
          </w:p>
        </w:tc>
        <w:tc>
          <w:tcPr>
            <w:tcW w:type="dxa" w:w="727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Check fair baselines and metrics first, then investigate the hypothesis; preserve unfavorable results and narrow claims.</w:t>
            </w:r>
          </w:p>
        </w:tc>
      </w:tr>
      <w:tr>
        <w:trPr>
          <w:cantSplit/>
        </w:trPr>
        <w:tc>
          <w:tcPr>
            <w:tcW w:type="dxa" w:w="288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Missing hardware or wiring delay</w:t>
            </w:r>
          </w:p>
        </w:tc>
        <w:tc>
          <w:tcPr>
            <w:tcW w:type="dxa" w:w="727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Demonstrate one stable physical node with four-node SUMO if necessary and explicitly reduce physical coordination claims.</w:t>
            </w:r>
          </w:p>
        </w:tc>
      </w:tr>
      <w:tr>
        <w:trPr>
          <w:cantSplit/>
        </w:trPr>
        <w:tc>
          <w:tcPr>
            <w:tcW w:type="dxa" w:w="2880"/>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No verified road geometry</w:t>
            </w:r>
          </w:p>
        </w:tc>
        <w:tc>
          <w:tcPr>
            <w:tcW w:type="dxa" w:w="7272"/>
            <w:vAlign w:val="center"/>
            <w:shd w:fill="FFFFFF"/>
            <w:tcMar>
              <w:top w:w="85" w:type="dxa"/>
              <w:bottom w:w="85" w:type="dxa"/>
              <w:left w:w="100" w:type="dxa"/>
              <w:right w:w="100" w:type="dxa"/>
            </w:tcMar>
          </w:tcPr>
          <w:p>
            <w:pPr>
              <w:keepNext/>
              <w:spacing w:before="0" w:after="40" w:line="250" w:lineRule="auto"/>
            </w:pPr>
            <w:r>
              <w:rPr>
                <w:rFonts w:ascii="Arial" w:hAnsi="Arial"/>
                <w:b w:val="0"/>
                <w:color w:val="000000"/>
                <w:sz w:val="19"/>
              </w:rPr>
              <w:t>Use the validated synthetic corridor. Treat the HCM camera graph as geographic context, not a calibrated traffic network.</w:t>
            </w:r>
          </w:p>
        </w:tc>
      </w:tr>
      <w:tr>
        <w:trPr>
          <w:cantSplit/>
        </w:trPr>
        <w:tc>
          <w:tcPr>
            <w:tcW w:type="dxa" w:w="2880"/>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Source or authorship ambiguity</w:t>
            </w:r>
          </w:p>
        </w:tc>
        <w:tc>
          <w:tcPr>
            <w:tcW w:type="dxa" w:w="7272"/>
            <w:vAlign w:val="center"/>
            <w:shd w:fill="FFFFFF"/>
            <w:tcMar>
              <w:top w:w="85" w:type="dxa"/>
              <w:bottom w:w="85" w:type="dxa"/>
              <w:left w:w="100" w:type="dxa"/>
              <w:right w:w="100" w:type="dxa"/>
            </w:tcMar>
          </w:tcPr>
          <w:p>
            <w:pPr>
              <w:keepNext w:val="0"/>
              <w:spacing w:before="0" w:after="40" w:line="250" w:lineRule="auto"/>
            </w:pPr>
            <w:r>
              <w:rPr>
                <w:rFonts w:ascii="Arial" w:hAnsi="Arial"/>
                <w:b w:val="0"/>
                <w:color w:val="000000"/>
                <w:sz w:val="19"/>
              </w:rPr>
              <w:t>Record data permissions, third-party code and model licenses, team changes and model versions; retain team-owned firmware and source history.</w:t>
            </w:r>
          </w:p>
        </w:tc>
      </w:tr>
    </w:tbl>
    <w:p>
      <w:pPr>
        <w:pStyle w:val="Heading2"/>
        <w:keepNext/>
        <w:widowControl/>
      </w:pPr>
      <w:r>
        <w:rPr>
          <w:color w:val="000000"/>
        </w:rPr>
        <w:t>Source basis and revision record</w:t>
      </w:r>
    </w:p>
    <w:p>
      <w:pPr>
        <w:widowControl/>
      </w:pPr>
      <w:r>
        <w:rPr>
          <w:color w:val="000000"/>
        </w:rPr>
        <w:t>This revision uses the two uploaded Word documents, equipment PDF, rules PDF and the supplied source archive. It preserves the original six-section structure and service boundaries, but replaces the relative schedule, strengthens module acceptance criteria, and adds research and physical evidence requirements. Earlier registration materials mentioned by the old plan were not included; the official public semifinal title provides only partial registration context.</w:t>
      </w:r>
    </w:p>
    <w:p>
      <w:pPr>
        <w:pStyle w:val="ListBullet"/>
        <w:widowControl/>
        <w:spacing w:after="40"/>
      </w:pPr>
      <w:r>
        <w:rPr>
          <w:color w:val="000000"/>
        </w:rPr>
        <w:t>Retained: contract-driven interfaces, a small SUMO network, camera telemetry, deterministic adaptive control, a separate actuator, Docker development, API and dashboard, and optional later RL.</w:t>
      </w:r>
    </w:p>
    <w:p>
      <w:pPr>
        <w:pStyle w:val="ListBullet"/>
        <w:widowControl/>
        <w:spacing w:after="40"/>
      </w:pPr>
      <w:r>
        <w:rPr>
          <w:color w:val="000000"/>
        </w:rPr>
        <w:t>Corrected: current implementation status; the MaxQueue label; real-time Fixed-Time behavior; physical signal timing; metric semantics; synthetic fallbacks; deadlines; and evidence provenance.</w:t>
      </w:r>
    </w:p>
    <w:p>
      <w:pPr>
        <w:pStyle w:val="ListBullet"/>
        <w:widowControl/>
        <w:spacing w:after="40"/>
      </w:pPr>
      <w:r>
        <w:rPr>
          <w:color w:val="000000"/>
        </w:rPr>
        <w:t>Added: embedded AI and local control hardware gates, prior-work positioning, paired experiments, fair baselines, ablations, failure tests, cost assumptions and rubric mapping.</w:t>
      </w:r>
    </w:p>
    <w:p>
      <w:pPr>
        <w:pStyle w:val="ListBullet"/>
        <w:widowControl/>
        <w:spacing w:after="40"/>
      </w:pPr>
      <w:r>
        <w:rPr>
          <w:color w:val="000000"/>
        </w:rPr>
        <w:t>Not asserted: a new control theorem, verified percentage gains, a calibrated HCM digital twin, citywide deployment readiness, passed integration tests, organizer acceptance of architecture changes, or actual hardware ownership.</w:t>
      </w:r>
    </w:p>
    <w:p>
      <w:pPr>
        <w:pStyle w:val="Heading1"/>
        <w:keepNext/>
        <w:widowControl/>
      </w:pPr>
      <w:r>
        <w:rPr>
          <w:color w:val="000000"/>
        </w:rPr>
        <w:t>Appendix A Code evidence and prioritized repairs</w:t>
      </w:r>
    </w:p>
    <w:p>
      <w:pPr>
        <w:widowControl/>
      </w:pPr>
      <w:r>
        <w:rPr>
          <w:color w:val="000000"/>
        </w:rPr>
        <w:t>All paths below are relative to vedc-traffic-flow/ in the supplied ZIP. P0 items affect validity or actual operation and precede benchmark publication. P1 items strengthen research scope and reproducibility. These are source-level findings unless a separate probe is explicitly described.</w:t>
      </w:r>
    </w:p>
    <w:p>
      <w:pPr>
        <w:pStyle w:val="Heading2"/>
        <w:keepNext/>
        <w:widowControl/>
      </w:pPr>
      <w:r>
        <w:rPr>
          <w:color w:val="000000"/>
        </w:rPr>
        <w:t>A1 P0 Evaluation output is not yet research evidence</w:t>
      </w:r>
    </w:p>
    <w:p>
      <w:pPr>
        <w:widowControl/>
      </w:pPr>
      <w:r>
        <w:rPr>
          <w:color w:val="000000"/>
        </w:rPr>
        <w:t>services/experiment-runner/runner.py, run and _generate_mock_sample: fallback generation is enabled by default. It uses different random queue and flow ranges according to whether the controller name is max_pressure. In fallback-only operation the first generated sample makes the no-samples condition false, so later loop iterations do not continue generating samples. The runner subscribes and collects, but does not configure or reset the live simulator and controller. A manifest label therefore does not establish which policy or scenario ran.</w:t>
      </w:r>
    </w:p>
    <w:p>
      <w:pPr>
        <w:widowControl/>
      </w:pPr>
      <w:r>
        <w:rPr>
          <w:color w:val="000000"/>
        </w:rPr>
        <w:t>services/experiment-runner/metrics_collector.py, compute_summary: waiting time is approximated from average queue divided by average reported flow; throughput is averaged across telemetry messages; stopped counts are summed over samples. The two aggregate files under artifacts/ report 12 and 48 runs respectively, and the JSON repeats identical values for all three scenarios. No per-run traces accompany them in this ZIP. Preserve these as unverified development artifacts and rerun the study; their provenance cannot be inferred from the summaries alone.</w:t>
      </w:r>
    </w:p>
    <w:p>
      <w:pPr>
        <w:pStyle w:val="Heading2"/>
        <w:keepNext/>
        <w:widowControl/>
      </w:pPr>
      <w:r>
        <w:rPr>
          <w:color w:val="000000"/>
        </w:rPr>
        <w:t>A2 P0 Control timing and safety are incomplete</w:t>
      </w:r>
    </w:p>
    <w:p>
      <w:pPr>
        <w:widowControl/>
      </w:pPr>
      <w:r>
        <w:rPr>
          <w:color w:val="000000"/>
        </w:rPr>
        <w:t>services/graph-control/controller.py, FixedTimeController.compute_command: the phase counter increments on every invocation, independent of elapsed time. cycle_time_s appears as a command maximum rather than a schedule. A same-timestamp probe produced EW, NS, EW. services/actuator/state_machine.py, process_command: YELLOW, ALL_RED and GREEN assignments execute consecutively in one call, and max_green_s is not enforced. The ACK says APPLIED immediately. Add a clock-driven state machine, configuration authority, topology checks, expiry and actual output read-back.</w:t>
      </w:r>
    </w:p>
    <w:p>
      <w:pPr>
        <w:pStyle w:val="Heading2"/>
        <w:keepNext/>
        <w:widowControl/>
      </w:pPr>
      <w:r>
        <w:rPr>
          <w:color w:val="000000"/>
        </w:rPr>
        <w:t>A3 P0 Simulator measurements and mappings need repair</w:t>
      </w:r>
    </w:p>
    <w:p>
      <w:pPr>
        <w:widowControl/>
      </w:pPr>
      <w:r>
        <w:rPr>
          <w:color w:val="000000"/>
        </w:rPr>
        <w:t>services/simulator/sumo_engine.py: getLastStepVehicleNumber is divided by 1.0 and named flow; occupancy is clamped as if already a ratio; the timestamp is simulation time multiplied by 1000. setPhase maps to a green phase directly and cached phase state is used in telemetry. services/simulator/traffic_engine.py silently falls back to synthetic dynamics, whose node queues do not propagate vehicles along the graph. These paths cannot support an unqualified network-throughput claim. [R5, R7]</w:t>
      </w:r>
    </w:p>
    <w:p>
      <w:pPr>
        <w:widowControl/>
      </w:pPr>
      <w:r>
        <w:rPr>
          <w:color w:val="000000"/>
        </w:rPr>
        <w:t>src/graph/sumo_converter.py, parse_net_xml: green signal characters are mapped to sorted approaches with index modulo the number of approaches. The correct mapping uses controlled connections and linkIndex, not a modulo relationship. Validate every movement against the actual .net.xml. The Cologne routes file is empty, and hcm_realworld_v1 has no corresponding SUMO config in the supplied tree. Exclude these from traffic-effect claims until independently completed. [R7]</w:t>
      </w:r>
    </w:p>
    <w:p>
      <w:pPr>
        <w:pStyle w:val="Heading2"/>
        <w:keepNext/>
        <w:widowControl/>
      </w:pPr>
      <w:r>
        <w:rPr>
          <w:color w:val="000000"/>
        </w:rPr>
        <w:t>A4 P0 Vision and interface values must reflect observations</w:t>
      </w:r>
    </w:p>
    <w:p>
      <w:pPr>
        <w:widowControl/>
      </w:pPr>
      <w:r>
        <w:rPr>
          <w:color w:val="000000"/>
        </w:rPr>
        <w:t>services/vision/perception_engine.py uses background subtraction and contours; metrics_extractor.py defines queue as box count, flow as queue multiplied by 0.08 and speed as an occupancy formula. main.py sets ROIs only for the first node, loops over all nodes and supplies plausible traffic when a frame fails. There is no trained vehicle detector or persistent tracking implementation in these files. Replace these placeholders, measure stationary-queue accuracy and preserve invalid observations.</w:t>
      </w:r>
    </w:p>
    <w:p>
      <w:pPr>
        <w:widowControl/>
      </w:pPr>
      <w:r>
        <w:rPr>
          <w:color w:val="000000"/>
        </w:rPr>
        <w:t>services/dashboard/src/pages/NetworkOverview.jsx and IntersectionDetail.jsx generate random traffic values. PerformanceAnalytics.jsx holds fixed results. ControlPanel.jsx sets success messages without sending policy or override requests to a backend. services/api/main.py provides topology and map endpoints, without the claimed telemetry bridge, experiment persistence and live control implementation. Retain the interface layout while connecting genuine state and acknowledgement.</w:t>
      </w:r>
    </w:p>
    <w:p>
      <w:pPr>
        <w:pStyle w:val="Heading2"/>
        <w:keepNext/>
        <w:widowControl/>
      </w:pPr>
      <w:r>
        <w:rPr>
          <w:color w:val="000000"/>
        </w:rPr>
        <w:t>A5 P1 Network reasoning and test coverage</w:t>
      </w:r>
    </w:p>
    <w:p>
      <w:pPr>
        <w:widowControl/>
      </w:pPr>
      <w:r>
        <w:rPr>
          <w:color w:val="000000"/>
        </w:rPr>
        <w:t>services/graph-control/controller.py, MaxPressureController: phase score is the sum of queues on its incoming approaches; no downstream queue, saturation flow or turn weighting enters the decision. graph-control/main.py handles each node message directly without maintaining a network snapshot or checking telemetry freshness. Keep the current algorithm as MaxQueue and make downstream state explicit for the reference pressure policy.</w:t>
      </w:r>
    </w:p>
    <w:p>
      <w:pPr>
        <w:widowControl/>
      </w:pPr>
      <w:r>
        <w:rPr>
          <w:color w:val="000000"/>
        </w:rPr>
        <w:t>src/graph/build_camera_graph.py and build_camera_graph_delaunay.py build proximity and OSRM route graphs between camera locations. These do not by themselves supply legal signal movements, link storage, turn proportions or traffic demand. tests/integration/test_smoke.py calls classes directly with the synthetic engine; existing tests often verify shapes and immediate transitions. Add behavioral tests without treating the number of tests as evidence of controller correctness.</w:t>
      </w:r>
    </w:p>
    <w:p>
      <w:pPr>
        <w:pStyle w:val="Heading2"/>
        <w:keepNext/>
        <w:widowControl/>
      </w:pPr>
      <w:r>
        <w:rPr>
          <w:color w:val="000000"/>
        </w:rPr>
        <w:t>A6 Verification limits and archive identity</w:t>
      </w:r>
    </w:p>
    <w:p>
      <w:pPr>
        <w:widowControl/>
      </w:pPr>
      <w:r>
        <w:rPr>
          <w:color w:val="000000"/>
        </w:rPr>
        <w:t>The review performed text and source inspection plus isolated controller and mock-function probes. It did not run the full container stack, SUMO, a camera or MCU hardware. make contracts and make test both failed at tool availability with No module named pytest, rather than reporting product-test failures. The isolated mock probe verifies the biased generation mechanism only; it does not reproduce or authenticate the supplied aggregate report.</w:t>
      </w:r>
    </w:p>
    <w:p>
      <w:pPr>
        <w:widowControl/>
      </w:pPr>
      <w:r>
        <w:rPr>
          <w:color w:val="000000"/>
        </w:rPr>
        <w:t>Source archive SHA256: e747b8eb28332aaeabe18e74611e0f892a3ed122d736e566aec035cf66993b97.</w:t>
      </w:r>
    </w:p>
    <w:p>
      <w:pPr>
        <w:pStyle w:val="Heading1"/>
        <w:keepNext/>
        <w:pageBreakBefore/>
        <w:widowControl/>
      </w:pPr>
      <w:r>
        <w:rPr>
          <w:color w:val="000000"/>
        </w:rPr>
        <w:t>Appendix B Sources and reading priorities</w:t>
      </w:r>
    </w:p>
    <w:p>
      <w:pPr>
        <w:widowControl/>
      </w:pPr>
      <w:r>
        <w:rPr>
          <w:color w:val="000000"/>
        </w:rPr>
        <w:t>Uploaded sources are the primary evidence for project status and the supplied rules. Web sources below were checked on 22 September 2026. Proposed schedules, targets, algorithms and budgets in this revision are recommendations; source references do not imply that they have been implemented or achieved.</w:t>
      </w:r>
    </w:p>
    <w:p>
      <w:pPr>
        <w:widowControl/>
        <w:spacing w:after="160"/>
      </w:pPr>
      <w:r>
        <w:rPr>
          <w:color w:val="000000"/>
          <w:sz w:val="19"/>
        </w:rPr>
        <w:t>[F1] EdgeFlow_AI_Revised_Development_Plan(1).docx. Baseline dated 8 September 2026; architecture, module scope and superseded assumptions.</w:t>
      </w:r>
    </w:p>
    <w:p>
      <w:pPr>
        <w:widowControl/>
        <w:spacing w:after="160"/>
      </w:pPr>
      <w:r>
        <w:rPr>
          <w:color w:val="000000"/>
          <w:sz w:val="19"/>
        </w:rPr>
        <w:t>[F2] EdgeFlow_AI_Team_Setup_Guide.docx. Setup and engineering guardrails dated 8 September 2026.</w:t>
      </w:r>
    </w:p>
    <w:p>
      <w:pPr>
        <w:widowControl/>
        <w:spacing w:after="160"/>
      </w:pPr>
      <w:r>
        <w:rPr>
          <w:color w:val="000000"/>
          <w:sz w:val="19"/>
        </w:rPr>
        <w:t>[F3] Bảng báo cáo thiết bị và dự toán kinh phí EdgeFlow AI(1).pdf. One-page original equipment estimate, VND 7,288,000.</w:t>
      </w:r>
    </w:p>
    <w:p>
      <w:pPr>
        <w:widowControl/>
        <w:spacing w:after="160"/>
      </w:pPr>
      <w:r>
        <w:rPr>
          <w:color w:val="000000"/>
          <w:sz w:val="19"/>
        </w:rPr>
        <w:t>[F4] THỂ LỆ CUỘC THI(1).pdf. Issued 20 May 2026. Pages 2 and 3: dates, report lead time and embedded requirements. Pages 4 and 5: semifinal and final scoring.</w:t>
      </w:r>
    </w:p>
    <w:p>
      <w:pPr>
        <w:widowControl/>
        <w:spacing w:after="160"/>
      </w:pPr>
      <w:r>
        <w:rPr>
          <w:color w:val="000000"/>
          <w:sz w:val="19"/>
        </w:rPr>
        <w:t>[F5] vedc-traffic-flow.zip. Source snapshot supplied in this conversation; exact paths and limitations listed in Appendix A.</w:t>
      </w:r>
    </w:p>
    <w:p>
      <w:pPr>
        <w:widowControl/>
        <w:spacing w:after="160"/>
      </w:pPr>
      <w:r>
        <w:rPr>
          <w:sz w:val="19"/>
        </w:rPr>
        <w:t xml:space="preserve">[R1] Official VEDC introduction. Semifinal schedule and provisional final date. </w:t>
      </w:r>
      <w:hyperlink r:id="rId11">
        <w:r>
          <w:rPr>
            <w:sz w:val="19"/>
            <w:color w:val="000000"/>
          </w:rPr>
          <w:t>https://revedc.vn/vi/gioi-thieu</w:t>
        </w:r>
      </w:hyperlink>
    </w:p>
    <w:p>
      <w:pPr>
        <w:widowControl/>
        <w:spacing w:after="160"/>
      </w:pPr>
      <w:r>
        <w:rPr>
          <w:sz w:val="19"/>
        </w:rPr>
        <w:t xml:space="preserve">[R2] REV. Official announcement of 36 semifinal teams, including 31µF and its registered project title. </w:t>
      </w:r>
      <w:hyperlink r:id="rId12">
        <w:r>
          <w:rPr>
            <w:sz w:val="19"/>
            <w:color w:val="000000"/>
          </w:rPr>
          <w:t>https://rev.org.vn/nam-2026-ai-nhung-cho-he-thong-iot-thong-minh/chuc-mung-36-doi-thi-xuat-sac-vao-vong-ban-ket-vedc-2026</w:t>
        </w:r>
      </w:hyperlink>
    </w:p>
    <w:p>
      <w:pPr>
        <w:widowControl/>
        <w:spacing w:after="160"/>
      </w:pPr>
      <w:r>
        <w:rPr>
          <w:sz w:val="19"/>
        </w:rPr>
        <w:t xml:space="preserve">[R3] Gregoire, Qian, Frazzoli, de La Fortelle and Wongpiromsarn. Capacity-aware back-pressure traffic signal control. arXiv:1309.6484, version 3, 2014. Read the movement-queue model and finite-capacity assumptions first. </w:t>
      </w:r>
      <w:hyperlink r:id="rId13">
        <w:r>
          <w:rPr>
            <w:sz w:val="19"/>
            <w:color w:val="000000"/>
          </w:rPr>
          <w:t>https://arxiv.org/abs/1309.6484</w:t>
        </w:r>
      </w:hyperlink>
    </w:p>
    <w:p>
      <w:pPr>
        <w:widowControl/>
        <w:spacing w:after="160"/>
      </w:pPr>
      <w:r>
        <w:rPr>
          <w:sz w:val="19"/>
        </w:rPr>
        <w:t xml:space="preserve">[R4] Wei et al. PressLight: Learning Max Pressure Control to Coordinate Traffic Signals in Arterial Network. KDD 2019. Use as later RL context, not as a requirement to use learning for signal decisions. </w:t>
      </w:r>
      <w:hyperlink r:id="rId14">
        <w:r>
          <w:rPr>
            <w:sz w:val="19"/>
            <w:color w:val="000000"/>
          </w:rPr>
          <w:t>https://faculty.ist.psu.edu/jessieli/Publications/2019-KDD-presslight.pdf</w:t>
        </w:r>
      </w:hyperlink>
    </w:p>
    <w:p>
      <w:pPr>
        <w:widowControl/>
        <w:spacing w:after="160"/>
      </w:pPr>
      <w:r>
        <w:rPr>
          <w:sz w:val="19"/>
        </w:rPr>
        <w:t xml:space="preserve">[R5] Eclipse SUMO. Edge Value Retrieval. Authoritative meanings and units for vehicle count, occupancy and halting count. </w:t>
      </w:r>
      <w:hyperlink r:id="rId15">
        <w:r>
          <w:rPr>
            <w:sz w:val="19"/>
            <w:color w:val="000000"/>
          </w:rPr>
          <w:t>https://sumo.dlr.de/docs/TraCI/Edge_Value_Retrieval.html</w:t>
        </w:r>
      </w:hyperlink>
    </w:p>
    <w:p>
      <w:pPr>
        <w:widowControl/>
        <w:spacing w:after="160"/>
      </w:pPr>
      <w:r>
        <w:rPr>
          <w:sz w:val="19"/>
        </w:rPr>
        <w:t xml:space="preserve">[R6] Eclipse SUMO. TripInfo. Vehicle waiting time, time loss, departure delay and unfinished-trip behavior. </w:t>
      </w:r>
      <w:hyperlink r:id="rId16">
        <w:r>
          <w:rPr>
            <w:sz w:val="19"/>
            <w:color w:val="000000"/>
          </w:rPr>
          <w:t>https://sumo.dlr.de/docs/Simulation/Output/TripInfo.html</w:t>
        </w:r>
      </w:hyperlink>
    </w:p>
    <w:p>
      <w:pPr>
        <w:widowControl/>
        <w:spacing w:after="160"/>
      </w:pPr>
      <w:r>
        <w:rPr>
          <w:sz w:val="19"/>
        </w:rPr>
        <w:t xml:space="preserve">[R7] Eclipse SUMO. Traffic Lights. Controlled connection mapping, phase transitions and TraCI control semantics. </w:t>
      </w:r>
      <w:hyperlink r:id="rId17">
        <w:r>
          <w:rPr>
            <w:sz w:val="19"/>
            <w:color w:val="000000"/>
          </w:rPr>
          <w:t>https://sumo.dlr.de/docs/Simulation/Traffic_Lights.html</w:t>
        </w:r>
      </w:hyperlink>
    </w:p>
    <w:p>
      <w:pPr>
        <w:widowControl/>
        <w:spacing w:after="160"/>
      </w:pPr>
      <w:r>
        <w:rPr>
          <w:sz w:val="19"/>
        </w:rPr>
        <w:t xml:space="preserve">[R8] Ultralytics. Raspberry Pi deployment guide. Current runtime and export guidance; benchmark the selected model locally. </w:t>
      </w:r>
      <w:hyperlink r:id="rId18">
        <w:r>
          <w:rPr>
            <w:sz w:val="19"/>
            <w:color w:val="000000"/>
          </w:rPr>
          <w:t>https://docs.ultralytics.com/guides/raspberry-pi/</w:t>
        </w:r>
      </w:hyperlink>
    </w:p>
    <w:p>
      <w:pPr>
        <w:widowControl/>
        <w:spacing w:after="160"/>
      </w:pPr>
      <w:r>
        <w:rPr>
          <w:sz w:val="19"/>
        </w:rPr>
        <w:t xml:space="preserve">[R9] FHWA. Measures of Effectiveness and Validation Guidance for Adaptive Signal Control Technologies, FHWA-HOP-13-031, Chapter 2, 2013. Relates throughput, access equity and reliability objectives to validation measures. </w:t>
      </w:r>
      <w:hyperlink r:id="rId19">
        <w:r>
          <w:rPr>
            <w:sz w:val="19"/>
            <w:color w:val="000000"/>
          </w:rPr>
          <w:t>https://ops.fhwa.dot.gov/publications/fhwahop13031/chap2.htm</w:t>
        </w:r>
      </w:hyperlink>
    </w:p>
    <w:sectPr w:rsidR="00FC693F" w:rsidRPr="0006063C" w:rsidSect="00034616">
      <w:headerReference w:type="default" r:id="rId9"/>
      <w:footerReference w:type="default" r:id="rId10"/>
      <w:pgSz w:w="12240" w:h="15840"/>
      <w:pgMar w:top="936" w:right="1037" w:bottom="936" w:left="1037" w:header="374"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6"/>
      </w:rPr>
      <w:t>EdgeFlow AI  |  Development and research plan  |  22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ind w:left="360" w:right="216"/>
      <w:shd w:fill="F7F7F7"/>
    </w:pPr>
    <w:rPr>
      <w:rFonts w:ascii="DejaVu Sans Mono" w:hAnsi="DejaVu Sans Mono"/>
      <w:sz w:val="18"/>
    </w:rPr>
  </w:style>
  <w:style w:type="paragraph" w:customStyle="1" w:styleId="Callout">
    <w:name w:val="Callout"/>
    <w:pPr>
      <w:spacing w:before="120" w:after="160"/>
      <w:ind w:left="360" w:right="360"/>
      <w:shd w:fill="D9EAF7"/>
    </w:pPr>
    <w:rPr>
      <w:rFonts w:ascii="Liberation Sans" w:hAnsi="Liberation San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vedc.vn/vi/gioi-thieu" TargetMode="External"/><Relationship Id="rId12" Type="http://schemas.openxmlformats.org/officeDocument/2006/relationships/hyperlink" Target="https://rev.org.vn/nam-2026-ai-nhung-cho-he-thong-iot-thong-minh/chuc-mung-36-doi-thi-xuat-sac-vao-vong-ban-ket-vedc-2026" TargetMode="External"/><Relationship Id="rId13" Type="http://schemas.openxmlformats.org/officeDocument/2006/relationships/hyperlink" Target="https://arxiv.org/abs/1309.6484" TargetMode="External"/><Relationship Id="rId14" Type="http://schemas.openxmlformats.org/officeDocument/2006/relationships/hyperlink" Target="https://faculty.ist.psu.edu/jessieli/Publications/2019-KDD-presslight.pdf" TargetMode="External"/><Relationship Id="rId15" Type="http://schemas.openxmlformats.org/officeDocument/2006/relationships/hyperlink" Target="https://sumo.dlr.de/docs/TraCI/Edge_Value_Retrieval.html" TargetMode="External"/><Relationship Id="rId16" Type="http://schemas.openxmlformats.org/officeDocument/2006/relationships/hyperlink" Target="https://sumo.dlr.de/docs/Simulation/Output/TripInfo.html" TargetMode="External"/><Relationship Id="rId17" Type="http://schemas.openxmlformats.org/officeDocument/2006/relationships/hyperlink" Target="https://sumo.dlr.de/docs/Simulation/Traffic_Lights.html" TargetMode="External"/><Relationship Id="rId18" Type="http://schemas.openxmlformats.org/officeDocument/2006/relationships/hyperlink" Target="https://docs.ultralytics.com/guides/raspberry-pi/" TargetMode="External"/><Relationship Id="rId19" Type="http://schemas.openxmlformats.org/officeDocument/2006/relationships/hyperlink" Target="https://ops.fhwa.dot.gov/publications/fhwahop13031/chap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EdgeFlow AI Development and Research Plan</dc:title>
  <dc:subject>VEDC 2026 preparation based on source review and reproducible evaluation</dc:subject>
  <dc:creator>python-docx</dc:creator>
  <cp:keywords/>
  <dc:description>Revised from the supplied 8 September plan; findings and targets are distinguished.</dc:description>
  <cp:lastModifiedBy/>
  <cp:revision>1</cp:revision>
  <dcterms:created xsi:type="dcterms:W3CDTF">2013-12-23T23:15:00Z</dcterms:created>
  <dcterms:modified xsi:type="dcterms:W3CDTF">2013-12-23T23:15:00Z</dcterms:modified>
  <cp:category/>
</cp:coreProperties>
</file>