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7949A">
      <w:pPr>
        <w:pStyle w:val="31"/>
        <w:spacing w:before="240" w:after="80"/>
      </w:pPr>
      <w:r>
        <w:rPr>
          <w:color w:val="000000"/>
        </w:rPr>
        <w:t>战场军需官 v3 设计文档</w:t>
      </w:r>
    </w:p>
    <w:p w14:paraId="34CF3E1E">
      <w:pPr>
        <w:spacing w:after="280"/>
      </w:pPr>
      <w:r>
        <w:t>v3 多人版设计与开发实施文档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48B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293A916A">
            <w:pPr>
              <w:keepNext/>
            </w:pPr>
            <w:r>
              <w:rPr>
                <w:rFonts w:ascii="微软雅黑" w:hAnsi="微软雅黑" w:eastAsia="微软雅黑"/>
                <w:b/>
                <w:color w:val="FFFFFF"/>
                <w:sz w:val="19"/>
              </w:rPr>
              <w:t>项目项</w:t>
            </w:r>
          </w:p>
        </w:tc>
        <w:tc>
          <w:tcPr>
            <w:tcW w:w="7560" w:type="dxa"/>
            <w:shd w:val="clear" w:color="auto" w:fill="315B7D"/>
            <w:tcMar>
              <w:top w:w="80" w:type="dxa"/>
              <w:left w:w="120" w:type="dxa"/>
              <w:bottom w:w="80" w:type="dxa"/>
              <w:right w:w="120" w:type="dxa"/>
            </w:tcMar>
            <w:vAlign w:val="center"/>
          </w:tcPr>
          <w:p w14:paraId="7AD5F68B">
            <w:pPr>
              <w:keepNext/>
            </w:pPr>
            <w:r>
              <w:rPr>
                <w:rFonts w:ascii="微软雅黑" w:hAnsi="微软雅黑" w:eastAsia="微软雅黑"/>
                <w:b/>
                <w:color w:val="FFFFFF"/>
                <w:sz w:val="19"/>
              </w:rPr>
              <w:t>设定</w:t>
            </w:r>
          </w:p>
        </w:tc>
      </w:tr>
      <w:tr w14:paraId="6DFD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FA16B80">
            <w:pPr>
              <w:keepNext w:val="0"/>
            </w:pPr>
            <w:r>
              <w:rPr>
                <w:rFonts w:ascii="微软雅黑" w:hAnsi="微软雅黑" w:eastAsia="微软雅黑"/>
                <w:color w:val="202124"/>
                <w:sz w:val="18"/>
              </w:rPr>
              <w:t>目标</w:t>
            </w:r>
          </w:p>
        </w:tc>
        <w:tc>
          <w:tcPr>
            <w:tcW w:w="7560" w:type="dxa"/>
            <w:tcMar>
              <w:top w:w="80" w:type="dxa"/>
              <w:left w:w="120" w:type="dxa"/>
              <w:bottom w:w="80" w:type="dxa"/>
              <w:right w:w="120" w:type="dxa"/>
            </w:tcMar>
            <w:vAlign w:val="center"/>
          </w:tcPr>
          <w:p w14:paraId="5D77FD3B">
            <w:pPr>
              <w:keepNext w:val="0"/>
            </w:pPr>
            <w:r>
              <w:t>v2 本地完整版收官；完整六国响应与只读回放；v3 仅新增多人</w:t>
            </w:r>
          </w:p>
        </w:tc>
      </w:tr>
      <w:tr w14:paraId="5339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D7A4988">
            <w:pPr>
              <w:keepNext w:val="0"/>
            </w:pPr>
            <w:r>
              <w:rPr>
                <w:rFonts w:ascii="微软雅黑" w:hAnsi="微软雅黑" w:eastAsia="微软雅黑"/>
                <w:color w:val="202124"/>
                <w:sz w:val="18"/>
              </w:rPr>
              <w:t>推荐形态</w:t>
            </w:r>
          </w:p>
        </w:tc>
        <w:tc>
          <w:tcPr>
            <w:tcW w:w="7560" w:type="dxa"/>
            <w:shd w:val="clear" w:color="auto" w:fill="F4F6F9"/>
            <w:tcMar>
              <w:top w:w="80" w:type="dxa"/>
              <w:left w:w="120" w:type="dxa"/>
              <w:bottom w:w="80" w:type="dxa"/>
              <w:right w:w="120" w:type="dxa"/>
            </w:tcMar>
            <w:vAlign w:val="center"/>
          </w:tcPr>
          <w:p w14:paraId="168001D6">
            <w:pPr>
              <w:keepNext w:val="0"/>
            </w:pPr>
            <w:r>
              <w:t>已落地的本地浏览器游戏；React + TypeScript；单一规则状态源</w:t>
            </w:r>
          </w:p>
        </w:tc>
      </w:tr>
      <w:tr w14:paraId="2798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76FDBF5">
            <w:pPr>
              <w:keepNext w:val="0"/>
            </w:pPr>
            <w:r>
              <w:rPr>
                <w:rFonts w:ascii="微软雅黑" w:hAnsi="微软雅黑" w:eastAsia="微软雅黑"/>
                <w:color w:val="202124"/>
                <w:sz w:val="18"/>
              </w:rPr>
              <w:t>职责模式</w:t>
            </w:r>
          </w:p>
        </w:tc>
        <w:tc>
          <w:tcPr>
            <w:tcW w:w="7560" w:type="dxa"/>
            <w:tcMar>
              <w:top w:w="80" w:type="dxa"/>
              <w:left w:w="120" w:type="dxa"/>
              <w:bottom w:w="80" w:type="dxa"/>
              <w:right w:w="120" w:type="dxa"/>
            </w:tcMar>
            <w:vAlign w:val="center"/>
          </w:tcPr>
          <w:p w14:paraId="7C54CB71">
            <w:pPr>
              <w:keepNext w:val="0"/>
            </w:pPr>
            <w:r>
              <w:rPr>
                <w:rFonts w:ascii="微软雅黑" w:hAnsi="微软雅黑" w:eastAsia="微软雅黑"/>
                <w:color w:val="202124"/>
                <w:sz w:val="18"/>
              </w:rPr>
              <w:t>用户负责规则裁决和试玩验收，AI 负责全部代码、数据转换、测试与构建脚本</w:t>
            </w:r>
          </w:p>
        </w:tc>
      </w:tr>
      <w:tr w14:paraId="1F8D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287ED57">
            <w:pPr>
              <w:keepNext w:val="0"/>
            </w:pPr>
            <w:r>
              <w:rPr>
                <w:rFonts w:ascii="微软雅黑" w:hAnsi="微软雅黑" w:eastAsia="微软雅黑"/>
                <w:color w:val="202124"/>
                <w:sz w:val="18"/>
              </w:rPr>
              <w:t>版本</w:t>
            </w:r>
          </w:p>
        </w:tc>
        <w:tc>
          <w:tcPr>
            <w:tcW w:w="7560" w:type="dxa"/>
            <w:shd w:val="clear" w:color="auto" w:fill="F4F6F9"/>
            <w:tcMar>
              <w:top w:w="80" w:type="dxa"/>
              <w:left w:w="120" w:type="dxa"/>
              <w:bottom w:w="80" w:type="dxa"/>
              <w:right w:w="120" w:type="dxa"/>
            </w:tcMar>
            <w:vAlign w:val="center"/>
          </w:tcPr>
          <w:p>
            <w:pPr>
              <w:keepNext w:val="0"/>
            </w:pPr>
            <w:r>
              <w:t>设计文档 v3 | 基线程序 v0.23.0 | 规则1.2.2 | 2026-09-12</w:t>
            </w:r>
          </w:p>
        </w:tc>
      </w:tr>
    </w:tbl>
    <w:p w14:paraId="3A637C5F">
      <w:pPr>
        <w:spacing w:after="20"/>
      </w:pPr>
    </w:p>
    <w:p w14:paraId="56719DA1">
      <w:pPr>
        <w:pStyle w:val="164"/>
        <w:pBdr>
          <w:top w:val="single" w:color="C8D6E1" w:sz="6" w:space="6"/>
          <w:left w:val="single" w:color="C8D6E1" w:sz="6" w:space="6"/>
          <w:bottom w:val="single" w:color="C8D6E1" w:sz="6" w:space="6"/>
          <w:right w:val="single" w:color="C8D6E1" w:sz="6" w:space="6"/>
        </w:pBdr>
        <w:shd w:val="clear" w:fill="E8EEF5"/>
      </w:pPr>
      <w:r>
        <w:t>版本结论　v2本地完整版已完成，程序版本为v0.23.0。v3只新增多人能力，分为本机多页面测试与互联网多人两个阶段；不安排局域网多电脑测试阶段。GM空位在两个阶段均允许任何用户点击入座。多人功能以下文设计为准，不能将设计描述视为已经交付。</w:t>
      </w:r>
    </w:p>
    <w:p w14:paraId="098EBEB9">
      <w:pPr>
        <w:pStyle w:val="3"/>
      </w:pPr>
      <w:r>
        <w:t>1 文档目的与产品边界</w:t>
      </w:r>
    </w:p>
    <w:p w14:paraId="2B6CABA8">
      <w:r>
        <w:t>本文面向后续多人开发与验收。第2至8节保留完整规则与判例，第9至13节说明已完成的v2本地实现基线，第14节规定本次确认的v3多人设计，第15至17节保留v2完成标准、资产与修订历史。v3为设计阶段，尚未实施；本次只更新文档，不修改程序。现有程序仍为v0.23.0，规则版本仍为1.2.2。</w:t>
      </w:r>
    </w:p>
    <w:p w14:paraId="5B02D20A">
      <w:pPr>
        <w:pStyle w:val="4"/>
      </w:pPr>
      <w:r>
        <w:t>1.1 v2 已完成范围</w:t>
      </w:r>
    </w:p>
    <w:p w14:paraId="436E17C9">
      <w:pPr>
        <w:numPr>
          <w:ilvl w:val="0"/>
          <w:numId w:val="7"/>
        </w:numPr>
        <w:spacing w:after="80"/>
      </w:pPr>
      <w:r>
        <w:t>六个主势力按固定行动顺序完成回合，并自动执行回合开始、出牌、空军、补给、计分、弃牌与摸牌阶段。</w:t>
      </w:r>
    </w:p>
    <w:p w14:paraId="029B7BB5">
      <w:pPr>
        <w:numPr>
          <w:ilvl w:val="0"/>
          <w:numId w:val="7"/>
        </w:numPr>
        <w:spacing w:after="80"/>
      </w:pPr>
      <w:r>
        <w:t>特殊牌验证目标、处理费用，完整支持本国与其他国家的连携、响应、增强及嵌套结算。新局默认允许其他国家响应；可选效果不替玩家自动作答。</w:t>
      </w:r>
    </w:p>
    <w:p w14:paraId="76A5E582">
      <w:pPr>
        <w:numPr>
          <w:ilvl w:val="0"/>
          <w:numId w:val="7"/>
        </w:numPr>
        <w:spacing w:after="80"/>
      </w:pPr>
      <w:r>
        <w:t>同一设备可切换六国玩家、GM 和观察者身份。国家玩家固定自己的视角；GM 保留回合和起手完成后的自动切换，并提供待响应国家与返回原国家的快捷按钮。</w:t>
      </w:r>
    </w:p>
    <w:p w14:paraId="5B05A9B8">
      <w:pPr>
        <w:numPr>
          <w:ilvl w:val="0"/>
          <w:numId w:val="7"/>
        </w:numPr>
        <w:spacing w:after="80"/>
      </w:pPr>
      <w:r>
        <w:rPr>
          <w:rFonts w:ascii="微软雅黑" w:hAnsi="微软雅黑" w:eastAsia="微软雅黑"/>
          <w:color w:val="202124"/>
        </w:rPr>
        <w:t>打出需要目标的卡牌或基础牌后，规则核心计算合法选项，地图高亮可选地区，用户点击其中一个完成选择。</w:t>
      </w:r>
    </w:p>
    <w:p w14:paraId="2EBEBA0A">
      <w:pPr>
        <w:numPr>
          <w:ilvl w:val="0"/>
          <w:numId w:val="7"/>
        </w:numPr>
        <w:spacing w:after="80"/>
      </w:pPr>
      <w:r>
        <w:t>公开行动进入对局记录，恢复所需的全知操作进入独立回放文件；可导入只读回放、点击记录观察节点，并导出节点存档继续游戏。</w:t>
      </w:r>
    </w:p>
    <w:p w14:paraId="6BF81653">
      <w:pPr>
        <w:pStyle w:val="4"/>
      </w:pPr>
      <w:r>
        <w:t>1.2 v2 与 v3 的边界</w:t>
      </w:r>
    </w:p>
    <w:p w14:paraId="70DF7C86">
      <w:r>
        <w:t>v2 是本地浏览器完整版，不包含真正的网络房间、登录鉴权、远端座位占用、网络同步或断线重连。两行房间座位是本地身份与可见范围入口，并不代表多人已经实现。v3 的新增范围仅为多人：把现有身份、操作、私有信息和恢复机制接入权威服务器，详见第14节。</w:t>
      </w:r>
    </w:p>
    <w:p>
      <w:pPr>
        <w:pStyle w:val="4"/>
      </w:pPr>
      <w:r>
        <w:t>1.3 v2 视觉资产</w:t>
      </w:r>
    </w:p>
    <w:p>
      <w:pPr>
        <w:keepNext w:val="0"/>
      </w:pPr>
      <w:r>
        <w:t>地图采用既有版图图像与 SVG 热区、兵模和交互覆盖层。卡牌保留牌类、国家、牌名及规则文字。原文字圆兵模已换为用户提供的 23 张图标，按圆形裁切显示；具体国家配色与储备展示见9.3。可访问名称与地区详情继续提供文字识别。</w:t>
      </w:r>
    </w:p>
    <w:p w14:paraId="48751C25">
      <w:pPr>
        <w:pStyle w:val="3"/>
      </w:pPr>
      <w:r>
        <w:rPr>
          <w:rFonts w:ascii="微软雅黑" w:hAnsi="微软雅黑" w:eastAsia="微软雅黑"/>
          <w:color w:val="000000"/>
        </w:rPr>
        <w:t>2. 内容规模与阵营映射</w:t>
      </w:r>
    </w:p>
    <w:p w14:paraId="3A18710F">
      <w:r>
        <w:t>修订卡牌文档在军备栏目之前原有 246 张特殊牌；法国【马奇诺防线】列为禁牌并从牌池移除，因此v2 有效特殊牌为 245 张。军备、历史以及无额外效果的基础卡不进入特殊牌审计；基础卡只按数量生成。</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1500"/>
        <w:gridCol w:w="1500"/>
        <w:gridCol w:w="2310"/>
      </w:tblGrid>
      <w:tr w14:paraId="78D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1350" w:type="dxa"/>
            <w:shd w:val="clear" w:color="auto" w:fill="315B7D"/>
            <w:tcMar>
              <w:top w:w="80" w:type="dxa"/>
              <w:left w:w="120" w:type="dxa"/>
              <w:bottom w:w="80" w:type="dxa"/>
              <w:right w:w="120" w:type="dxa"/>
            </w:tcMar>
            <w:vAlign w:val="center"/>
          </w:tcPr>
          <w:p w14:paraId="6696E417">
            <w:pPr>
              <w:keepNext/>
            </w:pPr>
            <w:r>
              <w:rPr>
                <w:rFonts w:ascii="微软雅黑" w:hAnsi="微软雅黑" w:eastAsia="微软雅黑"/>
                <w:b/>
                <w:color w:val="FFFFFF"/>
                <w:sz w:val="19"/>
              </w:rPr>
              <w:t>主牌堆</w:t>
            </w:r>
          </w:p>
        </w:tc>
        <w:tc>
          <w:tcPr>
            <w:tcW w:w="2700" w:type="dxa"/>
            <w:shd w:val="clear" w:color="auto" w:fill="315B7D"/>
            <w:tcMar>
              <w:top w:w="80" w:type="dxa"/>
              <w:left w:w="120" w:type="dxa"/>
              <w:bottom w:w="80" w:type="dxa"/>
              <w:right w:w="120" w:type="dxa"/>
            </w:tcMar>
            <w:vAlign w:val="center"/>
          </w:tcPr>
          <w:p w14:paraId="7827BF79">
            <w:pPr>
              <w:keepNext/>
            </w:pPr>
            <w:r>
              <w:rPr>
                <w:rFonts w:ascii="微软雅黑" w:hAnsi="微软雅黑" w:eastAsia="微软雅黑"/>
                <w:b/>
                <w:color w:val="FFFFFF"/>
                <w:sz w:val="19"/>
              </w:rPr>
              <w:t>并入内容</w:t>
            </w:r>
          </w:p>
        </w:tc>
        <w:tc>
          <w:tcPr>
            <w:tcW w:w="1500" w:type="dxa"/>
            <w:shd w:val="clear" w:color="auto" w:fill="315B7D"/>
            <w:tcMar>
              <w:top w:w="80" w:type="dxa"/>
              <w:left w:w="120" w:type="dxa"/>
              <w:bottom w:w="80" w:type="dxa"/>
              <w:right w:w="120" w:type="dxa"/>
            </w:tcMar>
            <w:vAlign w:val="center"/>
          </w:tcPr>
          <w:p w14:paraId="0036A8EC">
            <w:pPr>
              <w:keepNext/>
            </w:pPr>
            <w:r>
              <w:rPr>
                <w:rFonts w:ascii="微软雅黑" w:hAnsi="微软雅黑" w:eastAsia="微软雅黑"/>
                <w:b/>
                <w:color w:val="FFFFFF"/>
                <w:sz w:val="19"/>
              </w:rPr>
              <w:t>特殊牌数</w:t>
            </w:r>
          </w:p>
        </w:tc>
        <w:tc>
          <w:tcPr>
            <w:tcW w:w="1500" w:type="dxa"/>
            <w:shd w:val="clear" w:color="auto" w:fill="315B7D"/>
            <w:tcMar>
              <w:top w:w="80" w:type="dxa"/>
              <w:left w:w="120" w:type="dxa"/>
              <w:bottom w:w="80" w:type="dxa"/>
              <w:right w:w="120" w:type="dxa"/>
            </w:tcMar>
            <w:vAlign w:val="center"/>
          </w:tcPr>
          <w:p w14:paraId="266A8EB4">
            <w:pPr>
              <w:keepNext/>
            </w:pPr>
            <w:r>
              <w:rPr>
                <w:rFonts w:ascii="微软雅黑" w:hAnsi="微软雅黑" w:eastAsia="微软雅黑"/>
                <w:b/>
                <w:color w:val="FFFFFF"/>
                <w:sz w:val="19"/>
              </w:rPr>
              <w:t>基础卡数</w:t>
            </w:r>
          </w:p>
        </w:tc>
        <w:tc>
          <w:tcPr>
            <w:tcW w:w="2310" w:type="dxa"/>
            <w:shd w:val="clear" w:color="auto" w:fill="315B7D"/>
            <w:tcMar>
              <w:top w:w="80" w:type="dxa"/>
              <w:left w:w="120" w:type="dxa"/>
              <w:bottom w:w="80" w:type="dxa"/>
              <w:right w:w="120" w:type="dxa"/>
            </w:tcMar>
            <w:vAlign w:val="center"/>
          </w:tcPr>
          <w:p w14:paraId="30DC28FE">
            <w:pPr>
              <w:keepNext/>
            </w:pPr>
            <w:r>
              <w:rPr>
                <w:rFonts w:ascii="微软雅黑" w:hAnsi="微软雅黑" w:eastAsia="微软雅黑"/>
                <w:b/>
                <w:color w:val="FFFFFF"/>
                <w:sz w:val="19"/>
              </w:rPr>
              <w:t>完整牌堆数</w:t>
            </w:r>
          </w:p>
        </w:tc>
      </w:tr>
      <w:tr w14:paraId="688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66A4E5A6">
            <w:pPr>
              <w:keepNext w:val="0"/>
            </w:pPr>
            <w:r>
              <w:rPr>
                <w:rFonts w:ascii="微软雅黑" w:hAnsi="微软雅黑" w:eastAsia="微软雅黑"/>
                <w:color w:val="202124"/>
                <w:sz w:val="18"/>
              </w:rPr>
              <w:t>英国</w:t>
            </w:r>
          </w:p>
        </w:tc>
        <w:tc>
          <w:tcPr>
            <w:tcW w:w="2700" w:type="dxa"/>
            <w:tcMar>
              <w:top w:w="80" w:type="dxa"/>
              <w:left w:w="120" w:type="dxa"/>
              <w:bottom w:w="80" w:type="dxa"/>
              <w:right w:w="120" w:type="dxa"/>
            </w:tcMar>
            <w:vAlign w:val="center"/>
          </w:tcPr>
          <w:p w14:paraId="047D9ACB">
            <w:pPr>
              <w:keepNext w:val="0"/>
            </w:pPr>
            <w:r>
              <w:rPr>
                <w:rFonts w:ascii="微软雅黑" w:hAnsi="微软雅黑" w:eastAsia="微软雅黑"/>
                <w:color w:val="202124"/>
                <w:sz w:val="18"/>
              </w:rPr>
              <w:t>英国27 + 法国14；【马奇诺防线】禁用</w:t>
            </w:r>
          </w:p>
        </w:tc>
        <w:tc>
          <w:tcPr>
            <w:tcW w:w="1500" w:type="dxa"/>
            <w:tcMar>
              <w:top w:w="80" w:type="dxa"/>
              <w:left w:w="120" w:type="dxa"/>
              <w:bottom w:w="80" w:type="dxa"/>
              <w:right w:w="120" w:type="dxa"/>
            </w:tcMar>
            <w:vAlign w:val="center"/>
          </w:tcPr>
          <w:p w14:paraId="6A1E34D5">
            <w:pPr>
              <w:keepNext w:val="0"/>
            </w:pPr>
            <w:r>
              <w:rPr>
                <w:rFonts w:ascii="微软雅黑" w:hAnsi="微软雅黑" w:eastAsia="微软雅黑"/>
                <w:color w:val="202124"/>
                <w:sz w:val="18"/>
              </w:rPr>
              <w:t>41</w:t>
            </w:r>
          </w:p>
        </w:tc>
        <w:tc>
          <w:tcPr>
            <w:tcW w:w="1500" w:type="dxa"/>
            <w:tcMar>
              <w:top w:w="80" w:type="dxa"/>
              <w:left w:w="120" w:type="dxa"/>
              <w:bottom w:w="80" w:type="dxa"/>
              <w:right w:w="120" w:type="dxa"/>
            </w:tcMar>
            <w:vAlign w:val="center"/>
          </w:tcPr>
          <w:p w14:paraId="6F061455">
            <w:pPr>
              <w:keepNext w:val="0"/>
            </w:pPr>
            <w:r>
              <w:rPr>
                <w:rFonts w:ascii="微软雅黑" w:hAnsi="微软雅黑" w:eastAsia="微软雅黑"/>
                <w:color w:val="202124"/>
                <w:sz w:val="18"/>
              </w:rPr>
              <w:t>24</w:t>
            </w:r>
          </w:p>
        </w:tc>
        <w:tc>
          <w:tcPr>
            <w:tcW w:w="2310" w:type="dxa"/>
            <w:tcMar>
              <w:top w:w="80" w:type="dxa"/>
              <w:left w:w="120" w:type="dxa"/>
              <w:bottom w:w="80" w:type="dxa"/>
              <w:right w:w="120" w:type="dxa"/>
            </w:tcMar>
            <w:vAlign w:val="center"/>
          </w:tcPr>
          <w:p w14:paraId="4E9B82C8">
            <w:pPr>
              <w:keepNext w:val="0"/>
            </w:pPr>
            <w:r>
              <w:rPr>
                <w:rFonts w:ascii="微软雅黑" w:hAnsi="微软雅黑" w:eastAsia="微软雅黑"/>
                <w:color w:val="202124"/>
                <w:sz w:val="18"/>
              </w:rPr>
              <w:t>65</w:t>
            </w:r>
          </w:p>
        </w:tc>
      </w:tr>
      <w:tr w14:paraId="3C8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170082F2">
            <w:pPr>
              <w:keepNext w:val="0"/>
            </w:pPr>
            <w:r>
              <w:rPr>
                <w:rFonts w:ascii="微软雅黑" w:hAnsi="微软雅黑" w:eastAsia="微软雅黑"/>
                <w:color w:val="202124"/>
                <w:sz w:val="18"/>
              </w:rPr>
              <w:t>美国</w:t>
            </w:r>
          </w:p>
        </w:tc>
        <w:tc>
          <w:tcPr>
            <w:tcW w:w="2700" w:type="dxa"/>
            <w:shd w:val="clear" w:color="auto" w:fill="F4F6F9"/>
            <w:tcMar>
              <w:top w:w="80" w:type="dxa"/>
              <w:left w:w="120" w:type="dxa"/>
              <w:bottom w:w="80" w:type="dxa"/>
              <w:right w:w="120" w:type="dxa"/>
            </w:tcMar>
            <w:vAlign w:val="center"/>
          </w:tcPr>
          <w:p w14:paraId="1B70C58F">
            <w:pPr>
              <w:keepNext w:val="0"/>
            </w:pPr>
            <w:r>
              <w:rPr>
                <w:rFonts w:ascii="微软雅黑" w:hAnsi="微软雅黑" w:eastAsia="微软雅黑"/>
                <w:color w:val="202124"/>
                <w:sz w:val="18"/>
              </w:rPr>
              <w:t>美国41 + 民国7</w:t>
            </w:r>
          </w:p>
        </w:tc>
        <w:tc>
          <w:tcPr>
            <w:tcW w:w="1500" w:type="dxa"/>
            <w:shd w:val="clear" w:color="auto" w:fill="F4F6F9"/>
            <w:tcMar>
              <w:top w:w="80" w:type="dxa"/>
              <w:left w:w="120" w:type="dxa"/>
              <w:bottom w:w="80" w:type="dxa"/>
              <w:right w:w="120" w:type="dxa"/>
            </w:tcMar>
            <w:vAlign w:val="center"/>
          </w:tcPr>
          <w:p w14:paraId="5D072E97">
            <w:pPr>
              <w:keepNext w:val="0"/>
            </w:pPr>
            <w:r>
              <w:rPr>
                <w:rFonts w:ascii="微软雅黑" w:hAnsi="微软雅黑" w:eastAsia="微软雅黑"/>
                <w:color w:val="202124"/>
                <w:sz w:val="18"/>
              </w:rPr>
              <w:t>48</w:t>
            </w:r>
          </w:p>
        </w:tc>
        <w:tc>
          <w:tcPr>
            <w:tcW w:w="1500" w:type="dxa"/>
            <w:shd w:val="clear" w:color="auto" w:fill="F4F6F9"/>
            <w:tcMar>
              <w:top w:w="80" w:type="dxa"/>
              <w:left w:w="120" w:type="dxa"/>
              <w:bottom w:w="80" w:type="dxa"/>
              <w:right w:w="120" w:type="dxa"/>
            </w:tcMar>
            <w:vAlign w:val="center"/>
          </w:tcPr>
          <w:p w14:paraId="632B3948">
            <w:pPr>
              <w:keepNext w:val="0"/>
            </w:pPr>
            <w:r>
              <w:rPr>
                <w:rFonts w:ascii="微软雅黑" w:hAnsi="微软雅黑" w:eastAsia="微软雅黑"/>
                <w:color w:val="202124"/>
                <w:sz w:val="18"/>
              </w:rPr>
              <w:t>24</w:t>
            </w:r>
          </w:p>
        </w:tc>
        <w:tc>
          <w:tcPr>
            <w:tcW w:w="2310" w:type="dxa"/>
            <w:shd w:val="clear" w:color="auto" w:fill="F4F6F9"/>
            <w:tcMar>
              <w:top w:w="80" w:type="dxa"/>
              <w:left w:w="120" w:type="dxa"/>
              <w:bottom w:w="80" w:type="dxa"/>
              <w:right w:w="120" w:type="dxa"/>
            </w:tcMar>
            <w:vAlign w:val="center"/>
          </w:tcPr>
          <w:p w14:paraId="4EBBEEA0">
            <w:pPr>
              <w:keepNext w:val="0"/>
            </w:pPr>
            <w:r>
              <w:rPr>
                <w:rFonts w:ascii="微软雅黑" w:hAnsi="微软雅黑" w:eastAsia="微软雅黑"/>
                <w:color w:val="202124"/>
                <w:sz w:val="18"/>
              </w:rPr>
              <w:t>72</w:t>
            </w:r>
          </w:p>
        </w:tc>
      </w:tr>
      <w:tr w14:paraId="3057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4C019852">
            <w:pPr>
              <w:keepNext w:val="0"/>
            </w:pPr>
            <w:r>
              <w:rPr>
                <w:rFonts w:ascii="微软雅黑" w:hAnsi="微软雅黑" w:eastAsia="微软雅黑"/>
                <w:color w:val="202124"/>
                <w:sz w:val="18"/>
              </w:rPr>
              <w:t>苏联</w:t>
            </w:r>
          </w:p>
        </w:tc>
        <w:tc>
          <w:tcPr>
            <w:tcW w:w="2700" w:type="dxa"/>
            <w:tcMar>
              <w:top w:w="80" w:type="dxa"/>
              <w:left w:w="120" w:type="dxa"/>
              <w:bottom w:w="80" w:type="dxa"/>
              <w:right w:w="120" w:type="dxa"/>
            </w:tcMar>
            <w:vAlign w:val="center"/>
          </w:tcPr>
          <w:p w14:paraId="30CAEBA3">
            <w:pPr>
              <w:keepNext w:val="0"/>
            </w:pPr>
            <w:r>
              <w:rPr>
                <w:rFonts w:ascii="微软雅黑" w:hAnsi="微软雅黑" w:eastAsia="微软雅黑"/>
                <w:color w:val="202124"/>
                <w:sz w:val="18"/>
              </w:rPr>
              <w:t>苏联33 + 中共3</w:t>
            </w:r>
          </w:p>
        </w:tc>
        <w:tc>
          <w:tcPr>
            <w:tcW w:w="1500" w:type="dxa"/>
            <w:tcMar>
              <w:top w:w="80" w:type="dxa"/>
              <w:left w:w="120" w:type="dxa"/>
              <w:bottom w:w="80" w:type="dxa"/>
              <w:right w:w="120" w:type="dxa"/>
            </w:tcMar>
            <w:vAlign w:val="center"/>
          </w:tcPr>
          <w:p w14:paraId="75407D4A">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75FFA761">
            <w:pPr>
              <w:keepNext w:val="0"/>
            </w:pPr>
            <w:r>
              <w:rPr>
                <w:rFonts w:ascii="微软雅黑" w:hAnsi="微软雅黑" w:eastAsia="微软雅黑"/>
                <w:color w:val="202124"/>
                <w:sz w:val="18"/>
              </w:rPr>
              <w:t>22</w:t>
            </w:r>
          </w:p>
        </w:tc>
        <w:tc>
          <w:tcPr>
            <w:tcW w:w="2310" w:type="dxa"/>
            <w:tcMar>
              <w:top w:w="80" w:type="dxa"/>
              <w:left w:w="120" w:type="dxa"/>
              <w:bottom w:w="80" w:type="dxa"/>
              <w:right w:w="120" w:type="dxa"/>
            </w:tcMar>
            <w:vAlign w:val="center"/>
          </w:tcPr>
          <w:p w14:paraId="4CF6409E">
            <w:pPr>
              <w:keepNext w:val="0"/>
            </w:pPr>
            <w:r>
              <w:rPr>
                <w:rFonts w:ascii="微软雅黑" w:hAnsi="微软雅黑" w:eastAsia="微软雅黑"/>
                <w:color w:val="202124"/>
                <w:sz w:val="18"/>
              </w:rPr>
              <w:t>58</w:t>
            </w:r>
          </w:p>
        </w:tc>
      </w:tr>
      <w:tr w14:paraId="16EE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60EF9072">
            <w:pPr>
              <w:keepNext w:val="0"/>
            </w:pPr>
            <w:r>
              <w:rPr>
                <w:rFonts w:ascii="微软雅黑" w:hAnsi="微软雅黑" w:eastAsia="微软雅黑"/>
                <w:color w:val="202124"/>
                <w:sz w:val="18"/>
              </w:rPr>
              <w:t>德国</w:t>
            </w:r>
          </w:p>
        </w:tc>
        <w:tc>
          <w:tcPr>
            <w:tcW w:w="2700" w:type="dxa"/>
            <w:shd w:val="clear" w:color="auto" w:fill="F4F6F9"/>
            <w:tcMar>
              <w:top w:w="80" w:type="dxa"/>
              <w:left w:w="120" w:type="dxa"/>
              <w:bottom w:w="80" w:type="dxa"/>
              <w:right w:w="120" w:type="dxa"/>
            </w:tcMar>
            <w:vAlign w:val="center"/>
          </w:tcPr>
          <w:p w14:paraId="013BC390">
            <w:pPr>
              <w:keepNext w:val="0"/>
            </w:pPr>
            <w:r>
              <w:rPr>
                <w:rFonts w:ascii="微软雅黑" w:hAnsi="微软雅黑" w:eastAsia="微软雅黑"/>
                <w:color w:val="202124"/>
                <w:sz w:val="18"/>
              </w:rPr>
              <w:t>德国</w:t>
            </w:r>
          </w:p>
        </w:tc>
        <w:tc>
          <w:tcPr>
            <w:tcW w:w="1500" w:type="dxa"/>
            <w:shd w:val="clear" w:color="auto" w:fill="F4F6F9"/>
            <w:tcMar>
              <w:top w:w="80" w:type="dxa"/>
              <w:left w:w="120" w:type="dxa"/>
              <w:bottom w:w="80" w:type="dxa"/>
              <w:right w:w="120" w:type="dxa"/>
            </w:tcMar>
            <w:vAlign w:val="center"/>
          </w:tcPr>
          <w:p w14:paraId="640845B8">
            <w:pPr>
              <w:keepNext w:val="0"/>
            </w:pPr>
            <w:r>
              <w:rPr>
                <w:rFonts w:ascii="微软雅黑" w:hAnsi="微软雅黑" w:eastAsia="微软雅黑"/>
                <w:color w:val="202124"/>
                <w:sz w:val="18"/>
              </w:rPr>
              <w:t>45</w:t>
            </w:r>
          </w:p>
        </w:tc>
        <w:tc>
          <w:tcPr>
            <w:tcW w:w="1500" w:type="dxa"/>
            <w:shd w:val="clear" w:color="auto" w:fill="F4F6F9"/>
            <w:tcMar>
              <w:top w:w="80" w:type="dxa"/>
              <w:left w:w="120" w:type="dxa"/>
              <w:bottom w:w="80" w:type="dxa"/>
              <w:right w:w="120" w:type="dxa"/>
            </w:tcMar>
            <w:vAlign w:val="center"/>
          </w:tcPr>
          <w:p w14:paraId="7FD99C3E">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3D025967">
            <w:pPr>
              <w:keepNext w:val="0"/>
            </w:pPr>
            <w:r>
              <w:rPr>
                <w:rFonts w:ascii="微软雅黑" w:hAnsi="微软雅黑" w:eastAsia="微软雅黑"/>
                <w:color w:val="202124"/>
                <w:sz w:val="18"/>
              </w:rPr>
              <w:t>68</w:t>
            </w:r>
          </w:p>
        </w:tc>
      </w:tr>
      <w:tr w14:paraId="1E5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09D14A46">
            <w:pPr>
              <w:keepNext w:val="0"/>
            </w:pPr>
            <w:r>
              <w:rPr>
                <w:rFonts w:ascii="微软雅黑" w:hAnsi="微软雅黑" w:eastAsia="微软雅黑"/>
                <w:color w:val="202124"/>
                <w:sz w:val="18"/>
              </w:rPr>
              <w:t>意大利</w:t>
            </w:r>
          </w:p>
        </w:tc>
        <w:tc>
          <w:tcPr>
            <w:tcW w:w="2700" w:type="dxa"/>
            <w:tcMar>
              <w:top w:w="80" w:type="dxa"/>
              <w:left w:w="120" w:type="dxa"/>
              <w:bottom w:w="80" w:type="dxa"/>
              <w:right w:w="120" w:type="dxa"/>
            </w:tcMar>
            <w:vAlign w:val="center"/>
          </w:tcPr>
          <w:p w14:paraId="41324AE7">
            <w:pPr>
              <w:keepNext w:val="0"/>
            </w:pPr>
            <w:r>
              <w:rPr>
                <w:rFonts w:ascii="微软雅黑" w:hAnsi="微软雅黑" w:eastAsia="微软雅黑"/>
                <w:color w:val="202124"/>
                <w:sz w:val="18"/>
              </w:rPr>
              <w:t>意大利</w:t>
            </w:r>
          </w:p>
        </w:tc>
        <w:tc>
          <w:tcPr>
            <w:tcW w:w="1500" w:type="dxa"/>
            <w:tcMar>
              <w:top w:w="80" w:type="dxa"/>
              <w:left w:w="120" w:type="dxa"/>
              <w:bottom w:w="80" w:type="dxa"/>
              <w:right w:w="120" w:type="dxa"/>
            </w:tcMar>
            <w:vAlign w:val="center"/>
          </w:tcPr>
          <w:p w14:paraId="4A1944D0">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4863BBD7">
            <w:pPr>
              <w:keepNext w:val="0"/>
            </w:pPr>
            <w:r>
              <w:rPr>
                <w:rFonts w:ascii="微软雅黑" w:hAnsi="微软雅黑" w:eastAsia="微软雅黑"/>
                <w:color w:val="202124"/>
                <w:sz w:val="18"/>
              </w:rPr>
              <w:t>18</w:t>
            </w:r>
          </w:p>
        </w:tc>
        <w:tc>
          <w:tcPr>
            <w:tcW w:w="2310" w:type="dxa"/>
            <w:tcMar>
              <w:top w:w="80" w:type="dxa"/>
              <w:left w:w="120" w:type="dxa"/>
              <w:bottom w:w="80" w:type="dxa"/>
              <w:right w:w="120" w:type="dxa"/>
            </w:tcMar>
            <w:vAlign w:val="center"/>
          </w:tcPr>
          <w:p w14:paraId="14F29BA0">
            <w:pPr>
              <w:keepNext w:val="0"/>
            </w:pPr>
            <w:r>
              <w:rPr>
                <w:rFonts w:ascii="微软雅黑" w:hAnsi="微软雅黑" w:eastAsia="微软雅黑"/>
                <w:color w:val="202124"/>
                <w:sz w:val="18"/>
              </w:rPr>
              <w:t>54</w:t>
            </w:r>
          </w:p>
        </w:tc>
      </w:tr>
      <w:tr w14:paraId="7D56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7DA964CE">
            <w:pPr>
              <w:keepNext w:val="0"/>
            </w:pPr>
            <w:r>
              <w:rPr>
                <w:rFonts w:ascii="微软雅黑" w:hAnsi="微软雅黑" w:eastAsia="微软雅黑"/>
                <w:color w:val="202124"/>
                <w:sz w:val="18"/>
              </w:rPr>
              <w:t>日本</w:t>
            </w:r>
          </w:p>
        </w:tc>
        <w:tc>
          <w:tcPr>
            <w:tcW w:w="2700" w:type="dxa"/>
            <w:shd w:val="clear" w:color="auto" w:fill="F4F6F9"/>
            <w:tcMar>
              <w:top w:w="80" w:type="dxa"/>
              <w:left w:w="120" w:type="dxa"/>
              <w:bottom w:w="80" w:type="dxa"/>
              <w:right w:w="120" w:type="dxa"/>
            </w:tcMar>
            <w:vAlign w:val="center"/>
          </w:tcPr>
          <w:p w14:paraId="27E3A9CD">
            <w:pPr>
              <w:keepNext w:val="0"/>
            </w:pPr>
            <w:r>
              <w:rPr>
                <w:rFonts w:ascii="微软雅黑" w:hAnsi="微软雅黑" w:eastAsia="微软雅黑"/>
                <w:color w:val="202124"/>
                <w:sz w:val="18"/>
              </w:rPr>
              <w:t>日本</w:t>
            </w:r>
          </w:p>
        </w:tc>
        <w:tc>
          <w:tcPr>
            <w:tcW w:w="1500" w:type="dxa"/>
            <w:shd w:val="clear" w:color="auto" w:fill="F4F6F9"/>
            <w:tcMar>
              <w:top w:w="80" w:type="dxa"/>
              <w:left w:w="120" w:type="dxa"/>
              <w:bottom w:w="80" w:type="dxa"/>
              <w:right w:w="120" w:type="dxa"/>
            </w:tcMar>
            <w:vAlign w:val="center"/>
          </w:tcPr>
          <w:p w14:paraId="4E419BCD">
            <w:pPr>
              <w:keepNext w:val="0"/>
            </w:pPr>
            <w:r>
              <w:rPr>
                <w:rFonts w:ascii="微软雅黑" w:hAnsi="微软雅黑" w:eastAsia="微软雅黑"/>
                <w:color w:val="202124"/>
                <w:sz w:val="18"/>
              </w:rPr>
              <w:t>39</w:t>
            </w:r>
          </w:p>
        </w:tc>
        <w:tc>
          <w:tcPr>
            <w:tcW w:w="1500" w:type="dxa"/>
            <w:shd w:val="clear" w:color="auto" w:fill="F4F6F9"/>
            <w:tcMar>
              <w:top w:w="80" w:type="dxa"/>
              <w:left w:w="120" w:type="dxa"/>
              <w:bottom w:w="80" w:type="dxa"/>
              <w:right w:w="120" w:type="dxa"/>
            </w:tcMar>
            <w:vAlign w:val="center"/>
          </w:tcPr>
          <w:p w14:paraId="26EC49BC">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7EBFC123">
            <w:pPr>
              <w:keepNext w:val="0"/>
            </w:pPr>
            <w:r>
              <w:rPr>
                <w:rFonts w:ascii="微软雅黑" w:hAnsi="微软雅黑" w:eastAsia="微软雅黑"/>
                <w:color w:val="202124"/>
                <w:sz w:val="18"/>
              </w:rPr>
              <w:t>62</w:t>
            </w:r>
          </w:p>
        </w:tc>
      </w:tr>
    </w:tbl>
    <w:p w14:paraId="6D5BBA6D">
      <w:pPr>
        <w:spacing w:after="20"/>
      </w:pPr>
    </w:p>
    <w:p w14:paraId="2B76F0DF">
      <w:pPr>
        <w:pStyle w:val="4"/>
      </w:pPr>
      <w:r>
        <w:rPr>
          <w:rFonts w:ascii="微软雅黑" w:hAnsi="微软雅黑" w:eastAsia="微软雅黑"/>
          <w:color w:val="000000"/>
        </w:rPr>
        <w:t>2.1 基础卡数量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ABF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60" w:type="dxa"/>
            <w:shd w:val="clear" w:color="auto" w:fill="315B7D"/>
            <w:tcMar>
              <w:top w:w="80" w:type="dxa"/>
              <w:left w:w="120" w:type="dxa"/>
              <w:bottom w:w="80" w:type="dxa"/>
              <w:right w:w="120" w:type="dxa"/>
            </w:tcMar>
            <w:vAlign w:val="center"/>
          </w:tcPr>
          <w:p w14:paraId="2683D985">
            <w:pPr>
              <w:keepNext/>
            </w:pPr>
            <w:r>
              <w:rPr>
                <w:rFonts w:ascii="微软雅黑" w:hAnsi="微软雅黑" w:eastAsia="微软雅黑"/>
                <w:b/>
                <w:color w:val="FFFFFF"/>
                <w:sz w:val="19"/>
              </w:rPr>
              <w:t>牌堆</w:t>
            </w:r>
          </w:p>
        </w:tc>
        <w:tc>
          <w:tcPr>
            <w:tcW w:w="1560" w:type="dxa"/>
            <w:shd w:val="clear" w:color="auto" w:fill="315B7D"/>
            <w:tcMar>
              <w:top w:w="80" w:type="dxa"/>
              <w:left w:w="120" w:type="dxa"/>
              <w:bottom w:w="80" w:type="dxa"/>
              <w:right w:w="120" w:type="dxa"/>
            </w:tcMar>
            <w:vAlign w:val="center"/>
          </w:tcPr>
          <w:p w14:paraId="1D198407">
            <w:pPr>
              <w:keepNext/>
            </w:pPr>
            <w:r>
              <w:rPr>
                <w:rFonts w:ascii="微软雅黑" w:hAnsi="微软雅黑" w:eastAsia="微软雅黑"/>
                <w:b/>
                <w:color w:val="FFFFFF"/>
                <w:sz w:val="19"/>
              </w:rPr>
              <w:t>建设陆军</w:t>
            </w:r>
          </w:p>
        </w:tc>
        <w:tc>
          <w:tcPr>
            <w:tcW w:w="1560" w:type="dxa"/>
            <w:shd w:val="clear" w:color="auto" w:fill="315B7D"/>
            <w:tcMar>
              <w:top w:w="80" w:type="dxa"/>
              <w:left w:w="120" w:type="dxa"/>
              <w:bottom w:w="80" w:type="dxa"/>
              <w:right w:w="120" w:type="dxa"/>
            </w:tcMar>
            <w:vAlign w:val="center"/>
          </w:tcPr>
          <w:p w14:paraId="417773F2">
            <w:pPr>
              <w:keepNext/>
            </w:pPr>
            <w:r>
              <w:rPr>
                <w:rFonts w:ascii="微软雅黑" w:hAnsi="微软雅黑" w:eastAsia="微软雅黑"/>
                <w:b/>
                <w:color w:val="FFFFFF"/>
                <w:sz w:val="19"/>
              </w:rPr>
              <w:t>发起陆战</w:t>
            </w:r>
          </w:p>
        </w:tc>
        <w:tc>
          <w:tcPr>
            <w:tcW w:w="1560" w:type="dxa"/>
            <w:shd w:val="clear" w:color="auto" w:fill="315B7D"/>
            <w:tcMar>
              <w:top w:w="80" w:type="dxa"/>
              <w:left w:w="120" w:type="dxa"/>
              <w:bottom w:w="80" w:type="dxa"/>
              <w:right w:w="120" w:type="dxa"/>
            </w:tcMar>
            <w:vAlign w:val="center"/>
          </w:tcPr>
          <w:p w14:paraId="5A23844D">
            <w:pPr>
              <w:keepNext/>
            </w:pPr>
            <w:r>
              <w:rPr>
                <w:rFonts w:ascii="微软雅黑" w:hAnsi="微软雅黑" w:eastAsia="微软雅黑"/>
                <w:b/>
                <w:color w:val="FFFFFF"/>
                <w:sz w:val="19"/>
              </w:rPr>
              <w:t>建设海军</w:t>
            </w:r>
          </w:p>
        </w:tc>
        <w:tc>
          <w:tcPr>
            <w:tcW w:w="1560" w:type="dxa"/>
            <w:shd w:val="clear" w:color="auto" w:fill="315B7D"/>
            <w:tcMar>
              <w:top w:w="80" w:type="dxa"/>
              <w:left w:w="120" w:type="dxa"/>
              <w:bottom w:w="80" w:type="dxa"/>
              <w:right w:w="120" w:type="dxa"/>
            </w:tcMar>
            <w:vAlign w:val="center"/>
          </w:tcPr>
          <w:p w14:paraId="2C995393">
            <w:pPr>
              <w:keepNext/>
            </w:pPr>
            <w:r>
              <w:rPr>
                <w:rFonts w:ascii="微软雅黑" w:hAnsi="微软雅黑" w:eastAsia="微软雅黑"/>
                <w:b/>
                <w:color w:val="FFFFFF"/>
                <w:sz w:val="19"/>
              </w:rPr>
              <w:t>发起海战</w:t>
            </w:r>
          </w:p>
        </w:tc>
        <w:tc>
          <w:tcPr>
            <w:tcW w:w="1560" w:type="dxa"/>
            <w:shd w:val="clear" w:color="auto" w:fill="315B7D"/>
            <w:tcMar>
              <w:top w:w="80" w:type="dxa"/>
              <w:left w:w="120" w:type="dxa"/>
              <w:bottom w:w="80" w:type="dxa"/>
              <w:right w:w="120" w:type="dxa"/>
            </w:tcMar>
            <w:vAlign w:val="center"/>
          </w:tcPr>
          <w:p w14:paraId="0FA72ADA">
            <w:pPr>
              <w:keepNext/>
            </w:pPr>
            <w:r>
              <w:rPr>
                <w:rFonts w:ascii="微软雅黑" w:hAnsi="微软雅黑" w:eastAsia="微软雅黑"/>
                <w:b/>
                <w:color w:val="FFFFFF"/>
                <w:sz w:val="19"/>
              </w:rPr>
              <w:t>空中力量</w:t>
            </w:r>
          </w:p>
        </w:tc>
      </w:tr>
      <w:tr w14:paraId="3F3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02038F42">
            <w:pPr>
              <w:keepNext w:val="0"/>
            </w:pPr>
            <w:r>
              <w:rPr>
                <w:rFonts w:ascii="微软雅黑" w:hAnsi="微软雅黑" w:eastAsia="微软雅黑"/>
                <w:color w:val="202124"/>
                <w:sz w:val="18"/>
              </w:rPr>
              <w:t>英国</w:t>
            </w:r>
          </w:p>
        </w:tc>
        <w:tc>
          <w:tcPr>
            <w:tcW w:w="1560" w:type="dxa"/>
            <w:tcMar>
              <w:top w:w="80" w:type="dxa"/>
              <w:left w:w="120" w:type="dxa"/>
              <w:bottom w:w="80" w:type="dxa"/>
              <w:right w:w="120" w:type="dxa"/>
            </w:tcMar>
            <w:vAlign w:val="center"/>
          </w:tcPr>
          <w:p w14:paraId="69DD7A7D">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70F91744">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585E2750">
            <w:pPr>
              <w:keepNext w:val="0"/>
            </w:pPr>
            <w:r>
              <w:rPr>
                <w:rFonts w:ascii="微软雅黑" w:hAnsi="微软雅黑" w:eastAsia="微软雅黑"/>
                <w:color w:val="202124"/>
                <w:sz w:val="18"/>
              </w:rPr>
              <w:t>6</w:t>
            </w:r>
          </w:p>
        </w:tc>
        <w:tc>
          <w:tcPr>
            <w:tcW w:w="1560" w:type="dxa"/>
            <w:tcMar>
              <w:top w:w="80" w:type="dxa"/>
              <w:left w:w="120" w:type="dxa"/>
              <w:bottom w:w="80" w:type="dxa"/>
              <w:right w:w="120" w:type="dxa"/>
            </w:tcMar>
            <w:vAlign w:val="center"/>
          </w:tcPr>
          <w:p w14:paraId="37C10CCC">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12961871">
            <w:pPr>
              <w:keepNext w:val="0"/>
            </w:pPr>
            <w:r>
              <w:rPr>
                <w:rFonts w:ascii="微软雅黑" w:hAnsi="微软雅黑" w:eastAsia="微软雅黑"/>
                <w:color w:val="202124"/>
                <w:sz w:val="18"/>
              </w:rPr>
              <w:t>4</w:t>
            </w:r>
          </w:p>
        </w:tc>
      </w:tr>
      <w:tr w14:paraId="4F55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29A5A9E5">
            <w:pPr>
              <w:keepNext w:val="0"/>
            </w:pPr>
            <w:r>
              <w:rPr>
                <w:rFonts w:ascii="微软雅黑" w:hAnsi="微软雅黑" w:eastAsia="微软雅黑"/>
                <w:color w:val="202124"/>
                <w:sz w:val="18"/>
              </w:rPr>
              <w:t>美国</w:t>
            </w:r>
          </w:p>
        </w:tc>
        <w:tc>
          <w:tcPr>
            <w:tcW w:w="1560" w:type="dxa"/>
            <w:shd w:val="clear" w:color="auto" w:fill="F4F6F9"/>
            <w:tcMar>
              <w:top w:w="80" w:type="dxa"/>
              <w:left w:w="120" w:type="dxa"/>
              <w:bottom w:w="80" w:type="dxa"/>
              <w:right w:w="120" w:type="dxa"/>
            </w:tcMar>
            <w:vAlign w:val="center"/>
          </w:tcPr>
          <w:p w14:paraId="109FA335">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433E2EB5">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3F8751E3">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78242F7F">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5209E6DB">
            <w:pPr>
              <w:keepNext w:val="0"/>
            </w:pPr>
            <w:r>
              <w:rPr>
                <w:rFonts w:ascii="微软雅黑" w:hAnsi="微软雅黑" w:eastAsia="微软雅黑"/>
                <w:color w:val="202124"/>
                <w:sz w:val="18"/>
              </w:rPr>
              <w:t>6</w:t>
            </w:r>
          </w:p>
        </w:tc>
      </w:tr>
      <w:tr w14:paraId="0A4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F2D623F">
            <w:pPr>
              <w:keepNext w:val="0"/>
            </w:pPr>
            <w:r>
              <w:rPr>
                <w:rFonts w:ascii="微软雅黑" w:hAnsi="微软雅黑" w:eastAsia="微软雅黑"/>
                <w:color w:val="202124"/>
                <w:sz w:val="18"/>
              </w:rPr>
              <w:t>苏联</w:t>
            </w:r>
          </w:p>
        </w:tc>
        <w:tc>
          <w:tcPr>
            <w:tcW w:w="1560" w:type="dxa"/>
            <w:tcMar>
              <w:top w:w="80" w:type="dxa"/>
              <w:left w:w="120" w:type="dxa"/>
              <w:bottom w:w="80" w:type="dxa"/>
              <w:right w:w="120" w:type="dxa"/>
            </w:tcMar>
            <w:vAlign w:val="center"/>
          </w:tcPr>
          <w:p w14:paraId="1C04E254">
            <w:pPr>
              <w:keepNext w:val="0"/>
            </w:pPr>
            <w:r>
              <w:rPr>
                <w:rFonts w:ascii="微软雅黑" w:hAnsi="微软雅黑" w:eastAsia="微软雅黑"/>
                <w:color w:val="202124"/>
                <w:sz w:val="18"/>
              </w:rPr>
              <w:t>9</w:t>
            </w:r>
          </w:p>
        </w:tc>
        <w:tc>
          <w:tcPr>
            <w:tcW w:w="1560" w:type="dxa"/>
            <w:tcMar>
              <w:top w:w="80" w:type="dxa"/>
              <w:left w:w="120" w:type="dxa"/>
              <w:bottom w:w="80" w:type="dxa"/>
              <w:right w:w="120" w:type="dxa"/>
            </w:tcMar>
            <w:vAlign w:val="center"/>
          </w:tcPr>
          <w:p w14:paraId="4C3780DB">
            <w:pPr>
              <w:keepNext w:val="0"/>
            </w:pPr>
            <w:r>
              <w:rPr>
                <w:rFonts w:ascii="微软雅黑" w:hAnsi="微软雅黑" w:eastAsia="微软雅黑"/>
                <w:color w:val="202124"/>
                <w:sz w:val="18"/>
              </w:rPr>
              <w:t>7</w:t>
            </w:r>
          </w:p>
        </w:tc>
        <w:tc>
          <w:tcPr>
            <w:tcW w:w="1560" w:type="dxa"/>
            <w:tcMar>
              <w:top w:w="80" w:type="dxa"/>
              <w:left w:w="120" w:type="dxa"/>
              <w:bottom w:w="80" w:type="dxa"/>
              <w:right w:w="120" w:type="dxa"/>
            </w:tcMar>
            <w:vAlign w:val="center"/>
          </w:tcPr>
          <w:p w14:paraId="2E2EF191">
            <w:pPr>
              <w:keepNext w:val="0"/>
            </w:pPr>
            <w:r>
              <w:rPr>
                <w:rFonts w:ascii="微软雅黑" w:hAnsi="微软雅黑" w:eastAsia="微软雅黑"/>
                <w:color w:val="202124"/>
                <w:sz w:val="18"/>
              </w:rPr>
              <w:t>1</w:t>
            </w:r>
          </w:p>
        </w:tc>
        <w:tc>
          <w:tcPr>
            <w:tcW w:w="1560" w:type="dxa"/>
            <w:tcMar>
              <w:top w:w="80" w:type="dxa"/>
              <w:left w:w="120" w:type="dxa"/>
              <w:bottom w:w="80" w:type="dxa"/>
              <w:right w:w="120" w:type="dxa"/>
            </w:tcMar>
            <w:vAlign w:val="center"/>
          </w:tcPr>
          <w:p w14:paraId="6DC59647">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1209E3FD">
            <w:pPr>
              <w:keepNext w:val="0"/>
            </w:pPr>
            <w:r>
              <w:rPr>
                <w:rFonts w:ascii="微软雅黑" w:hAnsi="微软雅黑" w:eastAsia="微软雅黑"/>
                <w:color w:val="202124"/>
                <w:sz w:val="18"/>
              </w:rPr>
              <w:t>3</w:t>
            </w:r>
          </w:p>
        </w:tc>
      </w:tr>
      <w:tr w14:paraId="6AA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7B778E69">
            <w:pPr>
              <w:keepNext w:val="0"/>
            </w:pPr>
            <w:r>
              <w:rPr>
                <w:rFonts w:ascii="微软雅黑" w:hAnsi="微软雅黑" w:eastAsia="微软雅黑"/>
                <w:color w:val="202124"/>
                <w:sz w:val="18"/>
              </w:rPr>
              <w:t>德国</w:t>
            </w:r>
          </w:p>
        </w:tc>
        <w:tc>
          <w:tcPr>
            <w:tcW w:w="1560" w:type="dxa"/>
            <w:shd w:val="clear" w:color="auto" w:fill="F4F6F9"/>
            <w:tcMar>
              <w:top w:w="80" w:type="dxa"/>
              <w:left w:w="120" w:type="dxa"/>
              <w:bottom w:w="80" w:type="dxa"/>
              <w:right w:w="120" w:type="dxa"/>
            </w:tcMar>
            <w:vAlign w:val="center"/>
          </w:tcPr>
          <w:p w14:paraId="661C621A">
            <w:pPr>
              <w:keepNext w:val="0"/>
            </w:pPr>
            <w:r>
              <w:rPr>
                <w:rFonts w:ascii="微软雅黑" w:hAnsi="微软雅黑" w:eastAsia="微软雅黑"/>
                <w:color w:val="202124"/>
                <w:sz w:val="18"/>
              </w:rPr>
              <w:t>6</w:t>
            </w:r>
          </w:p>
        </w:tc>
        <w:tc>
          <w:tcPr>
            <w:tcW w:w="1560" w:type="dxa"/>
            <w:shd w:val="clear" w:color="auto" w:fill="F4F6F9"/>
            <w:tcMar>
              <w:top w:w="80" w:type="dxa"/>
              <w:left w:w="120" w:type="dxa"/>
              <w:bottom w:w="80" w:type="dxa"/>
              <w:right w:w="120" w:type="dxa"/>
            </w:tcMar>
            <w:vAlign w:val="center"/>
          </w:tcPr>
          <w:p w14:paraId="07A63B68">
            <w:pPr>
              <w:keepNext w:val="0"/>
            </w:pPr>
            <w:r>
              <w:rPr>
                <w:rFonts w:ascii="微软雅黑" w:hAnsi="微软雅黑" w:eastAsia="微软雅黑"/>
                <w:color w:val="202124"/>
                <w:sz w:val="18"/>
              </w:rPr>
              <w:t>8</w:t>
            </w:r>
          </w:p>
        </w:tc>
        <w:tc>
          <w:tcPr>
            <w:tcW w:w="1560" w:type="dxa"/>
            <w:shd w:val="clear" w:color="auto" w:fill="F4F6F9"/>
            <w:tcMar>
              <w:top w:w="80" w:type="dxa"/>
              <w:left w:w="120" w:type="dxa"/>
              <w:bottom w:w="80" w:type="dxa"/>
              <w:right w:w="120" w:type="dxa"/>
            </w:tcMar>
            <w:vAlign w:val="center"/>
          </w:tcPr>
          <w:p w14:paraId="4BBF19B8">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0E78AE6A">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214005CB">
            <w:pPr>
              <w:keepNext w:val="0"/>
            </w:pPr>
            <w:r>
              <w:rPr>
                <w:rFonts w:ascii="微软雅黑" w:hAnsi="微软雅黑" w:eastAsia="微软雅黑"/>
                <w:color w:val="202124"/>
                <w:sz w:val="18"/>
              </w:rPr>
              <w:t>5</w:t>
            </w:r>
          </w:p>
        </w:tc>
      </w:tr>
      <w:tr w14:paraId="771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65935C6">
            <w:pPr>
              <w:keepNext w:val="0"/>
            </w:pPr>
            <w:r>
              <w:rPr>
                <w:rFonts w:ascii="微软雅黑" w:hAnsi="微软雅黑" w:eastAsia="微软雅黑"/>
                <w:color w:val="202124"/>
                <w:sz w:val="18"/>
              </w:rPr>
              <w:t>意大利</w:t>
            </w:r>
          </w:p>
        </w:tc>
        <w:tc>
          <w:tcPr>
            <w:tcW w:w="1560" w:type="dxa"/>
            <w:tcMar>
              <w:top w:w="80" w:type="dxa"/>
              <w:left w:w="120" w:type="dxa"/>
              <w:bottom w:w="80" w:type="dxa"/>
              <w:right w:w="120" w:type="dxa"/>
            </w:tcMar>
            <w:vAlign w:val="center"/>
          </w:tcPr>
          <w:p w14:paraId="7071CA49">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4C4788E8">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2C92FF42">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13411B1E">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65F660C2">
            <w:pPr>
              <w:keepNext w:val="0"/>
            </w:pPr>
            <w:r>
              <w:rPr>
                <w:rFonts w:ascii="微软雅黑" w:hAnsi="微软雅黑" w:eastAsia="微软雅黑"/>
                <w:color w:val="202124"/>
                <w:sz w:val="18"/>
              </w:rPr>
              <w:t>3</w:t>
            </w:r>
          </w:p>
        </w:tc>
      </w:tr>
      <w:tr w14:paraId="488D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63E4D9A3">
            <w:pPr>
              <w:keepNext w:val="0"/>
            </w:pPr>
            <w:r>
              <w:rPr>
                <w:rFonts w:ascii="微软雅黑" w:hAnsi="微软雅黑" w:eastAsia="微软雅黑"/>
                <w:color w:val="202124"/>
                <w:sz w:val="18"/>
              </w:rPr>
              <w:t>日本</w:t>
            </w:r>
          </w:p>
        </w:tc>
        <w:tc>
          <w:tcPr>
            <w:tcW w:w="1560" w:type="dxa"/>
            <w:shd w:val="clear" w:color="auto" w:fill="F4F6F9"/>
            <w:tcMar>
              <w:top w:w="80" w:type="dxa"/>
              <w:left w:w="120" w:type="dxa"/>
              <w:bottom w:w="80" w:type="dxa"/>
              <w:right w:w="120" w:type="dxa"/>
            </w:tcMar>
            <w:vAlign w:val="center"/>
          </w:tcPr>
          <w:p w14:paraId="5A62C69D">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6AF970E1">
            <w:pPr>
              <w:keepNext w:val="0"/>
            </w:pPr>
            <w:r>
              <w:rPr>
                <w:rFonts w:ascii="微软雅黑" w:hAnsi="微软雅黑" w:eastAsia="微软雅黑"/>
                <w:color w:val="202124"/>
                <w:sz w:val="18"/>
              </w:rPr>
              <w:t>3</w:t>
            </w:r>
          </w:p>
        </w:tc>
        <w:tc>
          <w:tcPr>
            <w:tcW w:w="1560" w:type="dxa"/>
            <w:shd w:val="clear" w:color="auto" w:fill="F4F6F9"/>
            <w:tcMar>
              <w:top w:w="80" w:type="dxa"/>
              <w:left w:w="120" w:type="dxa"/>
              <w:bottom w:w="80" w:type="dxa"/>
              <w:right w:w="120" w:type="dxa"/>
            </w:tcMar>
            <w:vAlign w:val="center"/>
          </w:tcPr>
          <w:p w14:paraId="072639B3">
            <w:pPr>
              <w:keepNext w:val="0"/>
            </w:pPr>
            <w:r>
              <w:rPr>
                <w:rFonts w:ascii="微软雅黑" w:hAnsi="微软雅黑" w:eastAsia="微软雅黑"/>
                <w:color w:val="202124"/>
                <w:sz w:val="18"/>
              </w:rPr>
              <w:t>7</w:t>
            </w:r>
          </w:p>
        </w:tc>
        <w:tc>
          <w:tcPr>
            <w:tcW w:w="1560" w:type="dxa"/>
            <w:shd w:val="clear" w:color="auto" w:fill="F4F6F9"/>
            <w:tcMar>
              <w:top w:w="80" w:type="dxa"/>
              <w:left w:w="120" w:type="dxa"/>
              <w:bottom w:w="80" w:type="dxa"/>
              <w:right w:w="120" w:type="dxa"/>
            </w:tcMar>
            <w:vAlign w:val="center"/>
          </w:tcPr>
          <w:p w14:paraId="55BA0348">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433C896B">
            <w:pPr>
              <w:keepNext w:val="0"/>
            </w:pPr>
            <w:r>
              <w:rPr>
                <w:rFonts w:ascii="微软雅黑" w:hAnsi="微软雅黑" w:eastAsia="微软雅黑"/>
                <w:color w:val="202124"/>
                <w:sz w:val="18"/>
              </w:rPr>
              <w:t>5</w:t>
            </w:r>
          </w:p>
        </w:tc>
      </w:tr>
    </w:tbl>
    <w:p w14:paraId="01832FE1">
      <w:pPr>
        <w:spacing w:after="20"/>
      </w:pPr>
    </w:p>
    <w:p w14:paraId="2F963082">
      <w:pPr>
        <w:pStyle w:val="4"/>
      </w:pPr>
      <w:r>
        <w:rPr>
          <w:rFonts w:ascii="微软雅黑" w:hAnsi="微软雅黑" w:eastAsia="微软雅黑"/>
          <w:color w:val="000000"/>
        </w:rPr>
        <w:t>2.2 兵模数量与所有权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2000"/>
        <w:gridCol w:w="2000"/>
        <w:gridCol w:w="2000"/>
      </w:tblGrid>
      <w:tr w14:paraId="4A21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3360" w:type="dxa"/>
            <w:shd w:val="clear" w:color="auto" w:fill="315B7D"/>
            <w:tcMar>
              <w:top w:w="80" w:type="dxa"/>
              <w:left w:w="120" w:type="dxa"/>
              <w:bottom w:w="80" w:type="dxa"/>
              <w:right w:w="120" w:type="dxa"/>
            </w:tcMar>
            <w:vAlign w:val="center"/>
          </w:tcPr>
          <w:p w14:paraId="244E9F14">
            <w:pPr>
              <w:keepNext/>
            </w:pPr>
            <w:r>
              <w:rPr>
                <w:rFonts w:ascii="微软雅黑" w:hAnsi="微软雅黑" w:eastAsia="微软雅黑"/>
                <w:b/>
                <w:color w:val="FFFFFF"/>
                <w:sz w:val="19"/>
              </w:rPr>
              <w:t>国家</w:t>
            </w:r>
          </w:p>
        </w:tc>
        <w:tc>
          <w:tcPr>
            <w:tcW w:w="2000" w:type="dxa"/>
            <w:shd w:val="clear" w:color="auto" w:fill="315B7D"/>
            <w:tcMar>
              <w:top w:w="80" w:type="dxa"/>
              <w:left w:w="120" w:type="dxa"/>
              <w:bottom w:w="80" w:type="dxa"/>
              <w:right w:w="120" w:type="dxa"/>
            </w:tcMar>
            <w:vAlign w:val="center"/>
          </w:tcPr>
          <w:p w14:paraId="0AEA0078">
            <w:pPr>
              <w:keepNext/>
            </w:pPr>
            <w:r>
              <w:rPr>
                <w:rFonts w:ascii="微软雅黑" w:hAnsi="微软雅黑" w:eastAsia="微软雅黑"/>
                <w:b/>
                <w:color w:val="FFFFFF"/>
                <w:sz w:val="19"/>
              </w:rPr>
              <w:t>陆军</w:t>
            </w:r>
          </w:p>
        </w:tc>
        <w:tc>
          <w:tcPr>
            <w:tcW w:w="2000" w:type="dxa"/>
            <w:shd w:val="clear" w:color="auto" w:fill="315B7D"/>
            <w:tcMar>
              <w:top w:w="80" w:type="dxa"/>
              <w:left w:w="120" w:type="dxa"/>
              <w:bottom w:w="80" w:type="dxa"/>
              <w:right w:w="120" w:type="dxa"/>
            </w:tcMar>
            <w:vAlign w:val="center"/>
          </w:tcPr>
          <w:p w14:paraId="4F2A970A">
            <w:pPr>
              <w:keepNext/>
            </w:pPr>
            <w:r>
              <w:rPr>
                <w:rFonts w:ascii="微软雅黑" w:hAnsi="微软雅黑" w:eastAsia="微软雅黑"/>
                <w:b/>
                <w:color w:val="FFFFFF"/>
                <w:sz w:val="19"/>
              </w:rPr>
              <w:t>海军</w:t>
            </w:r>
          </w:p>
        </w:tc>
        <w:tc>
          <w:tcPr>
            <w:tcW w:w="2000" w:type="dxa"/>
            <w:shd w:val="clear" w:color="auto" w:fill="315B7D"/>
            <w:tcMar>
              <w:top w:w="80" w:type="dxa"/>
              <w:left w:w="120" w:type="dxa"/>
              <w:bottom w:w="80" w:type="dxa"/>
              <w:right w:w="120" w:type="dxa"/>
            </w:tcMar>
            <w:vAlign w:val="center"/>
          </w:tcPr>
          <w:p w14:paraId="1D3FC47B">
            <w:pPr>
              <w:keepNext/>
            </w:pPr>
            <w:r>
              <w:rPr>
                <w:rFonts w:ascii="微软雅黑" w:hAnsi="微软雅黑" w:eastAsia="微软雅黑"/>
                <w:b/>
                <w:color w:val="FFFFFF"/>
                <w:sz w:val="19"/>
              </w:rPr>
              <w:t>空军</w:t>
            </w:r>
          </w:p>
        </w:tc>
      </w:tr>
      <w:tr w14:paraId="0C2F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C57659F">
            <w:pPr>
              <w:keepNext w:val="0"/>
            </w:pPr>
            <w:r>
              <w:rPr>
                <w:rFonts w:ascii="微软雅黑" w:hAnsi="微软雅黑" w:eastAsia="微软雅黑"/>
                <w:color w:val="202124"/>
                <w:sz w:val="18"/>
              </w:rPr>
              <w:t>英国</w:t>
            </w:r>
          </w:p>
        </w:tc>
        <w:tc>
          <w:tcPr>
            <w:tcW w:w="2000" w:type="dxa"/>
            <w:tcMar>
              <w:top w:w="80" w:type="dxa"/>
              <w:left w:w="120" w:type="dxa"/>
              <w:bottom w:w="80" w:type="dxa"/>
              <w:right w:w="120" w:type="dxa"/>
            </w:tcMar>
            <w:vAlign w:val="center"/>
          </w:tcPr>
          <w:p w14:paraId="66D89A8B">
            <w:pPr>
              <w:keepNext w:val="0"/>
            </w:pPr>
            <w:r>
              <w:rPr>
                <w:rFonts w:ascii="微软雅黑" w:hAnsi="微软雅黑" w:eastAsia="微软雅黑"/>
                <w:color w:val="202124"/>
                <w:sz w:val="18"/>
              </w:rPr>
              <w:t>6</w:t>
            </w:r>
          </w:p>
        </w:tc>
        <w:tc>
          <w:tcPr>
            <w:tcW w:w="2000" w:type="dxa"/>
            <w:tcMar>
              <w:top w:w="80" w:type="dxa"/>
              <w:left w:w="120" w:type="dxa"/>
              <w:bottom w:w="80" w:type="dxa"/>
              <w:right w:w="120" w:type="dxa"/>
            </w:tcMar>
            <w:vAlign w:val="center"/>
          </w:tcPr>
          <w:p w14:paraId="4E642F45">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7C2789C">
            <w:pPr>
              <w:keepNext w:val="0"/>
            </w:pPr>
            <w:r>
              <w:rPr>
                <w:rFonts w:ascii="微软雅黑" w:hAnsi="微软雅黑" w:eastAsia="微软雅黑"/>
                <w:color w:val="202124"/>
                <w:sz w:val="18"/>
              </w:rPr>
              <w:t>2</w:t>
            </w:r>
          </w:p>
        </w:tc>
      </w:tr>
      <w:tr w14:paraId="02B3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0013F887">
            <w:pPr>
              <w:keepNext w:val="0"/>
            </w:pPr>
            <w:r>
              <w:rPr>
                <w:rFonts w:ascii="微软雅黑" w:hAnsi="微软雅黑" w:eastAsia="微软雅黑"/>
                <w:color w:val="202124"/>
                <w:sz w:val="18"/>
              </w:rPr>
              <w:t>法国</w:t>
            </w:r>
          </w:p>
        </w:tc>
        <w:tc>
          <w:tcPr>
            <w:tcW w:w="2000" w:type="dxa"/>
            <w:shd w:val="clear" w:color="auto" w:fill="F4F6F9"/>
            <w:tcMar>
              <w:top w:w="80" w:type="dxa"/>
              <w:left w:w="120" w:type="dxa"/>
              <w:bottom w:w="80" w:type="dxa"/>
              <w:right w:w="120" w:type="dxa"/>
            </w:tcMar>
            <w:vAlign w:val="center"/>
          </w:tcPr>
          <w:p w14:paraId="4E45CA1E">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6329D9A0">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63317876">
            <w:pPr>
              <w:keepNext w:val="0"/>
            </w:pPr>
            <w:r>
              <w:rPr>
                <w:rFonts w:ascii="微软雅黑" w:hAnsi="微软雅黑" w:eastAsia="微软雅黑"/>
                <w:color w:val="202124"/>
                <w:sz w:val="18"/>
              </w:rPr>
              <w:t>1</w:t>
            </w:r>
          </w:p>
        </w:tc>
      </w:tr>
      <w:tr w14:paraId="2E8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0E8D485">
            <w:pPr>
              <w:keepNext w:val="0"/>
            </w:pPr>
            <w:r>
              <w:rPr>
                <w:rFonts w:ascii="微软雅黑" w:hAnsi="微软雅黑" w:eastAsia="微软雅黑"/>
                <w:color w:val="202124"/>
                <w:sz w:val="18"/>
              </w:rPr>
              <w:t>美国</w:t>
            </w:r>
          </w:p>
        </w:tc>
        <w:tc>
          <w:tcPr>
            <w:tcW w:w="2000" w:type="dxa"/>
            <w:tcMar>
              <w:top w:w="80" w:type="dxa"/>
              <w:left w:w="120" w:type="dxa"/>
              <w:bottom w:w="80" w:type="dxa"/>
              <w:right w:w="120" w:type="dxa"/>
            </w:tcMar>
            <w:vAlign w:val="center"/>
          </w:tcPr>
          <w:p w14:paraId="7A1E7B61">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CE77C9F">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35A34530">
            <w:pPr>
              <w:keepNext w:val="0"/>
            </w:pPr>
            <w:r>
              <w:rPr>
                <w:rFonts w:ascii="微软雅黑" w:hAnsi="微软雅黑" w:eastAsia="微软雅黑"/>
                <w:color w:val="202124"/>
                <w:sz w:val="18"/>
              </w:rPr>
              <w:t>2</w:t>
            </w:r>
          </w:p>
        </w:tc>
      </w:tr>
      <w:tr w14:paraId="1766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77D02381">
            <w:pPr>
              <w:keepNext w:val="0"/>
            </w:pPr>
            <w:r>
              <w:rPr>
                <w:rFonts w:ascii="微软雅黑" w:hAnsi="微软雅黑" w:eastAsia="微软雅黑"/>
                <w:color w:val="202124"/>
                <w:sz w:val="18"/>
              </w:rPr>
              <w:t>中国</w:t>
            </w:r>
          </w:p>
        </w:tc>
        <w:tc>
          <w:tcPr>
            <w:tcW w:w="2000" w:type="dxa"/>
            <w:shd w:val="clear" w:color="auto" w:fill="F4F6F9"/>
            <w:tcMar>
              <w:top w:w="80" w:type="dxa"/>
              <w:left w:w="120" w:type="dxa"/>
              <w:bottom w:w="80" w:type="dxa"/>
              <w:right w:w="120" w:type="dxa"/>
            </w:tcMar>
            <w:vAlign w:val="center"/>
          </w:tcPr>
          <w:p w14:paraId="07966BF7">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1E1BB128">
            <w:pPr>
              <w:keepNext w:val="0"/>
            </w:pPr>
            <w:r>
              <w:rPr>
                <w:rFonts w:ascii="微软雅黑" w:hAnsi="微软雅黑" w:eastAsia="微软雅黑"/>
                <w:color w:val="202124"/>
                <w:sz w:val="18"/>
              </w:rPr>
              <w:t>0</w:t>
            </w:r>
          </w:p>
        </w:tc>
        <w:tc>
          <w:tcPr>
            <w:tcW w:w="2000" w:type="dxa"/>
            <w:shd w:val="clear" w:color="auto" w:fill="F4F6F9"/>
            <w:tcMar>
              <w:top w:w="80" w:type="dxa"/>
              <w:left w:w="120" w:type="dxa"/>
              <w:bottom w:w="80" w:type="dxa"/>
              <w:right w:w="120" w:type="dxa"/>
            </w:tcMar>
            <w:vAlign w:val="center"/>
          </w:tcPr>
          <w:p w14:paraId="09A0A9C0">
            <w:pPr>
              <w:keepNext w:val="0"/>
            </w:pPr>
            <w:r>
              <w:rPr>
                <w:rFonts w:ascii="微软雅黑" w:hAnsi="微软雅黑" w:eastAsia="微软雅黑"/>
                <w:color w:val="202124"/>
                <w:sz w:val="18"/>
              </w:rPr>
              <w:t>1</w:t>
            </w:r>
          </w:p>
        </w:tc>
      </w:tr>
      <w:tr w14:paraId="30C5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5F543034">
            <w:pPr>
              <w:keepNext w:val="0"/>
            </w:pPr>
            <w:r>
              <w:rPr>
                <w:rFonts w:ascii="微软雅黑" w:hAnsi="微软雅黑" w:eastAsia="微软雅黑"/>
                <w:color w:val="202124"/>
                <w:sz w:val="18"/>
              </w:rPr>
              <w:t>苏联</w:t>
            </w:r>
          </w:p>
        </w:tc>
        <w:tc>
          <w:tcPr>
            <w:tcW w:w="2000" w:type="dxa"/>
            <w:tcMar>
              <w:top w:w="80" w:type="dxa"/>
              <w:left w:w="120" w:type="dxa"/>
              <w:bottom w:w="80" w:type="dxa"/>
              <w:right w:w="120" w:type="dxa"/>
            </w:tcMar>
            <w:vAlign w:val="center"/>
          </w:tcPr>
          <w:p w14:paraId="66C46630">
            <w:pPr>
              <w:keepNext w:val="0"/>
            </w:pPr>
            <w:r>
              <w:rPr>
                <w:rFonts w:ascii="微软雅黑" w:hAnsi="微软雅黑" w:eastAsia="微软雅黑"/>
                <w:color w:val="202124"/>
                <w:sz w:val="18"/>
              </w:rPr>
              <w:t>7</w:t>
            </w:r>
          </w:p>
        </w:tc>
        <w:tc>
          <w:tcPr>
            <w:tcW w:w="2000" w:type="dxa"/>
            <w:tcMar>
              <w:top w:w="80" w:type="dxa"/>
              <w:left w:w="120" w:type="dxa"/>
              <w:bottom w:w="80" w:type="dxa"/>
              <w:right w:w="120" w:type="dxa"/>
            </w:tcMar>
            <w:vAlign w:val="center"/>
          </w:tcPr>
          <w:p w14:paraId="623A088E">
            <w:pPr>
              <w:keepNext w:val="0"/>
            </w:pPr>
            <w:r>
              <w:rPr>
                <w:rFonts w:ascii="微软雅黑" w:hAnsi="微软雅黑" w:eastAsia="微软雅黑"/>
                <w:color w:val="202124"/>
                <w:sz w:val="18"/>
              </w:rPr>
              <w:t>1</w:t>
            </w:r>
          </w:p>
        </w:tc>
        <w:tc>
          <w:tcPr>
            <w:tcW w:w="2000" w:type="dxa"/>
            <w:tcMar>
              <w:top w:w="80" w:type="dxa"/>
              <w:left w:w="120" w:type="dxa"/>
              <w:bottom w:w="80" w:type="dxa"/>
              <w:right w:w="120" w:type="dxa"/>
            </w:tcMar>
            <w:vAlign w:val="center"/>
          </w:tcPr>
          <w:p w14:paraId="0D2F1DC4">
            <w:pPr>
              <w:keepNext w:val="0"/>
            </w:pPr>
            <w:r>
              <w:rPr>
                <w:rFonts w:ascii="微软雅黑" w:hAnsi="微软雅黑" w:eastAsia="微软雅黑"/>
                <w:color w:val="202124"/>
                <w:sz w:val="18"/>
              </w:rPr>
              <w:t>1</w:t>
            </w:r>
          </w:p>
        </w:tc>
      </w:tr>
      <w:tr w14:paraId="7F5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1897A0C1">
            <w:pPr>
              <w:keepNext w:val="0"/>
            </w:pPr>
            <w:r>
              <w:rPr>
                <w:rFonts w:ascii="微软雅黑" w:hAnsi="微软雅黑" w:eastAsia="微软雅黑"/>
                <w:color w:val="202124"/>
                <w:sz w:val="18"/>
              </w:rPr>
              <w:t>德国</w:t>
            </w:r>
          </w:p>
        </w:tc>
        <w:tc>
          <w:tcPr>
            <w:tcW w:w="2000" w:type="dxa"/>
            <w:shd w:val="clear" w:color="auto" w:fill="F4F6F9"/>
            <w:tcMar>
              <w:top w:w="80" w:type="dxa"/>
              <w:left w:w="120" w:type="dxa"/>
              <w:bottom w:w="80" w:type="dxa"/>
              <w:right w:w="120" w:type="dxa"/>
            </w:tcMar>
            <w:vAlign w:val="center"/>
          </w:tcPr>
          <w:p w14:paraId="2E063853">
            <w:pPr>
              <w:keepNext w:val="0"/>
            </w:pPr>
            <w:r>
              <w:rPr>
                <w:rFonts w:ascii="微软雅黑" w:hAnsi="微软雅黑" w:eastAsia="微软雅黑"/>
                <w:color w:val="202124"/>
                <w:sz w:val="18"/>
              </w:rPr>
              <w:t>7</w:t>
            </w:r>
          </w:p>
        </w:tc>
        <w:tc>
          <w:tcPr>
            <w:tcW w:w="2000" w:type="dxa"/>
            <w:shd w:val="clear" w:color="auto" w:fill="F4F6F9"/>
            <w:tcMar>
              <w:top w:w="80" w:type="dxa"/>
              <w:left w:w="120" w:type="dxa"/>
              <w:bottom w:w="80" w:type="dxa"/>
              <w:right w:w="120" w:type="dxa"/>
            </w:tcMar>
            <w:vAlign w:val="center"/>
          </w:tcPr>
          <w:p w14:paraId="69B56F85">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1F6F2ABA">
            <w:pPr>
              <w:keepNext w:val="0"/>
            </w:pPr>
            <w:r>
              <w:rPr>
                <w:rFonts w:ascii="微软雅黑" w:hAnsi="微软雅黑" w:eastAsia="微软雅黑"/>
                <w:color w:val="202124"/>
                <w:sz w:val="18"/>
              </w:rPr>
              <w:t>2</w:t>
            </w:r>
          </w:p>
        </w:tc>
      </w:tr>
      <w:tr w14:paraId="1892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3BBC8A57">
            <w:pPr>
              <w:keepNext w:val="0"/>
            </w:pPr>
            <w:r>
              <w:rPr>
                <w:rFonts w:ascii="微软雅黑" w:hAnsi="微软雅黑" w:eastAsia="微软雅黑"/>
                <w:color w:val="202124"/>
                <w:sz w:val="18"/>
              </w:rPr>
              <w:t>意大利</w:t>
            </w:r>
          </w:p>
        </w:tc>
        <w:tc>
          <w:tcPr>
            <w:tcW w:w="2000" w:type="dxa"/>
            <w:tcMar>
              <w:top w:w="80" w:type="dxa"/>
              <w:left w:w="120" w:type="dxa"/>
              <w:bottom w:w="80" w:type="dxa"/>
              <w:right w:w="120" w:type="dxa"/>
            </w:tcMar>
            <w:vAlign w:val="center"/>
          </w:tcPr>
          <w:p w14:paraId="3773D051">
            <w:pPr>
              <w:keepNext w:val="0"/>
            </w:pPr>
            <w:r>
              <w:rPr>
                <w:rFonts w:ascii="微软雅黑" w:hAnsi="微软雅黑" w:eastAsia="微软雅黑"/>
                <w:color w:val="202124"/>
                <w:sz w:val="18"/>
              </w:rPr>
              <w:t>4</w:t>
            </w:r>
          </w:p>
        </w:tc>
        <w:tc>
          <w:tcPr>
            <w:tcW w:w="2000" w:type="dxa"/>
            <w:tcMar>
              <w:top w:w="80" w:type="dxa"/>
              <w:left w:w="120" w:type="dxa"/>
              <w:bottom w:w="80" w:type="dxa"/>
              <w:right w:w="120" w:type="dxa"/>
            </w:tcMar>
            <w:vAlign w:val="center"/>
          </w:tcPr>
          <w:p w14:paraId="359697E8">
            <w:pPr>
              <w:keepNext w:val="0"/>
            </w:pPr>
            <w:r>
              <w:rPr>
                <w:rFonts w:ascii="微软雅黑" w:hAnsi="微软雅黑" w:eastAsia="微软雅黑"/>
                <w:color w:val="202124"/>
                <w:sz w:val="18"/>
              </w:rPr>
              <w:t>3</w:t>
            </w:r>
          </w:p>
        </w:tc>
        <w:tc>
          <w:tcPr>
            <w:tcW w:w="2000" w:type="dxa"/>
            <w:tcMar>
              <w:top w:w="80" w:type="dxa"/>
              <w:left w:w="120" w:type="dxa"/>
              <w:bottom w:w="80" w:type="dxa"/>
              <w:right w:w="120" w:type="dxa"/>
            </w:tcMar>
            <w:vAlign w:val="center"/>
          </w:tcPr>
          <w:p w14:paraId="3CAD5EDA">
            <w:pPr>
              <w:keepNext w:val="0"/>
            </w:pPr>
            <w:r>
              <w:rPr>
                <w:rFonts w:ascii="微软雅黑" w:hAnsi="微软雅黑" w:eastAsia="微软雅黑"/>
                <w:color w:val="202124"/>
                <w:sz w:val="18"/>
              </w:rPr>
              <w:t>1</w:t>
            </w:r>
          </w:p>
        </w:tc>
      </w:tr>
      <w:tr w14:paraId="5FB0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44AB58F2">
            <w:pPr>
              <w:keepNext w:val="0"/>
            </w:pPr>
            <w:r>
              <w:rPr>
                <w:rFonts w:ascii="微软雅黑" w:hAnsi="微软雅黑" w:eastAsia="微软雅黑"/>
                <w:color w:val="202124"/>
                <w:sz w:val="18"/>
              </w:rPr>
              <w:t>日本</w:t>
            </w:r>
          </w:p>
        </w:tc>
        <w:tc>
          <w:tcPr>
            <w:tcW w:w="2000" w:type="dxa"/>
            <w:shd w:val="clear" w:color="auto" w:fill="F4F6F9"/>
            <w:tcMar>
              <w:top w:w="80" w:type="dxa"/>
              <w:left w:w="120" w:type="dxa"/>
              <w:bottom w:w="80" w:type="dxa"/>
              <w:right w:w="120" w:type="dxa"/>
            </w:tcMar>
            <w:vAlign w:val="center"/>
          </w:tcPr>
          <w:p w14:paraId="374653FA">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D548F74">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E8D4E71">
            <w:pPr>
              <w:keepNext w:val="0"/>
            </w:pPr>
            <w:r>
              <w:rPr>
                <w:rFonts w:ascii="微软雅黑" w:hAnsi="微软雅黑" w:eastAsia="微软雅黑"/>
                <w:color w:val="202124"/>
                <w:sz w:val="18"/>
              </w:rPr>
              <w:t>2</w:t>
            </w:r>
          </w:p>
        </w:tc>
      </w:tr>
    </w:tbl>
    <w:p w14:paraId="41F82C1B">
      <w:pPr>
        <w:spacing w:after="20"/>
      </w:pPr>
    </w:p>
    <w:p w14:paraId="3884B8AE">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实现规则　</w:t>
      </w:r>
      <w:r>
        <w:rPr>
          <w:rFonts w:ascii="微软雅黑" w:hAnsi="微软雅黑" w:eastAsia="微软雅黑"/>
        </w:rPr>
        <w:t>牌堆归属、卡牌所属国家、部队所属国家必须是三个独立字段。例如中共卡在苏联牌堆，但产生中国部队；不能根据牌堆自动推导部队国家。禁牌使用独立 bannedCardIds 配置，在组牌时排除。</w:t>
      </w:r>
    </w:p>
    <w:p w14:paraId="3F8F56FF">
      <w:pPr>
        <w:pStyle w:val="3"/>
      </w:pPr>
      <w:r>
        <w:rPr>
          <w:rFonts w:ascii="微软雅黑" w:hAnsi="微软雅黑" w:eastAsia="微软雅黑"/>
          <w:color w:val="000000"/>
        </w:rPr>
        <w:t>3. 平台与总体架构</w:t>
      </w:r>
    </w:p>
    <w:p w14:paraId="2661256D">
      <w:r>
        <w:t>v2 已采用 React 与 TypeScript 的本地浏览器架构。纯 TypeScript 规则核心维护唯一游戏状态，LocalGameController 串行处理命令，SVG 承担地图交互，IndexedDB 保存当前对局。界面与规则保持分离；v3 沿用规则引擎和数据模型，在控制器边界增加多人能力。</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5060"/>
      </w:tblGrid>
      <w:tr w14:paraId="4C8D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3D5D66EB">
            <w:pPr>
              <w:keepNext/>
            </w:pPr>
            <w:r>
              <w:rPr>
                <w:rFonts w:ascii="微软雅黑" w:hAnsi="微软雅黑" w:eastAsia="微软雅黑"/>
                <w:b/>
                <w:color w:val="FFFFFF"/>
                <w:sz w:val="19"/>
              </w:rPr>
              <w:t>层</w:t>
            </w:r>
          </w:p>
        </w:tc>
        <w:tc>
          <w:tcPr>
            <w:tcW w:w="2800" w:type="dxa"/>
            <w:shd w:val="clear" w:color="auto" w:fill="315B7D"/>
            <w:tcMar>
              <w:top w:w="80" w:type="dxa"/>
              <w:left w:w="120" w:type="dxa"/>
              <w:bottom w:w="80" w:type="dxa"/>
              <w:right w:w="120" w:type="dxa"/>
            </w:tcMar>
            <w:vAlign w:val="center"/>
          </w:tcPr>
          <w:p w14:paraId="0A8A7F0F">
            <w:pPr>
              <w:keepNext/>
            </w:pPr>
            <w:r>
              <w:rPr>
                <w:b/>
                <w:color w:val="FFFFFF"/>
              </w:rPr>
              <w:t>已采用技术</w:t>
            </w:r>
          </w:p>
        </w:tc>
        <w:tc>
          <w:tcPr>
            <w:tcW w:w="5060" w:type="dxa"/>
            <w:shd w:val="clear" w:color="auto" w:fill="315B7D"/>
            <w:tcMar>
              <w:top w:w="80" w:type="dxa"/>
              <w:left w:w="120" w:type="dxa"/>
              <w:bottom w:w="80" w:type="dxa"/>
              <w:right w:w="120" w:type="dxa"/>
            </w:tcMar>
            <w:vAlign w:val="center"/>
          </w:tcPr>
          <w:p w14:paraId="1119CBD2">
            <w:pPr>
              <w:keepNext/>
            </w:pPr>
            <w:r>
              <w:rPr>
                <w:rFonts w:ascii="微软雅黑" w:hAnsi="微软雅黑" w:eastAsia="微软雅黑"/>
                <w:b/>
                <w:color w:val="FFFFFF"/>
                <w:sz w:val="19"/>
              </w:rPr>
              <w:t>职责</w:t>
            </w:r>
          </w:p>
        </w:tc>
      </w:tr>
      <w:tr w14:paraId="59D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9A6E7D0">
            <w:pPr>
              <w:keepNext w:val="0"/>
            </w:pPr>
            <w:r>
              <w:rPr>
                <w:rFonts w:ascii="微软雅黑" w:hAnsi="微软雅黑" w:eastAsia="微软雅黑"/>
                <w:color w:val="202124"/>
                <w:sz w:val="18"/>
              </w:rPr>
              <w:t>界面</w:t>
            </w:r>
          </w:p>
        </w:tc>
        <w:tc>
          <w:tcPr>
            <w:tcW w:w="2800" w:type="dxa"/>
            <w:tcMar>
              <w:top w:w="80" w:type="dxa"/>
              <w:left w:w="120" w:type="dxa"/>
              <w:bottom w:w="80" w:type="dxa"/>
              <w:right w:w="120" w:type="dxa"/>
            </w:tcMar>
            <w:vAlign w:val="center"/>
          </w:tcPr>
          <w:p w14:paraId="4ED5EAA4">
            <w:pPr>
              <w:keepNext w:val="0"/>
            </w:pPr>
            <w:r>
              <w:rPr>
                <w:rFonts w:ascii="微软雅黑" w:hAnsi="微软雅黑" w:eastAsia="微软雅黑"/>
                <w:color w:val="202124"/>
                <w:sz w:val="18"/>
              </w:rPr>
              <w:t>React + TypeScript</w:t>
            </w:r>
          </w:p>
        </w:tc>
        <w:tc>
          <w:tcPr>
            <w:tcW w:w="5060" w:type="dxa"/>
            <w:tcMar>
              <w:top w:w="80" w:type="dxa"/>
              <w:left w:w="120" w:type="dxa"/>
              <w:bottom w:w="80" w:type="dxa"/>
              <w:right w:w="120" w:type="dxa"/>
            </w:tcMar>
            <w:vAlign w:val="center"/>
          </w:tcPr>
          <w:p w14:paraId="08483399">
            <w:pPr>
              <w:keepNext w:val="0"/>
            </w:pPr>
            <w:r>
              <w:rPr>
                <w:rFonts w:ascii="微软雅黑" w:hAnsi="微软雅黑" w:eastAsia="微软雅黑"/>
                <w:color w:val="202124"/>
                <w:sz w:val="18"/>
              </w:rPr>
              <w:t>六国视角、手牌、阶段提示、选择流程、日志与设置</w:t>
            </w:r>
          </w:p>
        </w:tc>
      </w:tr>
      <w:tr w14:paraId="0B08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2C8E80">
            <w:pPr>
              <w:keepNext w:val="0"/>
            </w:pPr>
            <w:r>
              <w:rPr>
                <w:rFonts w:ascii="微软雅黑" w:hAnsi="微软雅黑" w:eastAsia="微软雅黑"/>
                <w:color w:val="202124"/>
                <w:sz w:val="18"/>
              </w:rPr>
              <w:t>版图</w:t>
            </w:r>
          </w:p>
        </w:tc>
        <w:tc>
          <w:tcPr>
            <w:tcW w:w="2800" w:type="dxa"/>
            <w:shd w:val="clear" w:color="auto" w:fill="F4F6F9"/>
            <w:tcMar>
              <w:top w:w="80" w:type="dxa"/>
              <w:left w:w="120" w:type="dxa"/>
              <w:bottom w:w="80" w:type="dxa"/>
              <w:right w:w="120" w:type="dxa"/>
            </w:tcMar>
            <w:vAlign w:val="center"/>
          </w:tcPr>
          <w:p w14:paraId="3CF4F02B">
            <w:pPr>
              <w:keepNext w:val="0"/>
            </w:pPr>
            <w:r>
              <w:t>SVG 覆盖层与既有地图图像</w:t>
            </w:r>
          </w:p>
        </w:tc>
        <w:tc>
          <w:tcPr>
            <w:tcW w:w="5060" w:type="dxa"/>
            <w:shd w:val="clear" w:color="auto" w:fill="F4F6F9"/>
            <w:tcMar>
              <w:top w:w="80" w:type="dxa"/>
              <w:left w:w="120" w:type="dxa"/>
              <w:bottom w:w="80" w:type="dxa"/>
              <w:right w:w="120" w:type="dxa"/>
            </w:tcMar>
            <w:vAlign w:val="center"/>
          </w:tcPr>
          <w:p w14:paraId="62806A96">
            <w:pPr>
              <w:keepNext w:val="0"/>
            </w:pPr>
            <w:r>
              <w:rPr>
                <w:rFonts w:ascii="微软雅黑" w:hAnsi="微软雅黑" w:eastAsia="微软雅黑"/>
                <w:color w:val="202124"/>
                <w:sz w:val="18"/>
              </w:rPr>
              <w:t>地区热区、邻接提示、棋子图层与缩放；不绘制周边计分格</w:t>
            </w:r>
          </w:p>
        </w:tc>
      </w:tr>
      <w:tr w14:paraId="776D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1263043">
            <w:pPr>
              <w:keepNext w:val="0"/>
            </w:pPr>
            <w:r>
              <w:rPr>
                <w:rFonts w:ascii="微软雅黑" w:hAnsi="微软雅黑" w:eastAsia="微软雅黑"/>
                <w:color w:val="202124"/>
                <w:sz w:val="18"/>
              </w:rPr>
              <w:t>计分板</w:t>
            </w:r>
          </w:p>
        </w:tc>
        <w:tc>
          <w:tcPr>
            <w:tcW w:w="2800" w:type="dxa"/>
            <w:tcMar>
              <w:top w:w="80" w:type="dxa"/>
              <w:left w:w="120" w:type="dxa"/>
              <w:bottom w:w="80" w:type="dxa"/>
              <w:right w:w="120" w:type="dxa"/>
            </w:tcMar>
            <w:vAlign w:val="center"/>
          </w:tcPr>
          <w:p w14:paraId="3682D28D">
            <w:pPr>
              <w:keepNext w:val="0"/>
            </w:pPr>
            <w:r>
              <w:rPr>
                <w:rFonts w:ascii="微软雅黑" w:hAnsi="微软雅黑" w:eastAsia="微软雅黑"/>
                <w:color w:val="202124"/>
                <w:sz w:val="18"/>
              </w:rPr>
              <w:t>独立 React 面板</w:t>
            </w:r>
          </w:p>
        </w:tc>
        <w:tc>
          <w:tcPr>
            <w:tcW w:w="5060" w:type="dxa"/>
            <w:tcMar>
              <w:top w:w="80" w:type="dxa"/>
              <w:left w:w="120" w:type="dxa"/>
              <w:bottom w:w="80" w:type="dxa"/>
              <w:right w:w="120" w:type="dxa"/>
            </w:tcMar>
            <w:vAlign w:val="center"/>
          </w:tcPr>
          <w:p w14:paraId="6A53760A">
            <w:pPr>
              <w:keepNext w:val="0"/>
            </w:pPr>
            <w:r>
              <w:rPr>
                <w:rFonts w:ascii="微软雅黑" w:hAnsi="微软雅黑" w:eastAsia="微软雅黑"/>
                <w:color w:val="202124"/>
                <w:sz w:val="18"/>
              </w:rPr>
              <w:t>显示六国及两阵营分数，不占用地图边缘</w:t>
            </w:r>
          </w:p>
        </w:tc>
      </w:tr>
      <w:tr w14:paraId="04E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FA8FE55">
            <w:pPr>
              <w:keepNext w:val="0"/>
            </w:pPr>
            <w:r>
              <w:rPr>
                <w:rFonts w:ascii="微软雅黑" w:hAnsi="微软雅黑" w:eastAsia="微软雅黑"/>
                <w:color w:val="202124"/>
                <w:sz w:val="18"/>
              </w:rPr>
              <w:t>规则核心</w:t>
            </w:r>
          </w:p>
        </w:tc>
        <w:tc>
          <w:tcPr>
            <w:tcW w:w="2800" w:type="dxa"/>
            <w:shd w:val="clear" w:color="auto" w:fill="F4F6F9"/>
            <w:tcMar>
              <w:top w:w="80" w:type="dxa"/>
              <w:left w:w="120" w:type="dxa"/>
              <w:bottom w:w="80" w:type="dxa"/>
              <w:right w:w="120" w:type="dxa"/>
            </w:tcMar>
            <w:vAlign w:val="center"/>
          </w:tcPr>
          <w:p w14:paraId="3F359162">
            <w:pPr>
              <w:keepNext w:val="0"/>
            </w:pPr>
            <w:r>
              <w:rPr>
                <w:rFonts w:ascii="微软雅黑" w:hAnsi="微软雅黑" w:eastAsia="微软雅黑"/>
                <w:color w:val="202124"/>
                <w:sz w:val="18"/>
              </w:rPr>
              <w:t>纯 TypeScript 包</w:t>
            </w:r>
          </w:p>
        </w:tc>
        <w:tc>
          <w:tcPr>
            <w:tcW w:w="5060" w:type="dxa"/>
            <w:shd w:val="clear" w:color="auto" w:fill="F4F6F9"/>
            <w:tcMar>
              <w:top w:w="80" w:type="dxa"/>
              <w:left w:w="120" w:type="dxa"/>
              <w:bottom w:w="80" w:type="dxa"/>
              <w:right w:w="120" w:type="dxa"/>
            </w:tcMar>
            <w:vAlign w:val="center"/>
          </w:tcPr>
          <w:p w14:paraId="29B8C98C">
            <w:pPr>
              <w:keepNext w:val="0"/>
            </w:pPr>
            <w:r>
              <w:rPr>
                <w:rFonts w:ascii="微软雅黑" w:hAnsi="微软雅黑" w:eastAsia="微软雅黑"/>
                <w:color w:val="202124"/>
                <w:sz w:val="18"/>
              </w:rPr>
              <w:t>确定性状态变换、合法行动、结算栈、补给与计分</w:t>
            </w:r>
          </w:p>
        </w:tc>
      </w:tr>
      <w:tr w14:paraId="68E2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EE8B41B">
            <w:pPr>
              <w:keepNext w:val="0"/>
            </w:pPr>
            <w:r>
              <w:rPr>
                <w:rFonts w:ascii="微软雅黑" w:hAnsi="微软雅黑" w:eastAsia="微软雅黑"/>
                <w:color w:val="202124"/>
                <w:sz w:val="18"/>
              </w:rPr>
              <w:t>本地控制器</w:t>
            </w:r>
          </w:p>
        </w:tc>
        <w:tc>
          <w:tcPr>
            <w:tcW w:w="2800" w:type="dxa"/>
            <w:tcMar>
              <w:top w:w="80" w:type="dxa"/>
              <w:left w:w="120" w:type="dxa"/>
              <w:bottom w:w="80" w:type="dxa"/>
              <w:right w:w="120" w:type="dxa"/>
            </w:tcMar>
            <w:vAlign w:val="center"/>
          </w:tcPr>
          <w:p w14:paraId="1A139ED2">
            <w:pPr>
              <w:keepNext w:val="0"/>
            </w:pPr>
            <w:r>
              <w:rPr>
                <w:rFonts w:ascii="微软雅黑" w:hAnsi="微软雅黑" w:eastAsia="微软雅黑"/>
                <w:color w:val="202124"/>
                <w:sz w:val="18"/>
              </w:rPr>
              <w:t>GameController 接口</w:t>
            </w:r>
          </w:p>
        </w:tc>
        <w:tc>
          <w:tcPr>
            <w:tcW w:w="5060" w:type="dxa"/>
            <w:tcMar>
              <w:top w:w="80" w:type="dxa"/>
              <w:left w:w="120" w:type="dxa"/>
              <w:bottom w:w="80" w:type="dxa"/>
              <w:right w:w="120" w:type="dxa"/>
            </w:tcMar>
            <w:vAlign w:val="center"/>
          </w:tcPr>
          <w:p w14:paraId="04539396">
            <w:pPr>
              <w:keepNext w:val="0"/>
            </w:pPr>
            <w:r>
              <w:rPr>
                <w:rFonts w:ascii="微软雅黑" w:hAnsi="微软雅黑" w:eastAsia="微软雅黑"/>
                <w:color w:val="202124"/>
                <w:sz w:val="18"/>
              </w:rPr>
              <w:t>接收命令、调用规则核心、切换国家、发布状态更新</w:t>
            </w:r>
          </w:p>
        </w:tc>
      </w:tr>
      <w:tr w14:paraId="1FDC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6B8B7AF5">
            <w:pPr>
              <w:keepNext w:val="0"/>
            </w:pPr>
            <w:r>
              <w:rPr>
                <w:rFonts w:ascii="微软雅黑" w:hAnsi="微软雅黑" w:eastAsia="微软雅黑"/>
                <w:color w:val="202124"/>
                <w:sz w:val="18"/>
              </w:rPr>
              <w:t>本地保存</w:t>
            </w:r>
          </w:p>
        </w:tc>
        <w:tc>
          <w:tcPr>
            <w:tcW w:w="2800" w:type="dxa"/>
            <w:shd w:val="clear" w:color="auto" w:fill="F4F6F9"/>
            <w:tcMar>
              <w:top w:w="80" w:type="dxa"/>
              <w:left w:w="120" w:type="dxa"/>
              <w:bottom w:w="80" w:type="dxa"/>
              <w:right w:w="120" w:type="dxa"/>
            </w:tcMar>
            <w:vAlign w:val="center"/>
          </w:tcPr>
          <w:p w14:paraId="12BD3997">
            <w:pPr>
              <w:keepNext w:val="0"/>
            </w:pPr>
            <w:r>
              <w:rPr>
                <w:rFonts w:ascii="微软雅黑" w:hAnsi="微软雅黑" w:eastAsia="微软雅黑"/>
                <w:color w:val="202124"/>
                <w:sz w:val="18"/>
              </w:rPr>
              <w:t>IndexedDB + JSON 导入导出</w:t>
            </w:r>
          </w:p>
        </w:tc>
        <w:tc>
          <w:tcPr>
            <w:tcW w:w="5060" w:type="dxa"/>
            <w:shd w:val="clear" w:color="auto" w:fill="F4F6F9"/>
            <w:tcMar>
              <w:top w:w="80" w:type="dxa"/>
              <w:left w:w="120" w:type="dxa"/>
              <w:bottom w:w="80" w:type="dxa"/>
              <w:right w:w="120" w:type="dxa"/>
            </w:tcMar>
            <w:vAlign w:val="center"/>
          </w:tcPr>
          <w:p w14:paraId="5B3E0688">
            <w:pPr>
              <w:keepNext w:val="0"/>
            </w:pPr>
            <w:r>
              <w:rPr>
                <w:rFonts w:ascii="微软雅黑" w:hAnsi="微软雅黑" w:eastAsia="微软雅黑"/>
                <w:color w:val="202124"/>
                <w:sz w:val="18"/>
              </w:rPr>
              <w:t>存档、快照、事件日志、版本号与恢复</w:t>
            </w:r>
          </w:p>
        </w:tc>
      </w:tr>
      <w:tr w14:paraId="7A6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A4B8DDC">
            <w:pPr>
              <w:keepNext w:val="0"/>
            </w:pPr>
            <w:r>
              <w:rPr>
                <w:rFonts w:ascii="微软雅黑" w:hAnsi="微软雅黑" w:eastAsia="微软雅黑"/>
                <w:color w:val="202124"/>
                <w:sz w:val="18"/>
              </w:rPr>
              <w:t>未来联机适配</w:t>
            </w:r>
          </w:p>
        </w:tc>
        <w:tc>
          <w:tcPr>
            <w:tcW w:w="2800" w:type="dxa"/>
            <w:tcMar>
              <w:top w:w="80" w:type="dxa"/>
              <w:left w:w="120" w:type="dxa"/>
              <w:bottom w:w="80" w:type="dxa"/>
              <w:right w:w="120" w:type="dxa"/>
            </w:tcMar>
            <w:vAlign w:val="center"/>
          </w:tcPr>
          <w:p w14:paraId="6EA760E9">
            <w:pPr>
              <w:keepNext w:val="0"/>
            </w:pPr>
            <w:r>
              <w:rPr>
                <w:rFonts w:ascii="微软雅黑" w:hAnsi="微软雅黑" w:eastAsia="微软雅黑"/>
                <w:color w:val="202124"/>
                <w:sz w:val="18"/>
              </w:rPr>
              <w:t>接口预留，不实现</w:t>
            </w:r>
          </w:p>
        </w:tc>
        <w:tc>
          <w:tcPr>
            <w:tcW w:w="5060" w:type="dxa"/>
            <w:tcMar>
              <w:top w:w="80" w:type="dxa"/>
              <w:left w:w="120" w:type="dxa"/>
              <w:bottom w:w="80" w:type="dxa"/>
              <w:right w:w="120" w:type="dxa"/>
            </w:tcMar>
            <w:vAlign w:val="center"/>
          </w:tcPr>
          <w:p w14:paraId="7EDB851E">
            <w:pPr>
              <w:keepNext w:val="0"/>
            </w:pPr>
            <w:r>
              <w:t>v3 新增权威服务、网络控制器、鉴权与私密投影</w:t>
            </w:r>
          </w:p>
        </w:tc>
      </w:tr>
    </w:tbl>
    <w:p w14:paraId="34698070">
      <w:pPr>
        <w:spacing w:after="20"/>
      </w:pPr>
    </w:p>
    <w:p w14:paraId="49442E94">
      <w:r>
        <w:t>交付包内置 Node 运行时和本地静态服务，可一键启动后在浏览器打开，无需用户另行安装开发依赖，也无需互联网或远端服务器。UI 通过 GameController 提交命令或受控 GM 编辑，不能绕过控制器直接修改权威局面。</w:t>
      </w:r>
    </w:p>
    <w:p w14:paraId="2477E29E">
      <w:pPr>
        <w:pStyle w:val="3"/>
      </w:pPr>
      <w:r>
        <w:rPr>
          <w:rFonts w:ascii="微软雅黑" w:hAnsi="微软雅黑" w:eastAsia="微软雅黑"/>
          <w:color w:val="000000"/>
        </w:rPr>
        <w:t>4. 核心状态模型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10C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37DE8700">
            <w:pPr>
              <w:keepNext/>
            </w:pPr>
            <w:r>
              <w:rPr>
                <w:rFonts w:ascii="微软雅黑" w:hAnsi="微软雅黑" w:eastAsia="微软雅黑"/>
                <w:b/>
                <w:color w:val="FFFFFF"/>
                <w:sz w:val="19"/>
              </w:rPr>
              <w:t>状态域</w:t>
            </w:r>
          </w:p>
        </w:tc>
        <w:tc>
          <w:tcPr>
            <w:tcW w:w="7260" w:type="dxa"/>
            <w:shd w:val="clear" w:color="auto" w:fill="315B7D"/>
            <w:tcMar>
              <w:top w:w="80" w:type="dxa"/>
              <w:left w:w="120" w:type="dxa"/>
              <w:bottom w:w="80" w:type="dxa"/>
              <w:right w:w="120" w:type="dxa"/>
            </w:tcMar>
            <w:vAlign w:val="center"/>
          </w:tcPr>
          <w:p w14:paraId="24594D80">
            <w:pPr>
              <w:keepNext/>
            </w:pPr>
            <w:r>
              <w:rPr>
                <w:rFonts w:ascii="微软雅黑" w:hAnsi="微软雅黑" w:eastAsia="微软雅黑"/>
                <w:b/>
                <w:color w:val="FFFFFF"/>
                <w:sz w:val="19"/>
              </w:rPr>
              <w:t>关键字段</w:t>
            </w:r>
          </w:p>
        </w:tc>
      </w:tr>
      <w:tr w14:paraId="0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DD2546">
            <w:pPr>
              <w:keepNext w:val="0"/>
            </w:pPr>
            <w:r>
              <w:rPr>
                <w:rFonts w:ascii="微软雅黑" w:hAnsi="微软雅黑" w:eastAsia="微软雅黑"/>
                <w:color w:val="202124"/>
                <w:sz w:val="18"/>
              </w:rPr>
              <w:t>对局</w:t>
            </w:r>
          </w:p>
        </w:tc>
        <w:tc>
          <w:tcPr>
            <w:tcW w:w="7260" w:type="dxa"/>
            <w:tcMar>
              <w:top w:w="80" w:type="dxa"/>
              <w:left w:w="120" w:type="dxa"/>
              <w:bottom w:w="80" w:type="dxa"/>
              <w:right w:w="120" w:type="dxa"/>
            </w:tcMar>
            <w:vAlign w:val="center"/>
          </w:tcPr>
          <w:p w14:paraId="42FCC702">
            <w:pPr>
              <w:keepNext w:val="0"/>
            </w:pPr>
            <w:r>
              <w:rPr>
                <w:rFonts w:ascii="微软雅黑" w:hAnsi="微软雅黑" w:eastAsia="微软雅黑"/>
                <w:color w:val="202124"/>
                <w:sz w:val="18"/>
              </w:rPr>
              <w:t>gameId、规则版本、随机种子、轮数、当前势力、阶段、胜负状态</w:t>
            </w:r>
          </w:p>
        </w:tc>
      </w:tr>
      <w:tr w14:paraId="691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751145A6">
            <w:pPr>
              <w:keepNext w:val="0"/>
            </w:pPr>
            <w:r>
              <w:rPr>
                <w:rFonts w:ascii="微软雅黑" w:hAnsi="微软雅黑" w:eastAsia="微软雅黑"/>
                <w:color w:val="202124"/>
                <w:sz w:val="18"/>
              </w:rPr>
              <w:t>牌堆</w:t>
            </w:r>
          </w:p>
        </w:tc>
        <w:tc>
          <w:tcPr>
            <w:tcW w:w="7260" w:type="dxa"/>
            <w:shd w:val="clear" w:color="auto" w:fill="F4F6F9"/>
            <w:tcMar>
              <w:top w:w="80" w:type="dxa"/>
              <w:left w:w="120" w:type="dxa"/>
              <w:bottom w:w="80" w:type="dxa"/>
              <w:right w:w="120" w:type="dxa"/>
            </w:tcMar>
            <w:vAlign w:val="center"/>
          </w:tcPr>
          <w:p>
            <w:pPr>
              <w:keepNext w:val="0"/>
            </w:pPr>
            <w:r>
              <w:t>牌库顺序、手牌、弃牌堆、暗置响应、生效状态、结算中区域、移出游戏区</w:t>
            </w:r>
          </w:p>
        </w:tc>
      </w:tr>
      <w:tr w14:paraId="6337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8BD4DE">
            <w:pPr>
              <w:keepNext w:val="0"/>
            </w:pPr>
            <w:r>
              <w:rPr>
                <w:rFonts w:ascii="微软雅黑" w:hAnsi="微软雅黑" w:eastAsia="微软雅黑"/>
                <w:color w:val="202124"/>
                <w:sz w:val="18"/>
              </w:rPr>
              <w:t>版图</w:t>
            </w:r>
          </w:p>
        </w:tc>
        <w:tc>
          <w:tcPr>
            <w:tcW w:w="7260" w:type="dxa"/>
            <w:tcMar>
              <w:top w:w="80" w:type="dxa"/>
              <w:left w:w="120" w:type="dxa"/>
              <w:bottom w:w="80" w:type="dxa"/>
              <w:right w:w="120" w:type="dxa"/>
            </w:tcMar>
            <w:vAlign w:val="center"/>
          </w:tcPr>
          <w:p w14:paraId="33F402E8">
            <w:pPr>
              <w:keepNext w:val="0"/>
            </w:pPr>
            <w:r>
              <w:rPr>
                <w:rFonts w:ascii="微软雅黑" w:hAnsi="微软雅黑" w:eastAsia="微软雅黑"/>
                <w:color w:val="202124"/>
                <w:sz w:val="18"/>
              </w:rPr>
              <w:t>地区、类型、基础邻接、动态邻接、占领方、部队与空军</w:t>
            </w:r>
          </w:p>
        </w:tc>
      </w:tr>
      <w:tr w14:paraId="4BB8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33033AA7">
            <w:pPr>
              <w:keepNext w:val="0"/>
            </w:pPr>
            <w:r>
              <w:rPr>
                <w:rFonts w:ascii="微软雅黑" w:hAnsi="微软雅黑" w:eastAsia="微软雅黑"/>
                <w:color w:val="202124"/>
                <w:sz w:val="18"/>
              </w:rPr>
              <w:t>玩家</w:t>
            </w:r>
          </w:p>
        </w:tc>
        <w:tc>
          <w:tcPr>
            <w:tcW w:w="7260" w:type="dxa"/>
            <w:shd w:val="clear" w:color="auto" w:fill="F4F6F9"/>
            <w:tcMar>
              <w:top w:w="80" w:type="dxa"/>
              <w:left w:w="120" w:type="dxa"/>
              <w:bottom w:w="80" w:type="dxa"/>
              <w:right w:w="120" w:type="dxa"/>
            </w:tcMar>
            <w:vAlign w:val="center"/>
          </w:tcPr>
          <w:p w14:paraId="64C4B2A8">
            <w:pPr>
              <w:keepNext w:val="0"/>
            </w:pPr>
            <w:r>
              <w:rPr>
                <w:rFonts w:ascii="微软雅黑" w:hAnsi="微软雅黑" w:eastAsia="微软雅黑"/>
                <w:color w:val="202124"/>
                <w:sz w:val="18"/>
              </w:rPr>
              <w:t>座位、主牌堆、当前视角、当前操作者、当前选择请求</w:t>
            </w:r>
          </w:p>
        </w:tc>
      </w:tr>
      <w:tr w14:paraId="6D2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7142FBD">
            <w:pPr>
              <w:keepNext w:val="0"/>
            </w:pPr>
            <w:r>
              <w:rPr>
                <w:rFonts w:ascii="微软雅黑" w:hAnsi="微软雅黑" w:eastAsia="微软雅黑"/>
                <w:color w:val="202124"/>
                <w:sz w:val="18"/>
              </w:rPr>
              <w:t>结算</w:t>
            </w:r>
          </w:p>
        </w:tc>
        <w:tc>
          <w:tcPr>
            <w:tcW w:w="7260" w:type="dxa"/>
            <w:tcMar>
              <w:top w:w="80" w:type="dxa"/>
              <w:left w:w="120" w:type="dxa"/>
              <w:bottom w:w="80" w:type="dxa"/>
              <w:right w:w="120" w:type="dxa"/>
            </w:tcMar>
            <w:vAlign w:val="center"/>
          </w:tcPr>
          <w:p>
            <w:pPr>
              <w:keepNext w:val="0"/>
            </w:pPr>
            <w:r>
              <w:t>帧栈、程序计数器、事件上下文、开放触发窗口链、待响应者、已放弃者、使用次数</w:t>
            </w:r>
          </w:p>
        </w:tc>
      </w:tr>
      <w:tr w14:paraId="44E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5929B0C1">
            <w:pPr>
              <w:keepNext w:val="0"/>
            </w:pPr>
            <w:r>
              <w:rPr>
                <w:rFonts w:ascii="微软雅黑" w:hAnsi="微软雅黑" w:eastAsia="微软雅黑"/>
                <w:color w:val="202124"/>
                <w:sz w:val="18"/>
              </w:rPr>
              <w:t>审计</w:t>
            </w:r>
          </w:p>
        </w:tc>
        <w:tc>
          <w:tcPr>
            <w:tcW w:w="7260" w:type="dxa"/>
            <w:shd w:val="clear" w:color="auto" w:fill="F4F6F9"/>
            <w:tcMar>
              <w:top w:w="80" w:type="dxa"/>
              <w:left w:w="120" w:type="dxa"/>
              <w:bottom w:w="80" w:type="dxa"/>
              <w:right w:w="120" w:type="dxa"/>
            </w:tcMar>
            <w:vAlign w:val="center"/>
          </w:tcPr>
          <w:p w14:paraId="437AA311">
            <w:pPr>
              <w:keepNext w:val="0"/>
            </w:pPr>
            <w:r>
              <w:t>revision、公开记录、恢复命令与快照、存档时间和规则版本；未为每步保存状态哈希</w:t>
            </w:r>
          </w:p>
        </w:tc>
      </w:tr>
    </w:tbl>
    <w:p w14:paraId="6CC2B385">
      <w:pPr>
        <w:spacing w:after="20"/>
      </w:pPr>
    </w:p>
    <w:p w14:paraId="6402C1FF">
      <w:pPr>
        <w:pStyle w:val="4"/>
      </w:pPr>
      <w:r>
        <w:rPr>
          <w:rFonts w:ascii="微软雅黑" w:hAnsi="微软雅黑" w:eastAsia="微软雅黑"/>
          <w:color w:val="000000"/>
        </w:rPr>
        <w:t>4.1 命令与效果分离</w:t>
      </w:r>
    </w:p>
    <w:p w14:paraId="4A7417A8">
      <w:r>
        <w:t>界面提交命令，例如打出卡牌、选择目标、结束响应。规则核心验证后生成并执行效果。GM 场景编辑是独立的受控修正入口：控制器验证卡牌、兵模和分数，记录恢复快照，再重新生成待选项。普通玩家和所有观察者均不能调用 GM 编辑；回放模式下 GM 也只读。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24F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99B5BEB">
            <w:pPr>
              <w:keepNext/>
            </w:pPr>
            <w:r>
              <w:rPr>
                <w:rFonts w:ascii="微软雅黑" w:hAnsi="微软雅黑" w:eastAsia="微软雅黑"/>
                <w:b/>
                <w:color w:val="FFFFFF"/>
                <w:sz w:val="19"/>
              </w:rPr>
              <w:t>层次</w:t>
            </w:r>
          </w:p>
        </w:tc>
        <w:tc>
          <w:tcPr>
            <w:tcW w:w="4300" w:type="dxa"/>
            <w:shd w:val="clear" w:color="auto" w:fill="315B7D"/>
            <w:tcMar>
              <w:top w:w="80" w:type="dxa"/>
              <w:left w:w="120" w:type="dxa"/>
              <w:bottom w:w="80" w:type="dxa"/>
              <w:right w:w="120" w:type="dxa"/>
            </w:tcMar>
            <w:vAlign w:val="center"/>
          </w:tcPr>
          <w:p w14:paraId="267EA195">
            <w:pPr>
              <w:keepNext/>
            </w:pPr>
            <w:r>
              <w:rPr>
                <w:rFonts w:ascii="微软雅黑" w:hAnsi="微软雅黑" w:eastAsia="微软雅黑"/>
                <w:b/>
                <w:color w:val="FFFFFF"/>
                <w:sz w:val="19"/>
              </w:rPr>
              <w:t>示例</w:t>
            </w:r>
          </w:p>
        </w:tc>
        <w:tc>
          <w:tcPr>
            <w:tcW w:w="3260" w:type="dxa"/>
            <w:shd w:val="clear" w:color="auto" w:fill="315B7D"/>
            <w:tcMar>
              <w:top w:w="80" w:type="dxa"/>
              <w:left w:w="120" w:type="dxa"/>
              <w:bottom w:w="80" w:type="dxa"/>
              <w:right w:w="120" w:type="dxa"/>
            </w:tcMar>
            <w:vAlign w:val="center"/>
          </w:tcPr>
          <w:p w14:paraId="5AA0F461">
            <w:pPr>
              <w:keepNext/>
            </w:pPr>
            <w:r>
              <w:rPr>
                <w:rFonts w:ascii="微软雅黑" w:hAnsi="微软雅黑" w:eastAsia="微软雅黑"/>
                <w:b/>
                <w:color w:val="FFFFFF"/>
                <w:sz w:val="19"/>
              </w:rPr>
              <w:t>是否可信</w:t>
            </w:r>
          </w:p>
        </w:tc>
      </w:tr>
      <w:tr w14:paraId="3CA1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F3F74C1">
            <w:pPr>
              <w:keepNext w:val="0"/>
            </w:pPr>
            <w:r>
              <w:rPr>
                <w:rFonts w:ascii="微软雅黑" w:hAnsi="微软雅黑" w:eastAsia="微软雅黑"/>
                <w:color w:val="202124"/>
                <w:sz w:val="18"/>
              </w:rPr>
              <w:t>Command</w:t>
            </w:r>
          </w:p>
        </w:tc>
        <w:tc>
          <w:tcPr>
            <w:tcW w:w="4300" w:type="dxa"/>
            <w:tcMar>
              <w:top w:w="80" w:type="dxa"/>
              <w:left w:w="120" w:type="dxa"/>
              <w:bottom w:w="80" w:type="dxa"/>
              <w:right w:w="120" w:type="dxa"/>
            </w:tcMar>
            <w:vAlign w:val="center"/>
          </w:tcPr>
          <w:p w14:paraId="155EF508">
            <w:pPr>
              <w:keepNext w:val="0"/>
            </w:pPr>
            <w:r>
              <w:t>PLAY_CARD、RESOLVE_ENGINE_CHOICE、ADVANCE_PHASE</w:t>
            </w:r>
          </w:p>
        </w:tc>
        <w:tc>
          <w:tcPr>
            <w:tcW w:w="3260" w:type="dxa"/>
            <w:tcMar>
              <w:top w:w="80" w:type="dxa"/>
              <w:left w:w="120" w:type="dxa"/>
              <w:bottom w:w="80" w:type="dxa"/>
              <w:right w:w="120" w:type="dxa"/>
            </w:tcMar>
            <w:vAlign w:val="center"/>
          </w:tcPr>
          <w:p w14:paraId="63B48FD1">
            <w:pPr>
              <w:keepNext w:val="0"/>
            </w:pPr>
            <w:r>
              <w:t>当前由本地控制器与核心验证；v3 须加服务端鉴权与校验</w:t>
            </w:r>
          </w:p>
        </w:tc>
      </w:tr>
      <w:tr w14:paraId="5D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10C8105F">
            <w:pPr>
              <w:keepNext w:val="0"/>
            </w:pPr>
            <w:r>
              <w:rPr>
                <w:rFonts w:ascii="微软雅黑" w:hAnsi="微软雅黑" w:eastAsia="微软雅黑"/>
                <w:color w:val="202124"/>
                <w:sz w:val="18"/>
              </w:rPr>
              <w:t>Effect</w:t>
            </w:r>
          </w:p>
        </w:tc>
        <w:tc>
          <w:tcPr>
            <w:tcW w:w="4300" w:type="dxa"/>
            <w:shd w:val="clear" w:color="auto" w:fill="F4F6F9"/>
            <w:tcMar>
              <w:top w:w="80" w:type="dxa"/>
              <w:left w:w="120" w:type="dxa"/>
              <w:bottom w:w="80" w:type="dxa"/>
              <w:right w:w="120" w:type="dxa"/>
            </w:tcMar>
            <w:vAlign w:val="center"/>
          </w:tcPr>
          <w:p w14:paraId="342DD6C2">
            <w:pPr>
              <w:keepNext w:val="0"/>
            </w:pPr>
            <w:r>
              <w:rPr>
                <w:rFonts w:ascii="微软雅黑" w:hAnsi="微软雅黑" w:eastAsia="微软雅黑"/>
                <w:color w:val="202124"/>
                <w:sz w:val="18"/>
              </w:rPr>
              <w:t>BUILD_UNIT、REMOVE_UNIT、GAIN_SCORE</w:t>
            </w:r>
          </w:p>
        </w:tc>
        <w:tc>
          <w:tcPr>
            <w:tcW w:w="3260" w:type="dxa"/>
            <w:shd w:val="clear" w:color="auto" w:fill="F4F6F9"/>
            <w:tcMar>
              <w:top w:w="80" w:type="dxa"/>
              <w:left w:w="120" w:type="dxa"/>
              <w:bottom w:w="80" w:type="dxa"/>
              <w:right w:w="120" w:type="dxa"/>
            </w:tcMar>
            <w:vAlign w:val="center"/>
          </w:tcPr>
          <w:p w14:paraId="564629F3">
            <w:pPr>
              <w:keepNext w:val="0"/>
            </w:pPr>
            <w:r>
              <w:rPr>
                <w:rFonts w:ascii="微软雅黑" w:hAnsi="微软雅黑" w:eastAsia="微软雅黑"/>
                <w:color w:val="202124"/>
                <w:sz w:val="18"/>
              </w:rPr>
              <w:t>规则核心生成</w:t>
            </w:r>
          </w:p>
        </w:tc>
      </w:tr>
      <w:tr w14:paraId="76B1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6017D69">
            <w:pPr>
              <w:keepNext w:val="0"/>
            </w:pPr>
            <w:r>
              <w:rPr>
                <w:rFonts w:ascii="微软雅黑" w:hAnsi="微软雅黑" w:eastAsia="微软雅黑"/>
                <w:color w:val="202124"/>
                <w:sz w:val="18"/>
              </w:rPr>
              <w:t>Event</w:t>
            </w:r>
          </w:p>
        </w:tc>
        <w:tc>
          <w:tcPr>
            <w:tcW w:w="4300" w:type="dxa"/>
            <w:tcMar>
              <w:top w:w="80" w:type="dxa"/>
              <w:left w:w="120" w:type="dxa"/>
              <w:bottom w:w="80" w:type="dxa"/>
              <w:right w:w="120" w:type="dxa"/>
            </w:tcMar>
            <w:vAlign w:val="center"/>
          </w:tcPr>
          <w:p w14:paraId="2C1DDC30">
            <w:pPr>
              <w:keepNext w:val="0"/>
            </w:pPr>
            <w:r>
              <w:rPr>
                <w:rFonts w:ascii="微软雅黑" w:hAnsi="微软雅黑" w:eastAsia="微软雅黑"/>
                <w:color w:val="202124"/>
                <w:sz w:val="18"/>
              </w:rPr>
              <w:t>UNIT_WOULD_BE_REMOVED、UNIT_REMOVED</w:t>
            </w:r>
          </w:p>
        </w:tc>
        <w:tc>
          <w:tcPr>
            <w:tcW w:w="3260" w:type="dxa"/>
            <w:tcMar>
              <w:top w:w="80" w:type="dxa"/>
              <w:left w:w="120" w:type="dxa"/>
              <w:bottom w:w="80" w:type="dxa"/>
              <w:right w:w="120" w:type="dxa"/>
            </w:tcMar>
            <w:vAlign w:val="center"/>
          </w:tcPr>
          <w:p w14:paraId="0C7BDDD7">
            <w:pPr>
              <w:keepNext w:val="0"/>
            </w:pPr>
            <w:r>
              <w:rPr>
                <w:rFonts w:ascii="微软雅黑" w:hAnsi="微软雅黑" w:eastAsia="微软雅黑"/>
                <w:color w:val="202124"/>
                <w:sz w:val="18"/>
              </w:rPr>
              <w:t>结算器发出，用于触发后续效果</w:t>
            </w:r>
          </w:p>
        </w:tc>
      </w:tr>
      <w:tr w14:paraId="3B87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1F7224E">
            <w:pPr>
              <w:keepNext w:val="0"/>
            </w:pPr>
            <w:r>
              <w:rPr>
                <w:rFonts w:ascii="微软雅黑" w:hAnsi="微软雅黑" w:eastAsia="微软雅黑"/>
                <w:color w:val="202124"/>
                <w:sz w:val="18"/>
              </w:rPr>
              <w:t>State</w:t>
            </w:r>
          </w:p>
        </w:tc>
        <w:tc>
          <w:tcPr>
            <w:tcW w:w="4300" w:type="dxa"/>
            <w:shd w:val="clear" w:color="auto" w:fill="F4F6F9"/>
            <w:tcMar>
              <w:top w:w="80" w:type="dxa"/>
              <w:left w:w="120" w:type="dxa"/>
              <w:bottom w:w="80" w:type="dxa"/>
              <w:right w:w="120" w:type="dxa"/>
            </w:tcMar>
            <w:vAlign w:val="center"/>
          </w:tcPr>
          <w:p w14:paraId="4A30E9C3">
            <w:pPr>
              <w:keepNext w:val="0"/>
            </w:pPr>
            <w:r>
              <w:rPr>
                <w:rFonts w:ascii="微软雅黑" w:hAnsi="微软雅黑" w:eastAsia="微软雅黑"/>
                <w:color w:val="202124"/>
                <w:sz w:val="18"/>
              </w:rPr>
              <w:t>最终部队、牌堆、分数与阶段</w:t>
            </w:r>
          </w:p>
        </w:tc>
        <w:tc>
          <w:tcPr>
            <w:tcW w:w="3260" w:type="dxa"/>
            <w:shd w:val="clear" w:color="auto" w:fill="F4F6F9"/>
            <w:tcMar>
              <w:top w:w="80" w:type="dxa"/>
              <w:left w:w="120" w:type="dxa"/>
              <w:bottom w:w="80" w:type="dxa"/>
              <w:right w:w="120" w:type="dxa"/>
            </w:tcMar>
            <w:vAlign w:val="center"/>
          </w:tcPr>
          <w:p w14:paraId="50C97357">
            <w:pPr>
              <w:keepNext w:val="0"/>
            </w:pPr>
            <w:r>
              <w:rPr>
                <w:rFonts w:ascii="微软雅黑" w:hAnsi="微软雅黑" w:eastAsia="微软雅黑"/>
                <w:color w:val="202124"/>
                <w:sz w:val="18"/>
              </w:rPr>
              <w:t>仅规则核心可生成新版本</w:t>
            </w:r>
          </w:p>
        </w:tc>
      </w:tr>
    </w:tbl>
    <w:p w14:paraId="750524E5">
      <w:pPr>
        <w:spacing w:after="20"/>
      </w:pPr>
    </w:p>
    <w:p w14:paraId="591DCCEC">
      <w:pPr>
        <w:pStyle w:val="3"/>
      </w:pPr>
      <w:r>
        <w:rPr>
          <w:rFonts w:ascii="微软雅黑" w:hAnsi="微软雅黑" w:eastAsia="微软雅黑"/>
          <w:color w:val="000000"/>
        </w:rPr>
        <w:t>5. 嵌套结算引擎</w:t>
      </w:r>
    </w:p>
    <w:p w14:paraId="44B2AB05">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必要顺序　</w:t>
      </w:r>
      <w:r>
        <w:rPr>
          <w:rFonts w:ascii="微软雅黑" w:hAnsi="微软雅黑" w:eastAsia="微软雅黑"/>
        </w:rPr>
        <w:t>当 A 触发 B，B1 又触发 C，必须得到 A → B1 → C1 → C2 → B2，而不是 A → B1 → B2 → C1 → C2。</w:t>
      </w:r>
    </w:p>
    <w:p w14:paraId="089CB1D8">
      <w:pPr>
        <w:pStyle w:val="4"/>
      </w:pPr>
      <w:r>
        <w:rPr>
          <w:rFonts w:ascii="微软雅黑" w:hAnsi="微软雅黑" w:eastAsia="微软雅黑"/>
          <w:color w:val="000000"/>
        </w:rPr>
        <w:t>5.1 结算帧</w:t>
      </w:r>
    </w:p>
    <w:p w14:paraId="45C96852">
      <w:r>
        <w:rPr>
          <w:rFonts w:ascii="微软雅黑" w:hAnsi="微软雅黑" w:eastAsia="微软雅黑"/>
          <w:color w:val="202124"/>
        </w:rPr>
        <w:t>每次卡牌或触发效果创建一个 ResolutionFrame。帧保存来源、效果列表、下一项效果索引、目标、费用和父事件。结算器一次只执行一个原子效果；该效果产生的新触发压到栈顶，完整处理后再恢复父帧。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31B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67A63F14">
            <w:pPr>
              <w:keepNext/>
            </w:pPr>
            <w:r>
              <w:rPr>
                <w:rFonts w:ascii="微软雅黑" w:hAnsi="微软雅黑" w:eastAsia="微软雅黑"/>
                <w:b/>
                <w:color w:val="FFFFFF"/>
                <w:sz w:val="19"/>
              </w:rPr>
              <w:t>字段</w:t>
            </w:r>
          </w:p>
        </w:tc>
        <w:tc>
          <w:tcPr>
            <w:tcW w:w="7060" w:type="dxa"/>
            <w:shd w:val="clear" w:color="auto" w:fill="315B7D"/>
            <w:tcMar>
              <w:top w:w="80" w:type="dxa"/>
              <w:left w:w="120" w:type="dxa"/>
              <w:bottom w:w="80" w:type="dxa"/>
              <w:right w:w="120" w:type="dxa"/>
            </w:tcMar>
            <w:vAlign w:val="center"/>
          </w:tcPr>
          <w:p w14:paraId="66219EFE">
            <w:pPr>
              <w:keepNext/>
            </w:pPr>
            <w:r>
              <w:rPr>
                <w:rFonts w:ascii="微软雅黑" w:hAnsi="微软雅黑" w:eastAsia="微软雅黑"/>
                <w:b/>
                <w:color w:val="FFFFFF"/>
                <w:sz w:val="19"/>
              </w:rPr>
              <w:t>含义</w:t>
            </w:r>
          </w:p>
        </w:tc>
      </w:tr>
      <w:tr w14:paraId="7804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D96D502">
            <w:pPr>
              <w:keepNext w:val="0"/>
            </w:pPr>
            <w:r>
              <w:rPr>
                <w:rFonts w:ascii="微软雅黑" w:hAnsi="微软雅黑" w:eastAsia="微软雅黑"/>
                <w:color w:val="202124"/>
                <w:sz w:val="18"/>
              </w:rPr>
              <w:t>source</w:t>
            </w:r>
          </w:p>
        </w:tc>
        <w:tc>
          <w:tcPr>
            <w:tcW w:w="7060" w:type="dxa"/>
            <w:tcMar>
              <w:top w:w="80" w:type="dxa"/>
              <w:left w:w="120" w:type="dxa"/>
              <w:bottom w:w="80" w:type="dxa"/>
              <w:right w:w="120" w:type="dxa"/>
            </w:tcMar>
            <w:vAlign w:val="center"/>
          </w:tcPr>
          <w:p w14:paraId="0C6B430D">
            <w:pPr>
              <w:keepNext w:val="0"/>
            </w:pPr>
            <w:r>
              <w:rPr>
                <w:rFonts w:ascii="微软雅黑" w:hAnsi="微软雅黑" w:eastAsia="微软雅黑"/>
                <w:color w:val="202124"/>
                <w:sz w:val="18"/>
              </w:rPr>
              <w:t>卡牌、状态、阶段规则或系统动作</w:t>
            </w:r>
          </w:p>
        </w:tc>
      </w:tr>
      <w:tr w14:paraId="4A0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04B289A9">
            <w:pPr>
              <w:keepNext w:val="0"/>
            </w:pPr>
            <w:r>
              <w:rPr>
                <w:rFonts w:ascii="微软雅黑" w:hAnsi="微软雅黑" w:eastAsia="微软雅黑"/>
                <w:color w:val="202124"/>
                <w:sz w:val="18"/>
              </w:rPr>
              <w:t>effects</w:t>
            </w:r>
          </w:p>
        </w:tc>
        <w:tc>
          <w:tcPr>
            <w:tcW w:w="7060" w:type="dxa"/>
            <w:shd w:val="clear" w:color="auto" w:fill="F4F6F9"/>
            <w:tcMar>
              <w:top w:w="80" w:type="dxa"/>
              <w:left w:w="120" w:type="dxa"/>
              <w:bottom w:w="80" w:type="dxa"/>
              <w:right w:w="120" w:type="dxa"/>
            </w:tcMar>
            <w:vAlign w:val="center"/>
          </w:tcPr>
          <w:p w14:paraId="5B735EE6">
            <w:pPr>
              <w:keepNext w:val="0"/>
            </w:pPr>
            <w:r>
              <w:rPr>
                <w:rFonts w:ascii="微软雅黑" w:hAnsi="微软雅黑" w:eastAsia="微软雅黑"/>
                <w:color w:val="202124"/>
                <w:sz w:val="18"/>
              </w:rPr>
              <w:t>按文字顺序排列的原子效果</w:t>
            </w:r>
          </w:p>
        </w:tc>
      </w:tr>
      <w:tr w14:paraId="19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6FF7D28">
            <w:pPr>
              <w:keepNext w:val="0"/>
            </w:pPr>
            <w:r>
              <w:rPr>
                <w:rFonts w:ascii="微软雅黑" w:hAnsi="微软雅黑" w:eastAsia="微软雅黑"/>
                <w:color w:val="202124"/>
                <w:sz w:val="18"/>
              </w:rPr>
              <w:t>nextEffectIndex</w:t>
            </w:r>
          </w:p>
        </w:tc>
        <w:tc>
          <w:tcPr>
            <w:tcW w:w="7060" w:type="dxa"/>
            <w:tcMar>
              <w:top w:w="80" w:type="dxa"/>
              <w:left w:w="120" w:type="dxa"/>
              <w:bottom w:w="80" w:type="dxa"/>
              <w:right w:w="120" w:type="dxa"/>
            </w:tcMar>
            <w:vAlign w:val="center"/>
          </w:tcPr>
          <w:p w14:paraId="68058226">
            <w:pPr>
              <w:keepNext w:val="0"/>
            </w:pPr>
            <w:r>
              <w:rPr>
                <w:rFonts w:ascii="微软雅黑" w:hAnsi="微软雅黑" w:eastAsia="微软雅黑"/>
                <w:color w:val="202124"/>
                <w:sz w:val="18"/>
              </w:rPr>
              <w:t>父效果暂停位置；子效果结束后从这里继续</w:t>
            </w:r>
          </w:p>
        </w:tc>
      </w:tr>
      <w:tr w14:paraId="2FD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5C85949">
            <w:pPr>
              <w:keepNext w:val="0"/>
            </w:pPr>
            <w:r>
              <w:rPr>
                <w:rFonts w:ascii="微软雅黑" w:hAnsi="微软雅黑" w:eastAsia="微软雅黑"/>
                <w:color w:val="202124"/>
                <w:sz w:val="18"/>
              </w:rPr>
              <w:t>context</w:t>
            </w:r>
          </w:p>
        </w:tc>
        <w:tc>
          <w:tcPr>
            <w:tcW w:w="7060" w:type="dxa"/>
            <w:shd w:val="clear" w:color="auto" w:fill="F4F6F9"/>
            <w:tcMar>
              <w:top w:w="80" w:type="dxa"/>
              <w:left w:w="120" w:type="dxa"/>
              <w:bottom w:w="80" w:type="dxa"/>
              <w:right w:w="120" w:type="dxa"/>
            </w:tcMar>
            <w:vAlign w:val="center"/>
          </w:tcPr>
          <w:p w14:paraId="7FD63BBA">
            <w:pPr>
              <w:keepNext w:val="0"/>
            </w:pPr>
            <w:r>
              <w:rPr>
                <w:rFonts w:ascii="微软雅黑" w:hAnsi="微软雅黑" w:eastAsia="微软雅黑"/>
                <w:color w:val="202124"/>
                <w:sz w:val="18"/>
              </w:rPr>
              <w:t>操作者、目标、地区、被攻击部队、当前战斗等</w:t>
            </w:r>
          </w:p>
        </w:tc>
      </w:tr>
      <w:tr w14:paraId="107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A3E3865">
            <w:pPr>
              <w:keepNext w:val="0"/>
            </w:pPr>
            <w:r>
              <w:rPr>
                <w:rFonts w:ascii="微软雅黑" w:hAnsi="微软雅黑" w:eastAsia="微软雅黑"/>
                <w:color w:val="202124"/>
                <w:sz w:val="18"/>
              </w:rPr>
              <w:t>parentEventId</w:t>
            </w:r>
          </w:p>
        </w:tc>
        <w:tc>
          <w:tcPr>
            <w:tcW w:w="7060" w:type="dxa"/>
            <w:tcMar>
              <w:top w:w="80" w:type="dxa"/>
              <w:left w:w="120" w:type="dxa"/>
              <w:bottom w:w="80" w:type="dxa"/>
              <w:right w:w="120" w:type="dxa"/>
            </w:tcMar>
            <w:vAlign w:val="center"/>
          </w:tcPr>
          <w:p w14:paraId="718BA5CE">
            <w:pPr>
              <w:keepNext w:val="0"/>
            </w:pPr>
            <w:r>
              <w:rPr>
                <w:rFonts w:ascii="微软雅黑" w:hAnsi="微软雅黑" w:eastAsia="微软雅黑"/>
                <w:color w:val="202124"/>
                <w:sz w:val="18"/>
              </w:rPr>
              <w:t>用于日志、循环检测和触发来源追踪</w:t>
            </w:r>
          </w:p>
        </w:tc>
      </w:tr>
      <w:tr w14:paraId="298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4D62A4A0">
            <w:pPr>
              <w:keepNext w:val="0"/>
            </w:pPr>
            <w:r>
              <w:rPr>
                <w:rFonts w:ascii="微软雅黑" w:hAnsi="微软雅黑" w:eastAsia="微软雅黑"/>
                <w:color w:val="202124"/>
                <w:sz w:val="18"/>
              </w:rPr>
              <w:t>status</w:t>
            </w:r>
          </w:p>
        </w:tc>
        <w:tc>
          <w:tcPr>
            <w:tcW w:w="7060" w:type="dxa"/>
            <w:shd w:val="clear" w:color="auto" w:fill="F4F6F9"/>
            <w:tcMar>
              <w:top w:w="80" w:type="dxa"/>
              <w:left w:w="120" w:type="dxa"/>
              <w:bottom w:w="80" w:type="dxa"/>
              <w:right w:w="120" w:type="dxa"/>
            </w:tcMar>
            <w:vAlign w:val="center"/>
          </w:tcPr>
          <w:p w14:paraId="377D2DE3">
            <w:pPr>
              <w:keepNext w:val="0"/>
            </w:pPr>
            <w:r>
              <w:rPr>
                <w:rFonts w:ascii="微软雅黑" w:hAnsi="微软雅黑" w:eastAsia="微软雅黑"/>
                <w:color w:val="202124"/>
                <w:sz w:val="18"/>
              </w:rPr>
              <w:t>RUNNING / WAITING_CHOICE / WAITING_RESPONSE / COMPLETE</w:t>
            </w:r>
          </w:p>
        </w:tc>
      </w:tr>
    </w:tbl>
    <w:p w14:paraId="77055ECB">
      <w:pPr>
        <w:spacing w:after="20"/>
      </w:pPr>
    </w:p>
    <w:p>
      <w:r>
        <w:t>卡牌在确认至少执行一项非费用效果后，正式打出或触发，离开手牌、暗置区或其他来源区域并进入 RESOLVING 结算中区域。全部效果均主动放弃时撤回出牌选择，不发生正式打出；具体见8.4.6。它在 ResolutionFrame 的全部效果及其嵌套子结算完成前不属于弃牌堆，也不能再次被打出、触发或被弃牌堆检索；完整结算后通过 FINISH_CARD_RESOLUTION 进入最终区域，默认进入弃牌堆。状态牌进入持续生效区；【配给】返回摸牌堆、返还手牌等已明确的去向覆盖默认弃牌，不能被统一收尾逻辑再次移入弃牌堆。</w:t>
      </w:r>
    </w:p>
    <w:p w14:paraId="09BBE8D1">
      <w:pPr>
        <w:pStyle w:val="4"/>
      </w:pPr>
      <w:r>
        <w:rPr>
          <w:rFonts w:ascii="微软雅黑" w:hAnsi="微软雅黑" w:eastAsia="微软雅黑"/>
          <w:color w:val="000000"/>
        </w:rPr>
        <w:t>5.2 单个原子效果的生命周期</w:t>
      </w:r>
    </w:p>
    <w:p w14:paraId="7EBF0FBA">
      <w:pPr>
        <w:numPr>
          <w:ilvl w:val="0"/>
          <w:numId w:val="8"/>
        </w:numPr>
        <w:spacing w:after="80"/>
      </w:pPr>
      <w:r>
        <w:rPr>
          <w:rFonts w:ascii="微软雅黑" w:hAnsi="微软雅黑" w:eastAsia="微软雅黑"/>
          <w:color w:val="202124"/>
        </w:rPr>
        <w:t>Validate：再次验证费用、目标与当前状态；不能假定选择界面已经保证合法。</w:t>
      </w:r>
    </w:p>
    <w:p w14:paraId="5630E756">
      <w:pPr>
        <w:numPr>
          <w:ilvl w:val="0"/>
          <w:numId w:val="8"/>
        </w:numPr>
        <w:spacing w:after="80"/>
      </w:pPr>
      <w:r>
        <w:rPr>
          <w:rFonts w:ascii="微软雅黑" w:hAnsi="微软雅黑" w:eastAsia="微软雅黑"/>
          <w:color w:val="202124"/>
        </w:rPr>
        <w:t>Declare：公布动作意图，例如发起陆战或准备移除某部队。</w:t>
      </w:r>
    </w:p>
    <w:p w14:paraId="242712BE">
      <w:pPr>
        <w:numPr>
          <w:ilvl w:val="0"/>
          <w:numId w:val="8"/>
        </w:numPr>
        <w:spacing w:after="80"/>
      </w:pPr>
      <w:r>
        <w:rPr>
          <w:rFonts w:ascii="微软雅黑" w:hAnsi="微软雅黑" w:eastAsia="微软雅黑"/>
          <w:color w:val="202124"/>
        </w:rPr>
        <w:t>Before：打开替代、取消、减免与“将被移除时”的响应窗口。</w:t>
      </w:r>
    </w:p>
    <w:p w14:paraId="42693CD5">
      <w:pPr>
        <w:numPr>
          <w:ilvl w:val="0"/>
          <w:numId w:val="8"/>
        </w:numPr>
        <w:spacing w:after="80"/>
      </w:pPr>
      <w:r>
        <w:rPr>
          <w:rFonts w:ascii="微软雅黑" w:hAnsi="微软雅黑" w:eastAsia="微软雅黑"/>
          <w:color w:val="202124"/>
        </w:rPr>
        <w:t>Apply：如果未被取消，执行最小状态变化。</w:t>
      </w:r>
    </w:p>
    <w:p w14:paraId="2C269022">
      <w:pPr>
        <w:numPr>
          <w:ilvl w:val="0"/>
          <w:numId w:val="8"/>
        </w:numPr>
        <w:spacing w:after="80"/>
      </w:pPr>
      <w:r>
        <w:rPr>
          <w:rFonts w:ascii="微软雅黑" w:hAnsi="微软雅黑" w:eastAsia="微软雅黑"/>
          <w:color w:val="202124"/>
        </w:rPr>
        <w:t>After：发出“建设后”“被移除后”“发起战斗后”等事件。</w:t>
      </w:r>
    </w:p>
    <w:p w14:paraId="4C400D32">
      <w:pPr>
        <w:numPr>
          <w:ilvl w:val="0"/>
          <w:numId w:val="8"/>
        </w:numPr>
        <w:spacing w:after="80"/>
      </w:pPr>
      <w:r>
        <w:rPr>
          <w:rFonts w:ascii="微软雅黑" w:hAnsi="微软雅黑" w:eastAsia="微软雅黑"/>
          <w:color w:val="202124"/>
        </w:rPr>
        <w:t>Nested Resolve：把由该事件生成的子帧压栈并完整结算。</w:t>
      </w:r>
    </w:p>
    <w:p w14:paraId="089386D0">
      <w:pPr>
        <w:numPr>
          <w:ilvl w:val="0"/>
          <w:numId w:val="8"/>
        </w:numPr>
        <w:spacing w:after="80"/>
      </w:pPr>
      <w:r>
        <w:rPr>
          <w:rFonts w:ascii="微软雅黑" w:hAnsi="微软雅黑" w:eastAsia="微软雅黑"/>
          <w:color w:val="202124"/>
        </w:rPr>
        <w:t>Resume：子帧完成后，父帧的程序计数器前进到下一原子效果。</w:t>
      </w:r>
    </w:p>
    <w:p w14:paraId="3340B222">
      <w:pPr>
        <w:pStyle w:val="4"/>
      </w:pPr>
      <w:r>
        <w:rPr>
          <w:rFonts w:ascii="微软雅黑" w:hAnsi="微软雅黑" w:eastAsia="微软雅黑"/>
          <w:color w:val="000000"/>
        </w:rPr>
        <w:t>5.3 触发排序规则</w:t>
      </w:r>
    </w:p>
    <w:p w14:paraId="0DAF827C">
      <w:pPr>
        <w:numPr>
          <w:ilvl w:val="0"/>
          <w:numId w:val="7"/>
        </w:numPr>
        <w:spacing w:after="80"/>
      </w:pPr>
      <w:r>
        <w:rPr>
          <w:rFonts w:ascii="微软雅黑" w:hAnsi="微软雅黑" w:eastAsia="微软雅黑"/>
          <w:color w:val="202124"/>
        </w:rPr>
        <w:t>先处理替代/阻止/取消，再应用原效果；原效果没有发生时，不产生只在成功后触发的 After 事件。</w:t>
      </w:r>
    </w:p>
    <w:p w14:paraId="16F1DC98">
      <w:pPr>
        <w:numPr>
          <w:ilvl w:val="0"/>
          <w:numId w:val="7"/>
        </w:numPr>
        <w:spacing w:after="80"/>
      </w:pPr>
      <w:r>
        <w:rPr>
          <w:rFonts w:ascii="微软雅黑" w:hAnsi="微软雅黑" w:eastAsia="微软雅黑"/>
          <w:color w:val="202124"/>
        </w:rPr>
        <w:t>同一原子事件触发多项必发效果时，固定由有权决定这些效果顺序的玩家排序；引擎必须创建 ORDER_MANDATORY_TRIGGERS 选择，不能按卡牌编号、注册顺序或代码遍历顺序自动决定。排序后的每项效果及其子结算完整结束后，才处理下一项。</w:t>
      </w:r>
    </w:p>
    <w:p w14:paraId="4DEAA978">
      <w:pPr>
        <w:numPr>
          <w:ilvl w:val="0"/>
          <w:numId w:val="7"/>
        </w:numPr>
        <w:spacing w:after="80"/>
      </w:pPr>
      <w:r>
        <w:rPr>
          <w:rFonts w:ascii="微软雅黑" w:hAnsi="微软雅黑" w:eastAsia="微软雅黑"/>
          <w:color w:val="202124"/>
        </w:rPr>
        <w:t>响应牌只从已经暗置的响应区中检查；增强牌只从满足当前打出条件的手牌中检查。</w:t>
      </w:r>
    </w:p>
    <w:p w14:paraId="3BE649B5">
      <w:pPr>
        <w:numPr>
          <w:ilvl w:val="0"/>
          <w:numId w:val="7"/>
        </w:numPr>
        <w:spacing w:after="80"/>
      </w:pPr>
      <w:r>
        <w:t>v2 新完整对局默认 ignoreOtherPlayerInterrupts=false，即【允许其他国家响应】默认打开；所有合法席位均可参与。GM 可在没有运行中结算时关闭可选他国响应，仅用于调试或本地玩法设置，不影响必发效果与直接要求他国作出的选择。</w:t>
      </w:r>
    </w:p>
    <w:p w14:paraId="78B59DE3">
      <w:pPr>
        <w:numPr>
          <w:ilvl w:val="0"/>
          <w:numId w:val="7"/>
        </w:numPr>
        <w:spacing w:after="80"/>
      </w:pPr>
      <w:r>
        <w:rPr>
          <w:rFonts w:ascii="微软雅黑" w:hAnsi="微软雅黑" w:eastAsia="微软雅黑"/>
          <w:color w:val="202124"/>
        </w:rPr>
        <w:t>当前席位存在一张或多张可触发牌时，列出所有合法牌和“不触发”选项；玩家选择后再继续。</w:t>
      </w:r>
    </w:p>
    <w:p w14:paraId="314BCFCF">
      <w:pPr>
        <w:numPr>
          <w:ilvl w:val="0"/>
          <w:numId w:val="7"/>
        </w:numPr>
        <w:spacing w:after="80"/>
      </w:pPr>
      <w:r>
        <w:rPr>
          <w:rFonts w:ascii="微软雅黑" w:hAnsi="微软雅黑" w:eastAsia="微软雅黑"/>
          <w:color w:val="202124"/>
        </w:rPr>
        <w:t>每个触发携带 eventId、ancestorIds 与 sourceInstanceId，防止同一效果对同一事件重复自触发。</w:t>
      </w:r>
    </w:p>
    <w:p w14:paraId="7DB2BFC2">
      <w:pPr>
        <w:numPr>
          <w:ilvl w:val="0"/>
          <w:numId w:val="7"/>
        </w:numPr>
        <w:spacing w:after="80"/>
      </w:pPr>
      <w:r>
        <w:rPr>
          <w:rFonts w:ascii="微软雅黑" w:hAnsi="微软雅黑" w:eastAsia="微软雅黑"/>
          <w:color w:val="202124"/>
        </w:rPr>
        <w:t>“每回合限一次”使用作用域计数器，不写死在 UI 按钮状态中。</w:t>
      </w:r>
    </w:p>
    <w:p>
      <w:r>
        <w:t>回合开始时创建 TURN_START_WINDOW。资源再分配与所有“回合开始时”效果处于同一时点；玩家决定下一项先处理什么。每处理完一项及其嵌套结算，都重新验证该窗口中尚未处理的项目，直到所有必发效果完成且玩家放弃其余可选项目，才进入出牌阶段。</w:t>
      </w:r>
    </w:p>
    <w:p w14:paraId="443BD296">
      <w:pPr>
        <w:pStyle w:val="4"/>
      </w:pPr>
      <w:r>
        <w:rPr>
          <w:rFonts w:ascii="微软雅黑" w:hAnsi="微软雅黑" w:eastAsia="微软雅黑"/>
          <w:color w:val="000000"/>
        </w:rPr>
        <w:t>5.4 响应与增强的来源规则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60"/>
        <w:gridCol w:w="4100"/>
      </w:tblGrid>
      <w:tr w14:paraId="6F0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700" w:type="dxa"/>
            <w:shd w:val="clear" w:color="auto" w:fill="315B7D"/>
            <w:tcMar>
              <w:top w:w="80" w:type="dxa"/>
              <w:left w:w="120" w:type="dxa"/>
              <w:bottom w:w="80" w:type="dxa"/>
              <w:right w:w="120" w:type="dxa"/>
            </w:tcMar>
            <w:vAlign w:val="center"/>
          </w:tcPr>
          <w:p w14:paraId="5609F64E">
            <w:pPr>
              <w:keepNext/>
            </w:pPr>
            <w:r>
              <w:rPr>
                <w:rFonts w:ascii="微软雅黑" w:hAnsi="微软雅黑" w:eastAsia="微软雅黑"/>
                <w:b/>
                <w:color w:val="FFFFFF"/>
                <w:sz w:val="19"/>
              </w:rPr>
              <w:t>牌类</w:t>
            </w:r>
          </w:p>
        </w:tc>
        <w:tc>
          <w:tcPr>
            <w:tcW w:w="3560" w:type="dxa"/>
            <w:shd w:val="clear" w:color="auto" w:fill="315B7D"/>
            <w:tcMar>
              <w:top w:w="80" w:type="dxa"/>
              <w:left w:w="120" w:type="dxa"/>
              <w:bottom w:w="80" w:type="dxa"/>
              <w:right w:w="120" w:type="dxa"/>
            </w:tcMar>
            <w:vAlign w:val="center"/>
          </w:tcPr>
          <w:p w14:paraId="29DDB3A0">
            <w:pPr>
              <w:keepNext/>
            </w:pPr>
            <w:r>
              <w:rPr>
                <w:rFonts w:ascii="微软雅黑" w:hAnsi="微软雅黑" w:eastAsia="微软雅黑"/>
                <w:b/>
                <w:color w:val="FFFFFF"/>
                <w:sz w:val="19"/>
              </w:rPr>
              <w:t>进入候选的来源</w:t>
            </w:r>
          </w:p>
        </w:tc>
        <w:tc>
          <w:tcPr>
            <w:tcW w:w="4100" w:type="dxa"/>
            <w:shd w:val="clear" w:color="auto" w:fill="315B7D"/>
            <w:tcMar>
              <w:top w:w="80" w:type="dxa"/>
              <w:left w:w="120" w:type="dxa"/>
              <w:bottom w:w="80" w:type="dxa"/>
              <w:right w:w="120" w:type="dxa"/>
            </w:tcMar>
            <w:vAlign w:val="center"/>
          </w:tcPr>
          <w:p w14:paraId="370C38B3">
            <w:pPr>
              <w:keepNext/>
            </w:pPr>
            <w:r>
              <w:rPr>
                <w:rFonts w:ascii="微软雅黑" w:hAnsi="微软雅黑" w:eastAsia="微软雅黑"/>
                <w:b/>
                <w:color w:val="FFFFFF"/>
                <w:sz w:val="19"/>
              </w:rPr>
              <w:t>满足时点后的交互</w:t>
            </w:r>
          </w:p>
        </w:tc>
      </w:tr>
      <w:tr w14:paraId="1E64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79417B87">
            <w:pPr>
              <w:keepNext w:val="0"/>
            </w:pPr>
            <w:r>
              <w:rPr>
                <w:rFonts w:ascii="微软雅黑" w:hAnsi="微软雅黑" w:eastAsia="微软雅黑"/>
                <w:color w:val="202124"/>
                <w:sz w:val="18"/>
              </w:rPr>
              <w:t>响应牌</w:t>
            </w:r>
          </w:p>
        </w:tc>
        <w:tc>
          <w:tcPr>
            <w:tcW w:w="3560" w:type="dxa"/>
            <w:tcMar>
              <w:top w:w="80" w:type="dxa"/>
              <w:left w:w="120" w:type="dxa"/>
              <w:bottom w:w="80" w:type="dxa"/>
              <w:right w:w="120" w:type="dxa"/>
            </w:tcMar>
            <w:vAlign w:val="center"/>
          </w:tcPr>
          <w:p w14:paraId="0A734EFD">
            <w:pPr>
              <w:keepNext w:val="0"/>
            </w:pPr>
            <w:r>
              <w:rPr>
                <w:rFonts w:ascii="微软雅黑" w:hAnsi="微软雅黑" w:eastAsia="微软雅黑"/>
                <w:color w:val="202124"/>
                <w:sz w:val="18"/>
              </w:rPr>
              <w:t>桌面上已经暗置、属于当前有资格国家的响应牌</w:t>
            </w:r>
          </w:p>
        </w:tc>
        <w:tc>
          <w:tcPr>
            <w:tcW w:w="4100" w:type="dxa"/>
            <w:tcMar>
              <w:top w:w="80" w:type="dxa"/>
              <w:left w:w="120" w:type="dxa"/>
              <w:bottom w:w="80" w:type="dxa"/>
              <w:right w:w="120" w:type="dxa"/>
            </w:tcMar>
            <w:vAlign w:val="center"/>
          </w:tcPr>
          <w:p w14:paraId="0B83882C">
            <w:pPr>
              <w:keepNext w:val="0"/>
            </w:pPr>
            <w:r>
              <w:rPr>
                <w:rFonts w:ascii="微软雅黑" w:hAnsi="微软雅黑" w:eastAsia="微软雅黑"/>
                <w:color w:val="202124"/>
                <w:sz w:val="18"/>
              </w:rPr>
              <w:t>询问是否触发；未提前暗置的响应牌绝不从手牌直接出现</w:t>
            </w:r>
          </w:p>
        </w:tc>
      </w:tr>
      <w:tr w14:paraId="32E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4F6F9"/>
            <w:tcMar>
              <w:top w:w="80" w:type="dxa"/>
              <w:left w:w="120" w:type="dxa"/>
              <w:bottom w:w="80" w:type="dxa"/>
              <w:right w:w="120" w:type="dxa"/>
            </w:tcMar>
            <w:vAlign w:val="center"/>
          </w:tcPr>
          <w:p w14:paraId="3AAC6F16">
            <w:pPr>
              <w:keepNext w:val="0"/>
            </w:pPr>
            <w:r>
              <w:rPr>
                <w:rFonts w:ascii="微软雅黑" w:hAnsi="微软雅黑" w:eastAsia="微软雅黑"/>
                <w:color w:val="202124"/>
                <w:sz w:val="18"/>
              </w:rPr>
              <w:t>增强牌</w:t>
            </w:r>
          </w:p>
        </w:tc>
        <w:tc>
          <w:tcPr>
            <w:tcW w:w="3560" w:type="dxa"/>
            <w:shd w:val="clear" w:color="auto" w:fill="F4F6F9"/>
            <w:tcMar>
              <w:top w:w="80" w:type="dxa"/>
              <w:left w:w="120" w:type="dxa"/>
              <w:bottom w:w="80" w:type="dxa"/>
              <w:right w:w="120" w:type="dxa"/>
            </w:tcMar>
            <w:vAlign w:val="center"/>
          </w:tcPr>
          <w:p w14:paraId="452780E0">
            <w:pPr>
              <w:keepNext w:val="0"/>
            </w:pPr>
            <w:r>
              <w:rPr>
                <w:rFonts w:ascii="微软雅黑" w:hAnsi="微软雅黑" w:eastAsia="微软雅黑"/>
                <w:color w:val="202124"/>
                <w:sz w:val="18"/>
              </w:rPr>
              <w:t>当前国家手牌中，打出条件与费用均满足的增强牌</w:t>
            </w:r>
          </w:p>
        </w:tc>
        <w:tc>
          <w:tcPr>
            <w:tcW w:w="4100" w:type="dxa"/>
            <w:shd w:val="clear" w:color="auto" w:fill="F4F6F9"/>
            <w:tcMar>
              <w:top w:w="80" w:type="dxa"/>
              <w:left w:w="120" w:type="dxa"/>
              <w:bottom w:w="80" w:type="dxa"/>
              <w:right w:w="120" w:type="dxa"/>
            </w:tcMar>
            <w:vAlign w:val="center"/>
          </w:tcPr>
          <w:p w14:paraId="448A0A0A">
            <w:pPr>
              <w:keepNext w:val="0"/>
            </w:pPr>
            <w:r>
              <w:rPr>
                <w:rFonts w:ascii="微软雅黑" w:hAnsi="微软雅黑" w:eastAsia="微软雅黑"/>
                <w:color w:val="202124"/>
                <w:sz w:val="18"/>
              </w:rPr>
              <w:t>询问是否打出；选择后立即支付费用并压入结算栈</w:t>
            </w:r>
          </w:p>
        </w:tc>
      </w:tr>
      <w:tr w14:paraId="01A4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14E6B76A">
            <w:pPr>
              <w:keepNext w:val="0"/>
            </w:pPr>
            <w:r>
              <w:rPr>
                <w:rFonts w:ascii="微软雅黑" w:hAnsi="微软雅黑" w:eastAsia="微软雅黑"/>
                <w:color w:val="202124"/>
                <w:sz w:val="18"/>
              </w:rPr>
              <w:t>纳瓦霍族加密通讯员例外</w:t>
            </w:r>
          </w:p>
        </w:tc>
        <w:tc>
          <w:tcPr>
            <w:tcW w:w="3560" w:type="dxa"/>
            <w:tcMar>
              <w:top w:w="80" w:type="dxa"/>
              <w:left w:w="120" w:type="dxa"/>
              <w:bottom w:w="80" w:type="dxa"/>
              <w:right w:w="120" w:type="dxa"/>
            </w:tcMar>
            <w:vAlign w:val="center"/>
          </w:tcPr>
          <w:p w14:paraId="7B93CA1D">
            <w:pPr>
              <w:keepNext w:val="0"/>
            </w:pPr>
            <w:r>
              <w:rPr>
                <w:rFonts w:ascii="微软雅黑" w:hAnsi="微软雅黑" w:eastAsia="微软雅黑"/>
                <w:color w:val="202124"/>
                <w:sz w:val="18"/>
              </w:rPr>
              <w:t>被其暗置的增强牌</w:t>
            </w:r>
          </w:p>
        </w:tc>
        <w:tc>
          <w:tcPr>
            <w:tcW w:w="4100" w:type="dxa"/>
            <w:tcMar>
              <w:top w:w="80" w:type="dxa"/>
              <w:left w:w="120" w:type="dxa"/>
              <w:bottom w:w="80" w:type="dxa"/>
              <w:right w:w="120" w:type="dxa"/>
            </w:tcMar>
            <w:vAlign w:val="center"/>
          </w:tcPr>
          <w:p w14:paraId="57EDDAD1">
            <w:pPr>
              <w:keepNext w:val="0"/>
            </w:pPr>
            <w:r>
              <w:rPr>
                <w:rFonts w:ascii="微软雅黑" w:hAnsi="微软雅黑" w:eastAsia="微软雅黑"/>
                <w:color w:val="202124"/>
                <w:sz w:val="18"/>
              </w:rPr>
              <w:t>该增强牌改为像响应牌一样在满足原卡打出条件时触发</w:t>
            </w:r>
          </w:p>
        </w:tc>
      </w:tr>
    </w:tbl>
    <w:p w14:paraId="3B95FDB1">
      <w:pPr>
        <w:spacing w:after="20"/>
      </w:pPr>
    </w:p>
    <w:p w14:paraId="46569474">
      <w:r>
        <w:rPr>
          <w:rFonts w:ascii="微软雅黑" w:hAnsi="微软雅黑" w:eastAsia="微软雅黑"/>
          <w:color w:val="202124"/>
        </w:rPr>
        <w:t>法国牌按英国席位、中国牌按其所在主牌堆席位判断是否属于“当前玩家”。忽略他国响应只跳过其他席位主动插入的可选效果；当前效果明确要求对手弃牌、选目标或作其他决定时，仍照常执行该选择。</w:t>
      </w:r>
    </w:p>
    <w:p>
      <w:pPr>
        <w:pStyle w:val="4"/>
      </w:pPr>
      <w:r>
        <w:rPr>
          <w:color w:val="000000"/>
        </w:rPr>
        <w:t>5.5 可选触发窗口与祖先时点</w:t>
      </w:r>
    </w:p>
    <w:p>
      <w:r>
        <w:t>每个产生可选连携、响应或增强的事件都建立一个 TriggerWindow。窗口记录 originEventId、parentWindowId、depth、初始候选及剩余候选。候选集合在窗口建立时确定；后续只重新验证剩余候选是否仍合法，不因后来状态变化向旧事件补入当时并不合法的新候选。</w:t>
      </w:r>
    </w:p>
    <w:p>
      <w:pPr>
        <w:numPr>
          <w:ilvl w:val="0"/>
          <w:numId w:val="7"/>
        </w:numPr>
        <w:spacing w:after="80"/>
      </w:pPr>
      <w:r>
        <w:t>同一时点有多张可选牌时，界面一次列出全部当前合法候选，由玩家选择先触发哪一张；同一玩家可以连续触发多张。每张牌及其嵌套结算完成后，重新验证尚未使用的候选，失去条件的候选立即移除。</w:t>
      </w:r>
    </w:p>
    <w:p>
      <w:pPr>
        <w:numPr>
          <w:ilvl w:val="0"/>
          <w:numId w:val="7"/>
        </w:numPr>
        <w:spacing w:after="80"/>
      </w:pPr>
      <w:r>
        <w:t>祖先事件的窗口可以在其子触发结算期间保持开放。选择当前最深窗口的候选时，所有祖先窗口继续保留；该候选及其后代完整结算后，返回最近仍开放的窗口继续选择。</w:t>
      </w:r>
    </w:p>
    <w:p>
      <w:pPr>
        <w:numPr>
          <w:ilvl w:val="0"/>
          <w:numId w:val="7"/>
        </w:numPr>
        <w:spacing w:after="80"/>
      </w:pPr>
      <w:r>
        <w:t>当界面同时显示当前窗口候选与祖先窗口的剩余候选时，玩家可以直接选择祖先候选；一旦这样做，位于它之下、被越过的所有较深窗口立即关闭，其中未触发的候选视为错过时点，之后不能重新打开。</w:t>
      </w:r>
    </w:p>
    <w:p>
      <w:pPr>
        <w:numPr>
          <w:ilvl w:val="0"/>
          <w:numId w:val="7"/>
        </w:numPr>
        <w:spacing w:after="80"/>
      </w:pPr>
      <w:r>
        <w:t>玩家选择结束当前时点时，只关闭当前最深窗口，再返回最近仍开放的祖先窗口；当所有窗口关闭或不再有合法候选时，恢复被暂停的父结算。</w:t>
      </w:r>
    </w:p>
    <w:p>
      <w:r>
        <w:t>示例：A 同时可触发 B、C。玩家先选 B，B 又产生可选 D，此时可选项为 D 与仍属于 A 的 C。若先选 D，D 完整结算后仍可回到 A 选择 C；若越过 D 直接选择 C，则 B 的触发窗口关闭，之后不能再选择 D。若先完成 B、D，再选择 C，则合法，因为 A 的窗口一直保持开放。</w:t>
      </w:r>
    </w:p>
    <w:p w14:paraId="180E38E2">
      <w:pPr>
        <w:pStyle w:val="3"/>
      </w:pPr>
      <w:r>
        <w:rPr>
          <w:rFonts w:ascii="微软雅黑" w:hAnsi="微软雅黑" w:eastAsia="微软雅黑"/>
          <w:color w:val="000000"/>
        </w:rPr>
        <w:t>6. 时点分类与规则修正</w:t>
      </w:r>
    </w:p>
    <w:p w14:paraId="28830173">
      <w:r>
        <w:rPr>
          <w:rFonts w:ascii="微软雅黑" w:hAnsi="微软雅黑" w:eastAsia="微软雅黑"/>
          <w:color w:val="202124"/>
        </w:rPr>
        <w:t>显示文本统一使用“建设”而不用“组建”，但“征召”保持为不同动作；所有“发动陆战/海战/战斗”统一为“发起陆战/海战/战斗”。泛称“发起战斗”不是文字缺失：目标为陆地地区时执行陆战，目标为海域时执行海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7DEC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5B7BD496">
            <w:pPr>
              <w:keepNext/>
            </w:pPr>
            <w:r>
              <w:rPr>
                <w:rFonts w:ascii="微软雅黑" w:hAnsi="微软雅黑" w:eastAsia="微软雅黑"/>
                <w:b/>
                <w:color w:val="FFFFFF"/>
                <w:sz w:val="19"/>
              </w:rPr>
              <w:t>时点</w:t>
            </w:r>
          </w:p>
        </w:tc>
        <w:tc>
          <w:tcPr>
            <w:tcW w:w="3100" w:type="dxa"/>
            <w:shd w:val="clear" w:color="auto" w:fill="315B7D"/>
            <w:tcMar>
              <w:top w:w="80" w:type="dxa"/>
              <w:left w:w="120" w:type="dxa"/>
              <w:bottom w:w="80" w:type="dxa"/>
              <w:right w:w="120" w:type="dxa"/>
            </w:tcMar>
            <w:vAlign w:val="center"/>
          </w:tcPr>
          <w:p w14:paraId="5FE687CC">
            <w:pPr>
              <w:keepNext/>
            </w:pPr>
            <w:r>
              <w:rPr>
                <w:rFonts w:ascii="微软雅黑" w:hAnsi="微软雅黑" w:eastAsia="微软雅黑"/>
                <w:b/>
                <w:color w:val="FFFFFF"/>
                <w:sz w:val="19"/>
              </w:rPr>
              <w:t>示例</w:t>
            </w:r>
          </w:p>
        </w:tc>
        <w:tc>
          <w:tcPr>
            <w:tcW w:w="4360" w:type="dxa"/>
            <w:shd w:val="clear" w:color="auto" w:fill="315B7D"/>
            <w:tcMar>
              <w:top w:w="80" w:type="dxa"/>
              <w:left w:w="120" w:type="dxa"/>
              <w:bottom w:w="80" w:type="dxa"/>
              <w:right w:w="120" w:type="dxa"/>
            </w:tcMar>
            <w:vAlign w:val="center"/>
          </w:tcPr>
          <w:p w14:paraId="1240384E">
            <w:pPr>
              <w:keepNext/>
            </w:pPr>
            <w:r>
              <w:rPr>
                <w:rFonts w:ascii="微软雅黑" w:hAnsi="微软雅黑" w:eastAsia="微软雅黑"/>
                <w:b/>
                <w:color w:val="FFFFFF"/>
                <w:sz w:val="19"/>
              </w:rPr>
              <w:t>引擎意义</w:t>
            </w:r>
          </w:p>
        </w:tc>
      </w:tr>
      <w:tr w14:paraId="4CC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7A22A2">
            <w:pPr>
              <w:keepNext w:val="0"/>
            </w:pPr>
            <w:r>
              <w:rPr>
                <w:rFonts w:ascii="微软雅黑" w:hAnsi="微软雅黑" w:eastAsia="微软雅黑"/>
                <w:color w:val="202124"/>
                <w:sz w:val="18"/>
              </w:rPr>
              <w:t>阶段开始前/开始时</w:t>
            </w:r>
          </w:p>
        </w:tc>
        <w:tc>
          <w:tcPr>
            <w:tcW w:w="3100" w:type="dxa"/>
            <w:tcMar>
              <w:top w:w="80" w:type="dxa"/>
              <w:left w:w="120" w:type="dxa"/>
              <w:bottom w:w="80" w:type="dxa"/>
              <w:right w:w="120" w:type="dxa"/>
            </w:tcMar>
            <w:vAlign w:val="center"/>
          </w:tcPr>
          <w:p w14:paraId="3B8CB4E3">
            <w:pPr>
              <w:keepNext w:val="0"/>
            </w:pPr>
            <w:r>
              <w:rPr>
                <w:rFonts w:ascii="微软雅黑" w:hAnsi="微软雅黑" w:eastAsia="微软雅黑"/>
                <w:color w:val="202124"/>
                <w:sz w:val="18"/>
              </w:rPr>
              <w:t>回合开始时、计分阶段开始时</w:t>
            </w:r>
          </w:p>
        </w:tc>
        <w:tc>
          <w:tcPr>
            <w:tcW w:w="4360" w:type="dxa"/>
            <w:tcMar>
              <w:top w:w="80" w:type="dxa"/>
              <w:left w:w="120" w:type="dxa"/>
              <w:bottom w:w="80" w:type="dxa"/>
              <w:right w:w="120" w:type="dxa"/>
            </w:tcMar>
            <w:vAlign w:val="center"/>
          </w:tcPr>
          <w:p w14:paraId="21F447F9">
            <w:pPr>
              <w:keepNext w:val="0"/>
            </w:pPr>
            <w:r>
              <w:rPr>
                <w:rFonts w:ascii="微软雅黑" w:hAnsi="微软雅黑" w:eastAsia="微软雅黑"/>
                <w:color w:val="202124"/>
                <w:sz w:val="18"/>
              </w:rPr>
              <w:t>阶段指针切换前后分别发事件</w:t>
            </w:r>
          </w:p>
        </w:tc>
      </w:tr>
      <w:tr w14:paraId="626E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07297E">
            <w:pPr>
              <w:keepNext w:val="0"/>
            </w:pPr>
            <w:r>
              <w:rPr>
                <w:rFonts w:ascii="微软雅黑" w:hAnsi="微软雅黑" w:eastAsia="微软雅黑"/>
                <w:color w:val="202124"/>
                <w:sz w:val="18"/>
              </w:rPr>
              <w:t>动作发起时</w:t>
            </w:r>
          </w:p>
        </w:tc>
        <w:tc>
          <w:tcPr>
            <w:tcW w:w="3100" w:type="dxa"/>
            <w:shd w:val="clear" w:color="auto" w:fill="F4F6F9"/>
            <w:tcMar>
              <w:top w:w="80" w:type="dxa"/>
              <w:left w:w="120" w:type="dxa"/>
              <w:bottom w:w="80" w:type="dxa"/>
              <w:right w:w="120" w:type="dxa"/>
            </w:tcMar>
            <w:vAlign w:val="center"/>
          </w:tcPr>
          <w:p w14:paraId="340C07AB">
            <w:pPr>
              <w:keepNext w:val="0"/>
            </w:pPr>
            <w:r>
              <w:rPr>
                <w:rFonts w:ascii="微软雅黑" w:hAnsi="微软雅黑" w:eastAsia="微软雅黑"/>
                <w:color w:val="202124"/>
                <w:sz w:val="18"/>
              </w:rPr>
              <w:t>当你发起海战时</w:t>
            </w:r>
          </w:p>
        </w:tc>
        <w:tc>
          <w:tcPr>
            <w:tcW w:w="4360" w:type="dxa"/>
            <w:shd w:val="clear" w:color="auto" w:fill="F4F6F9"/>
            <w:tcMar>
              <w:top w:w="80" w:type="dxa"/>
              <w:left w:w="120" w:type="dxa"/>
              <w:bottom w:w="80" w:type="dxa"/>
              <w:right w:w="120" w:type="dxa"/>
            </w:tcMar>
            <w:vAlign w:val="center"/>
          </w:tcPr>
          <w:p w14:paraId="7D7C38C1">
            <w:pPr>
              <w:keepNext w:val="0"/>
            </w:pPr>
            <w:r>
              <w:rPr>
                <w:rFonts w:ascii="微软雅黑" w:hAnsi="微软雅黑" w:eastAsia="微软雅黑"/>
                <w:color w:val="202124"/>
                <w:sz w:val="18"/>
              </w:rPr>
              <w:t>动作已声明，尚未应用结果</w:t>
            </w:r>
          </w:p>
        </w:tc>
      </w:tr>
      <w:tr w14:paraId="5D4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06A654E9">
            <w:pPr>
              <w:keepNext w:val="0"/>
            </w:pPr>
            <w:r>
              <w:rPr>
                <w:rFonts w:ascii="微软雅黑" w:hAnsi="微软雅黑" w:eastAsia="微软雅黑"/>
                <w:color w:val="202124"/>
                <w:sz w:val="18"/>
              </w:rPr>
              <w:t>将发生时</w:t>
            </w:r>
          </w:p>
        </w:tc>
        <w:tc>
          <w:tcPr>
            <w:tcW w:w="3100" w:type="dxa"/>
            <w:tcMar>
              <w:top w:w="80" w:type="dxa"/>
              <w:left w:w="120" w:type="dxa"/>
              <w:bottom w:w="80" w:type="dxa"/>
              <w:right w:w="120" w:type="dxa"/>
            </w:tcMar>
            <w:vAlign w:val="center"/>
          </w:tcPr>
          <w:p w14:paraId="736C7FD5">
            <w:pPr>
              <w:keepNext w:val="0"/>
            </w:pPr>
            <w:r>
              <w:rPr>
                <w:rFonts w:ascii="微软雅黑" w:hAnsi="微软雅黑" w:eastAsia="微软雅黑"/>
                <w:color w:val="202124"/>
                <w:sz w:val="18"/>
              </w:rPr>
              <w:t>部队将被移除时</w:t>
            </w:r>
          </w:p>
        </w:tc>
        <w:tc>
          <w:tcPr>
            <w:tcW w:w="4360" w:type="dxa"/>
            <w:tcMar>
              <w:top w:w="80" w:type="dxa"/>
              <w:left w:w="120" w:type="dxa"/>
              <w:bottom w:w="80" w:type="dxa"/>
              <w:right w:w="120" w:type="dxa"/>
            </w:tcMar>
            <w:vAlign w:val="center"/>
          </w:tcPr>
          <w:p w14:paraId="7A992A47">
            <w:pPr>
              <w:keepNext w:val="0"/>
            </w:pPr>
            <w:r>
              <w:rPr>
                <w:rFonts w:ascii="微软雅黑" w:hAnsi="微软雅黑" w:eastAsia="微软雅黑"/>
                <w:color w:val="202124"/>
                <w:sz w:val="18"/>
              </w:rPr>
              <w:t>可阻止、替代或修改</w:t>
            </w:r>
          </w:p>
        </w:tc>
      </w:tr>
      <w:tr w14:paraId="552E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A174DB">
            <w:pPr>
              <w:keepNext w:val="0"/>
            </w:pPr>
            <w:r>
              <w:rPr>
                <w:rFonts w:ascii="微软雅黑" w:hAnsi="微软雅黑" w:eastAsia="微软雅黑"/>
                <w:color w:val="202124"/>
                <w:sz w:val="18"/>
              </w:rPr>
              <w:t>发生后</w:t>
            </w:r>
          </w:p>
        </w:tc>
        <w:tc>
          <w:tcPr>
            <w:tcW w:w="3100" w:type="dxa"/>
            <w:shd w:val="clear" w:color="auto" w:fill="F4F6F9"/>
            <w:tcMar>
              <w:top w:w="80" w:type="dxa"/>
              <w:left w:w="120" w:type="dxa"/>
              <w:bottom w:w="80" w:type="dxa"/>
              <w:right w:w="120" w:type="dxa"/>
            </w:tcMar>
            <w:vAlign w:val="center"/>
          </w:tcPr>
          <w:p w14:paraId="0253BB0A">
            <w:pPr>
              <w:keepNext w:val="0"/>
            </w:pPr>
            <w:r>
              <w:rPr>
                <w:rFonts w:ascii="微软雅黑" w:hAnsi="微软雅黑" w:eastAsia="微软雅黑"/>
                <w:color w:val="202124"/>
                <w:sz w:val="18"/>
              </w:rPr>
              <w:t>建设陆军后、被移除后</w:t>
            </w:r>
          </w:p>
        </w:tc>
        <w:tc>
          <w:tcPr>
            <w:tcW w:w="4360" w:type="dxa"/>
            <w:shd w:val="clear" w:color="auto" w:fill="F4F6F9"/>
            <w:tcMar>
              <w:top w:w="80" w:type="dxa"/>
              <w:left w:w="120" w:type="dxa"/>
              <w:bottom w:w="80" w:type="dxa"/>
              <w:right w:w="120" w:type="dxa"/>
            </w:tcMar>
            <w:vAlign w:val="center"/>
          </w:tcPr>
          <w:p w14:paraId="7A6127A8">
            <w:pPr>
              <w:keepNext w:val="0"/>
            </w:pPr>
            <w:r>
              <w:rPr>
                <w:rFonts w:ascii="微软雅黑" w:hAnsi="微软雅黑" w:eastAsia="微软雅黑"/>
                <w:color w:val="202124"/>
                <w:sz w:val="18"/>
              </w:rPr>
              <w:t>状态已经改变，触发后续效果</w:t>
            </w:r>
          </w:p>
        </w:tc>
      </w:tr>
      <w:tr w14:paraId="3A02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F4F68D">
            <w:pPr>
              <w:keepNext w:val="0"/>
            </w:pPr>
            <w:r>
              <w:rPr>
                <w:rFonts w:ascii="微软雅黑" w:hAnsi="微软雅黑" w:eastAsia="微软雅黑"/>
                <w:color w:val="202124"/>
                <w:sz w:val="18"/>
              </w:rPr>
              <w:t>任意时机</w:t>
            </w:r>
          </w:p>
        </w:tc>
        <w:tc>
          <w:tcPr>
            <w:tcW w:w="3100" w:type="dxa"/>
            <w:tcMar>
              <w:top w:w="80" w:type="dxa"/>
              <w:left w:w="120" w:type="dxa"/>
              <w:bottom w:w="80" w:type="dxa"/>
              <w:right w:w="120" w:type="dxa"/>
            </w:tcMar>
            <w:vAlign w:val="center"/>
          </w:tcPr>
          <w:p w14:paraId="68CD2519">
            <w:pPr>
              <w:keepNext w:val="0"/>
            </w:pPr>
            <w:r>
              <w:rPr>
                <w:rFonts w:ascii="微软雅黑" w:hAnsi="微软雅黑" w:eastAsia="微软雅黑"/>
                <w:color w:val="202124"/>
                <w:sz w:val="18"/>
              </w:rPr>
              <w:t>在任意时机打出/触发</w:t>
            </w:r>
          </w:p>
        </w:tc>
        <w:tc>
          <w:tcPr>
            <w:tcW w:w="4360" w:type="dxa"/>
            <w:tcMar>
              <w:top w:w="80" w:type="dxa"/>
              <w:left w:w="120" w:type="dxa"/>
              <w:bottom w:w="80" w:type="dxa"/>
              <w:right w:w="120" w:type="dxa"/>
            </w:tcMar>
            <w:vAlign w:val="center"/>
          </w:tcPr>
          <w:p w14:paraId="106BC0ED">
            <w:pPr>
              <w:keepNext w:val="0"/>
            </w:pPr>
            <w:r>
              <w:rPr>
                <w:rFonts w:ascii="微软雅黑" w:hAnsi="微软雅黑" w:eastAsia="微软雅黑"/>
                <w:color w:val="202124"/>
                <w:sz w:val="18"/>
              </w:rPr>
              <w:t>只允许在规则引擎处于可中断安全点时出现</w:t>
            </w:r>
          </w:p>
        </w:tc>
      </w:tr>
      <w:tr w14:paraId="50C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FA50835">
            <w:pPr>
              <w:keepNext w:val="0"/>
            </w:pPr>
            <w:r>
              <w:rPr>
                <w:rFonts w:ascii="微软雅黑" w:hAnsi="微软雅黑" w:eastAsia="微软雅黑"/>
                <w:color w:val="202124"/>
                <w:sz w:val="18"/>
              </w:rPr>
              <w:t>本回合持续</w:t>
            </w:r>
          </w:p>
        </w:tc>
        <w:tc>
          <w:tcPr>
            <w:tcW w:w="3100" w:type="dxa"/>
            <w:shd w:val="clear" w:color="auto" w:fill="F4F6F9"/>
            <w:tcMar>
              <w:top w:w="80" w:type="dxa"/>
              <w:left w:w="120" w:type="dxa"/>
              <w:bottom w:w="80" w:type="dxa"/>
              <w:right w:w="120" w:type="dxa"/>
            </w:tcMar>
            <w:vAlign w:val="center"/>
          </w:tcPr>
          <w:p w14:paraId="782309CB">
            <w:pPr>
              <w:keepNext w:val="0"/>
            </w:pPr>
            <w:r>
              <w:rPr>
                <w:rFonts w:ascii="微软雅黑" w:hAnsi="微软雅黑" w:eastAsia="微软雅黑"/>
                <w:color w:val="202124"/>
                <w:sz w:val="18"/>
              </w:rPr>
              <w:t>本回合不会被移除</w:t>
            </w:r>
          </w:p>
        </w:tc>
        <w:tc>
          <w:tcPr>
            <w:tcW w:w="4360" w:type="dxa"/>
            <w:shd w:val="clear" w:color="auto" w:fill="F4F6F9"/>
            <w:tcMar>
              <w:top w:w="80" w:type="dxa"/>
              <w:left w:w="120" w:type="dxa"/>
              <w:bottom w:w="80" w:type="dxa"/>
              <w:right w:w="120" w:type="dxa"/>
            </w:tcMar>
            <w:vAlign w:val="center"/>
          </w:tcPr>
          <w:p w14:paraId="16F4A9AE">
            <w:pPr>
              <w:keepNext w:val="0"/>
            </w:pPr>
            <w:r>
              <w:rPr>
                <w:rFonts w:ascii="微软雅黑" w:hAnsi="微软雅黑" w:eastAsia="微软雅黑"/>
                <w:color w:val="202124"/>
                <w:sz w:val="18"/>
              </w:rPr>
              <w:t>带到期条件的临时修正</w:t>
            </w:r>
          </w:p>
        </w:tc>
      </w:tr>
    </w:tbl>
    <w:p w14:paraId="51BAA838">
      <w:pPr>
        <w:spacing w:after="20"/>
      </w:pPr>
    </w:p>
    <w:p w14:paraId="30832281">
      <w:pPr>
        <w:pStyle w:val="4"/>
      </w:pPr>
      <w:r>
        <w:rPr>
          <w:rFonts w:ascii="微软雅黑" w:hAnsi="微软雅黑" w:eastAsia="微软雅黑"/>
          <w:color w:val="000000"/>
        </w:rPr>
        <w:t>6.1 四类修正器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00"/>
        <w:gridCol w:w="4760"/>
      </w:tblGrid>
      <w:tr w14:paraId="07D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71EBC10B">
            <w:pPr>
              <w:keepNext/>
            </w:pPr>
            <w:r>
              <w:rPr>
                <w:rFonts w:ascii="微软雅黑" w:hAnsi="微软雅黑" w:eastAsia="微软雅黑"/>
                <w:b/>
                <w:color w:val="FFFFFF"/>
                <w:sz w:val="19"/>
              </w:rPr>
              <w:t>类型</w:t>
            </w:r>
          </w:p>
        </w:tc>
        <w:tc>
          <w:tcPr>
            <w:tcW w:w="3100" w:type="dxa"/>
            <w:shd w:val="clear" w:color="auto" w:fill="315B7D"/>
            <w:tcMar>
              <w:top w:w="80" w:type="dxa"/>
              <w:left w:w="120" w:type="dxa"/>
              <w:bottom w:w="80" w:type="dxa"/>
              <w:right w:w="120" w:type="dxa"/>
            </w:tcMar>
            <w:vAlign w:val="center"/>
          </w:tcPr>
          <w:p w14:paraId="0A1C9FBA">
            <w:pPr>
              <w:keepNext/>
            </w:pPr>
            <w:r>
              <w:rPr>
                <w:rFonts w:ascii="微软雅黑" w:hAnsi="微软雅黑" w:eastAsia="微软雅黑"/>
                <w:b/>
                <w:color w:val="FFFFFF"/>
                <w:sz w:val="19"/>
              </w:rPr>
              <w:t>作用</w:t>
            </w:r>
          </w:p>
        </w:tc>
        <w:tc>
          <w:tcPr>
            <w:tcW w:w="4760" w:type="dxa"/>
            <w:shd w:val="clear" w:color="auto" w:fill="315B7D"/>
            <w:tcMar>
              <w:top w:w="80" w:type="dxa"/>
              <w:left w:w="120" w:type="dxa"/>
              <w:bottom w:w="80" w:type="dxa"/>
              <w:right w:w="120" w:type="dxa"/>
            </w:tcMar>
            <w:vAlign w:val="center"/>
          </w:tcPr>
          <w:p w14:paraId="3E54C203">
            <w:pPr>
              <w:keepNext/>
            </w:pPr>
            <w:r>
              <w:rPr>
                <w:rFonts w:ascii="微软雅黑" w:hAnsi="微软雅黑" w:eastAsia="微软雅黑"/>
                <w:b/>
                <w:color w:val="FFFFFF"/>
                <w:sz w:val="19"/>
              </w:rPr>
              <w:t>示例</w:t>
            </w:r>
          </w:p>
        </w:tc>
      </w:tr>
      <w:tr w14:paraId="153C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DB62BB8">
            <w:pPr>
              <w:keepNext w:val="0"/>
            </w:pPr>
            <w:r>
              <w:rPr>
                <w:rFonts w:ascii="微软雅黑" w:hAnsi="微软雅黑" w:eastAsia="微软雅黑"/>
                <w:color w:val="202124"/>
                <w:sz w:val="18"/>
              </w:rPr>
              <w:t>Cancel</w:t>
            </w:r>
          </w:p>
        </w:tc>
        <w:tc>
          <w:tcPr>
            <w:tcW w:w="3100" w:type="dxa"/>
            <w:tcMar>
              <w:top w:w="80" w:type="dxa"/>
              <w:left w:w="120" w:type="dxa"/>
              <w:bottom w:w="80" w:type="dxa"/>
              <w:right w:w="120" w:type="dxa"/>
            </w:tcMar>
            <w:vAlign w:val="center"/>
          </w:tcPr>
          <w:p w14:paraId="19449423">
            <w:pPr>
              <w:keepNext w:val="0"/>
            </w:pPr>
            <w:r>
              <w:rPr>
                <w:rFonts w:ascii="微软雅黑" w:hAnsi="微软雅黑" w:eastAsia="微软雅黑"/>
                <w:color w:val="202124"/>
                <w:sz w:val="18"/>
              </w:rPr>
              <w:t>取消整项效果</w:t>
            </w:r>
          </w:p>
        </w:tc>
        <w:tc>
          <w:tcPr>
            <w:tcW w:w="4760" w:type="dxa"/>
            <w:tcMar>
              <w:top w:w="80" w:type="dxa"/>
              <w:left w:w="120" w:type="dxa"/>
              <w:bottom w:w="80" w:type="dxa"/>
              <w:right w:w="120" w:type="dxa"/>
            </w:tcMar>
            <w:vAlign w:val="center"/>
          </w:tcPr>
          <w:p w14:paraId="4A8EA9BA">
            <w:pPr>
              <w:keepNext w:val="0"/>
            </w:pPr>
            <w:r>
              <w:rPr>
                <w:rFonts w:ascii="微软雅黑" w:hAnsi="微软雅黑" w:eastAsia="微软雅黑"/>
                <w:color w:val="202124"/>
                <w:sz w:val="18"/>
              </w:rPr>
              <w:t>经济战卡效果无效</w:t>
            </w:r>
          </w:p>
        </w:tc>
      </w:tr>
      <w:tr w14:paraId="5CF4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4EC76824">
            <w:pPr>
              <w:keepNext w:val="0"/>
            </w:pPr>
            <w:r>
              <w:rPr>
                <w:rFonts w:ascii="微软雅黑" w:hAnsi="微软雅黑" w:eastAsia="微软雅黑"/>
                <w:color w:val="202124"/>
                <w:sz w:val="18"/>
              </w:rPr>
              <w:t>Prevent</w:t>
            </w:r>
          </w:p>
        </w:tc>
        <w:tc>
          <w:tcPr>
            <w:tcW w:w="3100" w:type="dxa"/>
            <w:shd w:val="clear" w:color="auto" w:fill="F4F6F9"/>
            <w:tcMar>
              <w:top w:w="80" w:type="dxa"/>
              <w:left w:w="120" w:type="dxa"/>
              <w:bottom w:w="80" w:type="dxa"/>
              <w:right w:w="120" w:type="dxa"/>
            </w:tcMar>
            <w:vAlign w:val="center"/>
          </w:tcPr>
          <w:p w14:paraId="07484C39">
            <w:pPr>
              <w:keepNext w:val="0"/>
            </w:pPr>
            <w:r>
              <w:rPr>
                <w:rFonts w:ascii="微软雅黑" w:hAnsi="微软雅黑" w:eastAsia="微软雅黑"/>
                <w:color w:val="202124"/>
                <w:sz w:val="18"/>
              </w:rPr>
              <w:t>阻止某个结果</w:t>
            </w:r>
          </w:p>
        </w:tc>
        <w:tc>
          <w:tcPr>
            <w:tcW w:w="4760" w:type="dxa"/>
            <w:shd w:val="clear" w:color="auto" w:fill="F4F6F9"/>
            <w:tcMar>
              <w:top w:w="80" w:type="dxa"/>
              <w:left w:w="120" w:type="dxa"/>
              <w:bottom w:w="80" w:type="dxa"/>
              <w:right w:w="120" w:type="dxa"/>
            </w:tcMar>
            <w:vAlign w:val="center"/>
          </w:tcPr>
          <w:p w14:paraId="7C30DF32">
            <w:pPr>
              <w:keepNext w:val="0"/>
            </w:pPr>
            <w:r>
              <w:rPr>
                <w:rFonts w:ascii="微软雅黑" w:hAnsi="微软雅黑" w:eastAsia="微软雅黑"/>
                <w:color w:val="202124"/>
                <w:sz w:val="18"/>
              </w:rPr>
              <w:t>本回合此部队不会被移除</w:t>
            </w:r>
          </w:p>
        </w:tc>
      </w:tr>
      <w:tr w14:paraId="75BD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606B4FF">
            <w:pPr>
              <w:keepNext w:val="0"/>
            </w:pPr>
            <w:r>
              <w:rPr>
                <w:rFonts w:ascii="微软雅黑" w:hAnsi="微软雅黑" w:eastAsia="微软雅黑"/>
                <w:color w:val="202124"/>
                <w:sz w:val="18"/>
              </w:rPr>
              <w:t>Replace</w:t>
            </w:r>
          </w:p>
        </w:tc>
        <w:tc>
          <w:tcPr>
            <w:tcW w:w="3100" w:type="dxa"/>
            <w:tcMar>
              <w:top w:w="80" w:type="dxa"/>
              <w:left w:w="120" w:type="dxa"/>
              <w:bottom w:w="80" w:type="dxa"/>
              <w:right w:w="120" w:type="dxa"/>
            </w:tcMar>
            <w:vAlign w:val="center"/>
          </w:tcPr>
          <w:p w14:paraId="72AE9724">
            <w:pPr>
              <w:keepNext w:val="0"/>
            </w:pPr>
            <w:r>
              <w:rPr>
                <w:rFonts w:ascii="微软雅黑" w:hAnsi="微软雅黑" w:eastAsia="微软雅黑"/>
                <w:color w:val="202124"/>
                <w:sz w:val="18"/>
              </w:rPr>
              <w:t>用另一操作替代原操作</w:t>
            </w:r>
          </w:p>
        </w:tc>
        <w:tc>
          <w:tcPr>
            <w:tcW w:w="4760" w:type="dxa"/>
            <w:tcMar>
              <w:top w:w="80" w:type="dxa"/>
              <w:left w:w="120" w:type="dxa"/>
              <w:bottom w:w="80" w:type="dxa"/>
              <w:right w:w="120" w:type="dxa"/>
            </w:tcMar>
            <w:vAlign w:val="center"/>
          </w:tcPr>
          <w:p w14:paraId="31744A71">
            <w:pPr>
              <w:keepNext w:val="0"/>
            </w:pPr>
            <w:r>
              <w:rPr>
                <w:rFonts w:ascii="微软雅黑" w:hAnsi="微软雅黑" w:eastAsia="微软雅黑"/>
                <w:color w:val="202124"/>
                <w:sz w:val="18"/>
              </w:rPr>
              <w:t>在澳大利亚征召代替建设陆军</w:t>
            </w:r>
          </w:p>
        </w:tc>
      </w:tr>
      <w:tr w14:paraId="77CC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69B642">
            <w:pPr>
              <w:keepNext w:val="0"/>
            </w:pPr>
            <w:r>
              <w:rPr>
                <w:rFonts w:ascii="微软雅黑" w:hAnsi="微软雅黑" w:eastAsia="微软雅黑"/>
                <w:color w:val="202124"/>
                <w:sz w:val="18"/>
              </w:rPr>
              <w:t>Modify</w:t>
            </w:r>
          </w:p>
        </w:tc>
        <w:tc>
          <w:tcPr>
            <w:tcW w:w="3100" w:type="dxa"/>
            <w:shd w:val="clear" w:color="auto" w:fill="F4F6F9"/>
            <w:tcMar>
              <w:top w:w="80" w:type="dxa"/>
              <w:left w:w="120" w:type="dxa"/>
              <w:bottom w:w="80" w:type="dxa"/>
              <w:right w:w="120" w:type="dxa"/>
            </w:tcMar>
            <w:vAlign w:val="center"/>
          </w:tcPr>
          <w:p w14:paraId="6CC6F45C">
            <w:pPr>
              <w:keepNext w:val="0"/>
            </w:pPr>
            <w:r>
              <w:rPr>
                <w:rFonts w:ascii="微软雅黑" w:hAnsi="微软雅黑" w:eastAsia="微软雅黑"/>
                <w:color w:val="202124"/>
                <w:sz w:val="18"/>
              </w:rPr>
              <w:t>修改数量、范围、费用或合法性</w:t>
            </w:r>
          </w:p>
        </w:tc>
        <w:tc>
          <w:tcPr>
            <w:tcW w:w="4760" w:type="dxa"/>
            <w:shd w:val="clear" w:color="auto" w:fill="F4F6F9"/>
            <w:tcMar>
              <w:top w:w="80" w:type="dxa"/>
              <w:left w:w="120" w:type="dxa"/>
              <w:bottom w:w="80" w:type="dxa"/>
              <w:right w:w="120" w:type="dxa"/>
            </w:tcMar>
            <w:vAlign w:val="center"/>
          </w:tcPr>
          <w:p w14:paraId="22C647C3">
            <w:pPr>
              <w:keepNext w:val="0"/>
            </w:pPr>
            <w:r>
              <w:rPr>
                <w:rFonts w:ascii="微软雅黑" w:hAnsi="微软雅黑" w:eastAsia="微软雅黑"/>
                <w:color w:val="202124"/>
                <w:sz w:val="18"/>
              </w:rPr>
              <w:t>额外弃牌、共享补给线、改变邻接</w:t>
            </w:r>
          </w:p>
        </w:tc>
      </w:tr>
    </w:tbl>
    <w:p w14:paraId="5E42CEA9">
      <w:pPr>
        <w:spacing w:after="20"/>
      </w:pPr>
    </w:p>
    <w:p w14:paraId="0F2AA3BE">
      <w:r>
        <w:rPr>
          <w:rFonts w:ascii="微软雅黑" w:hAnsi="微软雅黑" w:eastAsia="微软雅黑"/>
          <w:color w:val="202124"/>
        </w:rPr>
        <w:t>状态卡不应直接永久改写地图。补给、邻接、大本营、牌堆弃牌数量和“忽略状态卡”等都通过查询时合并修正器计算；状态离场后规则自然恢复。</w:t>
      </w:r>
    </w:p>
    <w:p w14:paraId="4D84C291">
      <w:pPr>
        <w:pStyle w:val="3"/>
      </w:pPr>
      <w:r>
        <w:rPr>
          <w:rFonts w:ascii="微软雅黑" w:hAnsi="微软雅黑" w:eastAsia="微软雅黑"/>
          <w:color w:val="000000"/>
        </w:rPr>
        <w:t>7. 卡牌数据与效果积木</w:t>
      </w:r>
    </w:p>
    <w:p w14:paraId="5A427F47">
      <w:r>
        <w:rPr>
          <w:rFonts w:ascii="微软雅黑" w:hAnsi="微软雅黑" w:eastAsia="微软雅黑"/>
          <w:color w:val="202124"/>
        </w:rPr>
        <w:t>卡牌采用“结构化数据优先、特殊脚本兜底”。普通卡由效果积木、选择器、条件和时点组合；少数改变流程或从其他区域打牌的卡实现专用 handler，但仍必须通过同一结算器执行。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5405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2B81E15">
            <w:pPr>
              <w:keepNext/>
            </w:pPr>
            <w:r>
              <w:rPr>
                <w:rFonts w:ascii="微软雅黑" w:hAnsi="微软雅黑" w:eastAsia="微软雅黑"/>
                <w:b/>
                <w:color w:val="FFFFFF"/>
                <w:sz w:val="19"/>
              </w:rPr>
              <w:t>类别</w:t>
            </w:r>
          </w:p>
        </w:tc>
        <w:tc>
          <w:tcPr>
            <w:tcW w:w="7560" w:type="dxa"/>
            <w:shd w:val="clear" w:color="auto" w:fill="315B7D"/>
            <w:tcMar>
              <w:top w:w="80" w:type="dxa"/>
              <w:left w:w="120" w:type="dxa"/>
              <w:bottom w:w="80" w:type="dxa"/>
              <w:right w:w="120" w:type="dxa"/>
            </w:tcMar>
            <w:vAlign w:val="center"/>
          </w:tcPr>
          <w:p w14:paraId="1FCEA3FF">
            <w:pPr>
              <w:keepNext/>
            </w:pPr>
            <w:r>
              <w:rPr>
                <w:rFonts w:ascii="微软雅黑" w:hAnsi="微软雅黑" w:eastAsia="微软雅黑"/>
                <w:b/>
                <w:color w:val="FFFFFF"/>
                <w:sz w:val="19"/>
              </w:rPr>
              <w:t>效果积木</w:t>
            </w:r>
          </w:p>
        </w:tc>
      </w:tr>
      <w:tr w14:paraId="2B1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BE6191B">
            <w:pPr>
              <w:keepNext w:val="0"/>
            </w:pPr>
            <w:r>
              <w:rPr>
                <w:rFonts w:ascii="微软雅黑" w:hAnsi="微软雅黑" w:eastAsia="微软雅黑"/>
                <w:color w:val="202124"/>
                <w:sz w:val="18"/>
              </w:rPr>
              <w:t>部队</w:t>
            </w:r>
          </w:p>
        </w:tc>
        <w:tc>
          <w:tcPr>
            <w:tcW w:w="7560" w:type="dxa"/>
            <w:tcMar>
              <w:top w:w="80" w:type="dxa"/>
              <w:left w:w="120" w:type="dxa"/>
              <w:bottom w:w="80" w:type="dxa"/>
              <w:right w:w="120" w:type="dxa"/>
            </w:tcMar>
            <w:vAlign w:val="center"/>
          </w:tcPr>
          <w:p w14:paraId="3D6B7556">
            <w:pPr>
              <w:keepNext w:val="0"/>
            </w:pPr>
            <w:r>
              <w:rPr>
                <w:rFonts w:ascii="微软雅黑" w:hAnsi="微软雅黑" w:eastAsia="微软雅黑"/>
                <w:color w:val="202124"/>
                <w:sz w:val="18"/>
              </w:rPr>
              <w:t>BUILD_UNIT、RECRUIT_UNIT、REMOVE_UNIT、RETURN_UNIT、REDEPLOY_ALL</w:t>
            </w:r>
          </w:p>
        </w:tc>
      </w:tr>
      <w:tr w14:paraId="2F6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C390A85">
            <w:pPr>
              <w:keepNext w:val="0"/>
            </w:pPr>
            <w:r>
              <w:rPr>
                <w:rFonts w:ascii="微软雅黑" w:hAnsi="微软雅黑" w:eastAsia="微软雅黑"/>
                <w:color w:val="202124"/>
                <w:sz w:val="18"/>
              </w:rPr>
              <w:t>战斗</w:t>
            </w:r>
          </w:p>
        </w:tc>
        <w:tc>
          <w:tcPr>
            <w:tcW w:w="7560" w:type="dxa"/>
            <w:shd w:val="clear" w:color="auto" w:fill="F4F6F9"/>
            <w:tcMar>
              <w:top w:w="80" w:type="dxa"/>
              <w:left w:w="120" w:type="dxa"/>
              <w:bottom w:w="80" w:type="dxa"/>
              <w:right w:w="120" w:type="dxa"/>
            </w:tcMar>
            <w:vAlign w:val="center"/>
          </w:tcPr>
          <w:p w14:paraId="198E466F">
            <w:pPr>
              <w:keepNext w:val="0"/>
            </w:pPr>
            <w:r>
              <w:rPr>
                <w:rFonts w:ascii="微软雅黑" w:hAnsi="微软雅黑" w:eastAsia="微软雅黑"/>
                <w:color w:val="202124"/>
                <w:sz w:val="18"/>
              </w:rPr>
              <w:t>DECLARE_LAND_BATTLE、DECLARE_SEA_BATTLE、CHOOSE_BATTLE_REGION、CHOOSE_DEFENDER、CHOOSE_ATTACKER</w:t>
            </w:r>
          </w:p>
        </w:tc>
      </w:tr>
      <w:tr w14:paraId="586F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234BE8">
            <w:pPr>
              <w:keepNext w:val="0"/>
            </w:pPr>
            <w:r>
              <w:rPr>
                <w:rFonts w:ascii="微软雅黑" w:hAnsi="微软雅黑" w:eastAsia="微软雅黑"/>
                <w:color w:val="202124"/>
                <w:sz w:val="18"/>
              </w:rPr>
              <w:t>空军</w:t>
            </w:r>
          </w:p>
        </w:tc>
        <w:tc>
          <w:tcPr>
            <w:tcW w:w="7560" w:type="dxa"/>
            <w:tcMar>
              <w:top w:w="80" w:type="dxa"/>
              <w:left w:w="120" w:type="dxa"/>
              <w:bottom w:w="80" w:type="dxa"/>
              <w:right w:w="120" w:type="dxa"/>
            </w:tcMar>
            <w:vAlign w:val="center"/>
          </w:tcPr>
          <w:p w14:paraId="06170725">
            <w:pPr>
              <w:keepNext w:val="0"/>
            </w:pPr>
            <w:r>
              <w:rPr>
                <w:rFonts w:ascii="微软雅黑" w:hAnsi="微软雅黑" w:eastAsia="微软雅黑"/>
                <w:color w:val="202124"/>
                <w:sz w:val="18"/>
              </w:rPr>
              <w:t>DEPLOY_AIR、MOVE_AIR、OFFER_AIR_DEFENSE、INTERCEPT_AIR_DEFENSE、FORCED_REDEPLOY_AIR、REMOVE_AIR</w:t>
            </w:r>
          </w:p>
        </w:tc>
      </w:tr>
      <w:tr w14:paraId="3F1B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47DDFC13">
            <w:pPr>
              <w:keepNext w:val="0"/>
            </w:pPr>
            <w:r>
              <w:rPr>
                <w:rFonts w:ascii="微软雅黑" w:hAnsi="微软雅黑" w:eastAsia="微软雅黑"/>
                <w:color w:val="202124"/>
                <w:sz w:val="18"/>
              </w:rPr>
              <w:t>卡牌</w:t>
            </w:r>
          </w:p>
        </w:tc>
        <w:tc>
          <w:tcPr>
            <w:tcW w:w="7560" w:type="dxa"/>
            <w:shd w:val="clear" w:color="auto" w:fill="F4F6F9"/>
            <w:tcMar>
              <w:top w:w="80" w:type="dxa"/>
              <w:left w:w="120" w:type="dxa"/>
              <w:bottom w:w="80" w:type="dxa"/>
              <w:right w:w="120" w:type="dxa"/>
            </w:tcMar>
            <w:vAlign w:val="center"/>
          </w:tcPr>
          <w:p>
            <w:pPr>
              <w:keepNext w:val="0"/>
            </w:pPr>
            <w:r>
              <w:t>DRAW、PAY_DISCARD_COST、FORCE_DISCARD_HAND、DISCARD_DECK_TOP、SEARCH、SHUFFLE、PLAY_FROM_ZONE、SET_RESPONSE、BEGIN_CARD_RESOLUTION、FINISH_CARD_RESOLUTION</w:t>
            </w:r>
          </w:p>
        </w:tc>
      </w:tr>
      <w:tr w14:paraId="67BD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4D052F6">
            <w:pPr>
              <w:keepNext w:val="0"/>
            </w:pPr>
            <w:r>
              <w:rPr>
                <w:rFonts w:ascii="微软雅黑" w:hAnsi="微软雅黑" w:eastAsia="微软雅黑"/>
                <w:color w:val="202124"/>
                <w:sz w:val="18"/>
              </w:rPr>
              <w:t>计分</w:t>
            </w:r>
          </w:p>
        </w:tc>
        <w:tc>
          <w:tcPr>
            <w:tcW w:w="7560" w:type="dxa"/>
            <w:tcMar>
              <w:top w:w="80" w:type="dxa"/>
              <w:left w:w="120" w:type="dxa"/>
              <w:bottom w:w="80" w:type="dxa"/>
              <w:right w:w="120" w:type="dxa"/>
            </w:tcMar>
            <w:vAlign w:val="center"/>
          </w:tcPr>
          <w:p w14:paraId="05203EE6">
            <w:pPr>
              <w:keepNext w:val="0"/>
            </w:pPr>
            <w:r>
              <w:rPr>
                <w:rFonts w:ascii="微软雅黑" w:hAnsi="微软雅黑" w:eastAsia="微软雅黑"/>
                <w:color w:val="202124"/>
                <w:sz w:val="18"/>
              </w:rPr>
              <w:t>GAIN_SCORE、CONDITIONAL_SCORE、IMMEDIATE_VICTORY_CHECK</w:t>
            </w:r>
          </w:p>
        </w:tc>
      </w:tr>
      <w:tr w14:paraId="3E8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3253E88D">
            <w:pPr>
              <w:keepNext w:val="0"/>
            </w:pPr>
            <w:r>
              <w:rPr>
                <w:rFonts w:ascii="微软雅黑" w:hAnsi="微软雅黑" w:eastAsia="微软雅黑"/>
                <w:color w:val="202124"/>
                <w:sz w:val="18"/>
              </w:rPr>
              <w:t>规则</w:t>
            </w:r>
          </w:p>
        </w:tc>
        <w:tc>
          <w:tcPr>
            <w:tcW w:w="7560" w:type="dxa"/>
            <w:shd w:val="clear" w:color="auto" w:fill="F4F6F9"/>
            <w:tcMar>
              <w:top w:w="80" w:type="dxa"/>
              <w:left w:w="120" w:type="dxa"/>
              <w:bottom w:w="80" w:type="dxa"/>
              <w:right w:w="120" w:type="dxa"/>
            </w:tcMar>
            <w:vAlign w:val="center"/>
          </w:tcPr>
          <w:p w14:paraId="24389942">
            <w:pPr>
              <w:keepNext w:val="0"/>
            </w:pPr>
            <w:r>
              <w:rPr>
                <w:rFonts w:ascii="微软雅黑" w:hAnsi="微软雅黑" w:eastAsia="微软雅黑"/>
                <w:color w:val="202124"/>
                <w:sz w:val="18"/>
              </w:rPr>
              <w:t>ADD_STATUS、ADD_TEMP_MODIFIER、CHANGE_SUPPLY_SOURCE、CHANGE_ADJACENCY</w:t>
            </w:r>
          </w:p>
        </w:tc>
      </w:tr>
      <w:tr w14:paraId="4BAA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774952F">
            <w:pPr>
              <w:keepNext w:val="0"/>
            </w:pPr>
            <w:r>
              <w:rPr>
                <w:rFonts w:ascii="微软雅黑" w:hAnsi="微软雅黑" w:eastAsia="微软雅黑"/>
                <w:color w:val="202124"/>
                <w:sz w:val="18"/>
              </w:rPr>
              <w:t>流程</w:t>
            </w:r>
          </w:p>
        </w:tc>
        <w:tc>
          <w:tcPr>
            <w:tcW w:w="7560" w:type="dxa"/>
            <w:tcMar>
              <w:top w:w="80" w:type="dxa"/>
              <w:left w:w="120" w:type="dxa"/>
              <w:bottom w:w="80" w:type="dxa"/>
              <w:right w:w="120" w:type="dxa"/>
            </w:tcMar>
            <w:vAlign w:val="center"/>
          </w:tcPr>
          <w:p>
            <w:pPr>
              <w:keepNext w:val="0"/>
            </w:pPr>
            <w:r>
              <w:t>CHOOSE、ORDER_TARGETS、ORDER_MANDATORY_TRIGGERS、TURN_START_WINDOW、OPEN_TRIGGER_WINDOW、PASS_TRIGGER_WINDOW、SKIP_PHASE、PLAY_ADDITIONAL_CARD</w:t>
            </w:r>
          </w:p>
        </w:tc>
      </w:tr>
    </w:tbl>
    <w:p w14:paraId="0F5C43AE">
      <w:pPr>
        <w:spacing w:after="20"/>
      </w:pPr>
    </w:p>
    <w:p w14:paraId="257B0E93">
      <w:pPr>
        <w:pStyle w:val="4"/>
      </w:pPr>
      <w:r>
        <w:rPr>
          <w:rFonts w:ascii="微软雅黑" w:hAnsi="微软雅黑" w:eastAsia="微软雅黑"/>
          <w:color w:val="000000"/>
        </w:rPr>
        <w:t>7.1 卡牌记录的最小字段</w:t>
      </w:r>
    </w:p>
    <w:p w14:paraId="7FB0E6A4">
      <w:pPr>
        <w:numPr>
          <w:ilvl w:val="0"/>
          <w:numId w:val="7"/>
        </w:numPr>
        <w:spacing w:after="80"/>
      </w:pPr>
      <w:r>
        <w:rPr>
          <w:rFonts w:ascii="微软雅黑" w:hAnsi="微软雅黑" w:eastAsia="微软雅黑"/>
          <w:color w:val="202124"/>
        </w:rPr>
        <w:t>唯一 cardId；显示名称；主牌堆；卡牌所属国家/子阵营；卡牌类型；数量。</w:t>
      </w:r>
    </w:p>
    <w:p w14:paraId="3E776BC6">
      <w:pPr>
        <w:numPr>
          <w:ilvl w:val="0"/>
          <w:numId w:val="7"/>
        </w:numPr>
        <w:spacing w:after="80"/>
      </w:pPr>
      <w:r>
        <w:rPr>
          <w:rFonts w:ascii="微软雅黑" w:hAnsi="微软雅黑" w:eastAsia="微软雅黑"/>
          <w:color w:val="202124"/>
        </w:rPr>
        <w:t>原始文本、校对文本、数据版本、来源位置与校对状态。</w:t>
      </w:r>
    </w:p>
    <w:p w14:paraId="52576AC6">
      <w:pPr>
        <w:numPr>
          <w:ilvl w:val="0"/>
          <w:numId w:val="7"/>
        </w:numPr>
        <w:spacing w:after="80"/>
      </w:pPr>
      <w:r>
        <w:rPr>
          <w:rFonts w:ascii="微软雅黑" w:hAnsi="微软雅黑" w:eastAsia="微软雅黑"/>
          <w:color w:val="202124"/>
        </w:rPr>
        <w:t>合法打出窗口、费用、目标选择器、条件、效果序列和是否可选。另存效果依赖、条件作用范围、必做效果组、费用适用范围与最终卡牌去向；不得仅凭逗号、分号、句号自动生成这些语义。</w:t>
      </w:r>
    </w:p>
    <w:p w14:paraId="39AAAB60">
      <w:pPr>
        <w:numPr>
          <w:ilvl w:val="0"/>
          <w:numId w:val="7"/>
        </w:numPr>
        <w:spacing w:after="80"/>
      </w:pPr>
      <w:r>
        <w:rPr>
          <w:rFonts w:ascii="微软雅黑" w:hAnsi="微软雅黑" w:eastAsia="微软雅黑"/>
          <w:color w:val="202124"/>
        </w:rPr>
        <w:t>触发事件、触发前后时点、每回合限制、持续时间和可见性。</w:t>
      </w:r>
    </w:p>
    <w:p w14:paraId="79533EF1">
      <w:pPr>
        <w:numPr>
          <w:ilvl w:val="0"/>
          <w:numId w:val="7"/>
        </w:numPr>
        <w:spacing w:after="80"/>
      </w:pPr>
      <w:r>
        <w:rPr>
          <w:rFonts w:ascii="微软雅黑" w:hAnsi="微软雅黑" w:eastAsia="微软雅黑"/>
          <w:color w:val="202124"/>
        </w:rPr>
        <w:t>实现类型：DECLARATIVE 或 CUSTOM；对应自动测试编号。</w:t>
      </w:r>
    </w:p>
    <w:p w14:paraId="6FB2C066">
      <w:pPr>
        <w:pStyle w:val="4"/>
      </w:pPr>
      <w:r>
        <w:rPr>
          <w:rFonts w:ascii="微软雅黑" w:hAnsi="微软雅黑" w:eastAsia="微软雅黑"/>
          <w:color w:val="000000"/>
        </w:rPr>
        <w:t>7.2 数据导入质量门</w:t>
      </w:r>
    </w:p>
    <w:p w14:paraId="49C2FA72">
      <w:pPr>
        <w:numPr>
          <w:ilvl w:val="0"/>
          <w:numId w:val="7"/>
        </w:numPr>
        <w:spacing w:after="80"/>
      </w:pPr>
      <w:r>
        <w:rPr>
          <w:rFonts w:ascii="微软雅黑" w:hAnsi="微软雅黑" w:eastAsia="微软雅黑"/>
          <w:color w:val="202124"/>
        </w:rPr>
        <w:t>地区名必须来自版图字典；兵种、阵营、卡牌类别必须来自枚举。</w:t>
      </w:r>
    </w:p>
    <w:p w14:paraId="1B522B41">
      <w:pPr>
        <w:numPr>
          <w:ilvl w:val="0"/>
          <w:numId w:val="7"/>
        </w:numPr>
        <w:spacing w:after="80"/>
      </w:pPr>
      <w:r>
        <w:rPr>
          <w:rFonts w:ascii="微软雅黑" w:hAnsi="微软雅黑" w:eastAsia="微软雅黑"/>
          <w:color w:val="202124"/>
        </w:rPr>
        <w:t>所有数量必须是明确数字或可计算表达式。</w:t>
      </w:r>
    </w:p>
    <w:p w14:paraId="30A6C6D2">
      <w:pPr>
        <w:numPr>
          <w:ilvl w:val="0"/>
          <w:numId w:val="7"/>
        </w:numPr>
        <w:spacing w:after="80"/>
      </w:pPr>
      <w:r>
        <w:rPr>
          <w:rFonts w:ascii="微软雅黑" w:hAnsi="微软雅黑" w:eastAsia="微软雅黑"/>
          <w:color w:val="202124"/>
        </w:rPr>
        <w:t>展示文本中地名统一写为&lt;地名&gt;，卡牌、动作和其他术语统一写为【名称】；解析后仍以 regionId/actionId 为准，不用括号文本参与核心判定。&lt;太平洋&gt;是已冻结的地区集合选择器，不是单一 regionId，成员为&lt;北太平洋&gt;、&lt;中太平洋&gt;、&lt;南太平洋&gt;、&lt;东太平洋&gt;和&lt;东南太平洋&gt;。导入器必须先区分单一地区与地区集合，再执行合法性检查。</w:t>
      </w:r>
    </w:p>
    <w:p w14:paraId="67E24AC5">
      <w:pPr>
        <w:numPr>
          <w:ilvl w:val="0"/>
          <w:numId w:val="7"/>
        </w:numPr>
        <w:spacing w:after="80"/>
      </w:pPr>
      <w:r>
        <w:rPr>
          <w:rFonts w:ascii="微软雅黑" w:hAnsi="微软雅黑" w:eastAsia="微软雅黑"/>
          <w:color w:val="202124"/>
        </w:rPr>
        <w:t>包含“否则、或、至多、依次、代替、无效、将被、之后”的卡自动进入人工复核。</w:t>
      </w:r>
    </w:p>
    <w:p w14:paraId="6D4BDBBA">
      <w:pPr>
        <w:numPr>
          <w:ilvl w:val="0"/>
          <w:numId w:val="7"/>
        </w:numPr>
        <w:spacing w:after="80"/>
      </w:pPr>
      <w:r>
        <w:rPr>
          <w:rFonts w:ascii="微软雅黑" w:hAnsi="微软雅黑" w:eastAsia="微软雅黑"/>
          <w:color w:val="202124"/>
        </w:rPr>
        <w:t>卡牌数据构建时输出 schema 校验报告；任何高优先级错误阻止正式构建。</w:t>
      </w:r>
    </w:p>
    <w:p w14:paraId="72EC20EB">
      <w:pPr>
        <w:pStyle w:val="3"/>
      </w:pPr>
      <w:r>
        <w:rPr>
          <w:rFonts w:ascii="微软雅黑" w:hAnsi="微软雅黑" w:eastAsia="微软雅黑"/>
          <w:color w:val="000000"/>
        </w:rPr>
        <w:t>8. 版图、邻接与补给</w:t>
      </w:r>
    </w:p>
    <w:p w14:paraId="4BEFBE35">
      <w:r>
        <w:rPr>
          <w:rFonts w:ascii="微软雅黑" w:hAnsi="微软雅黑" w:eastAsia="微软雅黑"/>
          <w:color w:val="202124"/>
        </w:rPr>
        <w:t>版图采用逻辑图结构，而不是依靠图片像素判断邻接。地图图片或 SVG 只负责显示；地区 ID、陆地/海域类型、基础邻接、海峡关系、补给点和大本营存放在独立数据文件。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14C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5A832DD2">
            <w:pPr>
              <w:keepNext/>
            </w:pPr>
            <w:r>
              <w:rPr>
                <w:rFonts w:ascii="微软雅黑" w:hAnsi="微软雅黑" w:eastAsia="微软雅黑"/>
                <w:b/>
                <w:color w:val="FFFFFF"/>
                <w:sz w:val="19"/>
              </w:rPr>
              <w:t>查询</w:t>
            </w:r>
          </w:p>
        </w:tc>
        <w:tc>
          <w:tcPr>
            <w:tcW w:w="7060" w:type="dxa"/>
            <w:shd w:val="clear" w:color="auto" w:fill="315B7D"/>
            <w:tcMar>
              <w:top w:w="80" w:type="dxa"/>
              <w:left w:w="120" w:type="dxa"/>
              <w:bottom w:w="80" w:type="dxa"/>
              <w:right w:w="120" w:type="dxa"/>
            </w:tcMar>
            <w:vAlign w:val="center"/>
          </w:tcPr>
          <w:p w14:paraId="727C94CD">
            <w:pPr>
              <w:keepNext/>
            </w:pPr>
            <w:r>
              <w:rPr>
                <w:rFonts w:ascii="微软雅黑" w:hAnsi="微软雅黑" w:eastAsia="微软雅黑"/>
                <w:b/>
                <w:color w:val="FFFFFF"/>
                <w:sz w:val="19"/>
              </w:rPr>
              <w:t>必须考虑的动态因素</w:t>
            </w:r>
          </w:p>
        </w:tc>
      </w:tr>
      <w:tr w14:paraId="6BCD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7CFC4EC">
            <w:pPr>
              <w:keepNext w:val="0"/>
            </w:pPr>
            <w:r>
              <w:rPr>
                <w:rFonts w:ascii="微软雅黑" w:hAnsi="微软雅黑" w:eastAsia="微软雅黑"/>
                <w:color w:val="202124"/>
                <w:sz w:val="18"/>
              </w:rPr>
              <w:t>isAdjacent</w:t>
            </w:r>
          </w:p>
        </w:tc>
        <w:tc>
          <w:tcPr>
            <w:tcW w:w="7060" w:type="dxa"/>
            <w:tcMar>
              <w:top w:w="80" w:type="dxa"/>
              <w:left w:w="120" w:type="dxa"/>
              <w:bottom w:w="80" w:type="dxa"/>
              <w:right w:w="120" w:type="dxa"/>
            </w:tcMar>
            <w:vAlign w:val="center"/>
          </w:tcPr>
          <w:p w14:paraId="01F40B3A">
            <w:pPr>
              <w:keepNext w:val="0"/>
            </w:pPr>
            <w:r>
              <w:rPr>
                <w:rFonts w:ascii="微软雅黑" w:hAnsi="微软雅黑" w:eastAsia="微软雅黑"/>
                <w:color w:val="202124"/>
                <w:sz w:val="18"/>
              </w:rPr>
              <w:t>基础边、海峡状态、阵营差异、状态牌新增/删除的边</w:t>
            </w:r>
          </w:p>
        </w:tc>
      </w:tr>
      <w:tr w14:paraId="0FE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DD0F2E0">
            <w:pPr>
              <w:keepNext w:val="0"/>
            </w:pPr>
            <w:r>
              <w:rPr>
                <w:rFonts w:ascii="微软雅黑" w:hAnsi="微软雅黑" w:eastAsia="微软雅黑"/>
                <w:color w:val="202124"/>
                <w:sz w:val="18"/>
              </w:rPr>
              <w:t>isInSupply</w:t>
            </w:r>
          </w:p>
        </w:tc>
        <w:tc>
          <w:tcPr>
            <w:tcW w:w="7060" w:type="dxa"/>
            <w:shd w:val="clear" w:color="auto" w:fill="F4F6F9"/>
            <w:tcMar>
              <w:top w:w="80" w:type="dxa"/>
              <w:left w:w="120" w:type="dxa"/>
              <w:bottom w:w="80" w:type="dxa"/>
              <w:right w:w="120" w:type="dxa"/>
            </w:tcMar>
            <w:vAlign w:val="center"/>
          </w:tcPr>
          <w:p w14:paraId="1BB6BF32">
            <w:pPr>
              <w:keepNext w:val="0"/>
            </w:pPr>
            <w:r>
              <w:rPr>
                <w:rFonts w:ascii="微软雅黑" w:hAnsi="微软雅黑" w:eastAsia="微软雅黑"/>
                <w:color w:val="202124"/>
                <w:sz w:val="18"/>
              </w:rPr>
              <w:t>大本营、补给点、友军共享、敌军占领、海峡占领、永久/临时修正</w:t>
            </w:r>
          </w:p>
        </w:tc>
      </w:tr>
      <w:tr w14:paraId="3591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B1158EB">
            <w:pPr>
              <w:keepNext w:val="0"/>
            </w:pPr>
            <w:r>
              <w:rPr>
                <w:rFonts w:ascii="微软雅黑" w:hAnsi="微软雅黑" w:eastAsia="微软雅黑"/>
                <w:color w:val="202124"/>
                <w:sz w:val="18"/>
              </w:rPr>
              <w:t>legalBuildRegions</w:t>
            </w:r>
          </w:p>
        </w:tc>
        <w:tc>
          <w:tcPr>
            <w:tcW w:w="7060" w:type="dxa"/>
            <w:tcMar>
              <w:top w:w="80" w:type="dxa"/>
              <w:left w:w="120" w:type="dxa"/>
              <w:bottom w:w="80" w:type="dxa"/>
              <w:right w:w="120" w:type="dxa"/>
            </w:tcMar>
            <w:vAlign w:val="center"/>
          </w:tcPr>
          <w:p w14:paraId="75D1779E">
            <w:pPr>
              <w:keepNext w:val="0"/>
            </w:pPr>
            <w:r>
              <w:rPr>
                <w:rFonts w:ascii="微软雅黑" w:hAnsi="微软雅黑" w:eastAsia="微软雅黑"/>
                <w:color w:val="202124"/>
                <w:sz w:val="18"/>
              </w:rPr>
              <w:t>陆海类型、敌军、本国部队链、征召/建设差异、兵模库存</w:t>
            </w:r>
          </w:p>
        </w:tc>
      </w:tr>
      <w:tr w14:paraId="18B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767E0EA">
            <w:pPr>
              <w:keepNext w:val="0"/>
            </w:pPr>
            <w:r>
              <w:rPr>
                <w:rFonts w:ascii="微软雅黑" w:hAnsi="微软雅黑" w:eastAsia="微软雅黑"/>
                <w:color w:val="202124"/>
                <w:sz w:val="18"/>
              </w:rPr>
              <w:t>distance</w:t>
            </w:r>
          </w:p>
        </w:tc>
        <w:tc>
          <w:tcPr>
            <w:tcW w:w="7060" w:type="dxa"/>
            <w:shd w:val="clear" w:color="auto" w:fill="F4F6F9"/>
            <w:tcMar>
              <w:top w:w="80" w:type="dxa"/>
              <w:left w:w="120" w:type="dxa"/>
              <w:bottom w:w="80" w:type="dxa"/>
              <w:right w:w="120" w:type="dxa"/>
            </w:tcMar>
            <w:vAlign w:val="center"/>
          </w:tcPr>
          <w:p w14:paraId="57823955">
            <w:pPr>
              <w:keepNext w:val="0"/>
            </w:pPr>
            <w:r>
              <w:rPr>
                <w:rFonts w:ascii="微软雅黑" w:hAnsi="微软雅黑" w:eastAsia="微软雅黑"/>
                <w:color w:val="202124"/>
                <w:sz w:val="18"/>
              </w:rPr>
              <w:t>按当前有效邻接图计算；明确陆海是否都可通过</w:t>
            </w:r>
          </w:p>
        </w:tc>
      </w:tr>
      <w:tr w14:paraId="7B91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9C23DEA">
            <w:pPr>
              <w:keepNext w:val="0"/>
            </w:pPr>
            <w:r>
              <w:rPr>
                <w:rFonts w:ascii="微软雅黑" w:hAnsi="微软雅黑" w:eastAsia="微软雅黑"/>
                <w:color w:val="202124"/>
                <w:sz w:val="18"/>
              </w:rPr>
              <w:t>occupier</w:t>
            </w:r>
          </w:p>
        </w:tc>
        <w:tc>
          <w:tcPr>
            <w:tcW w:w="7060" w:type="dxa"/>
            <w:tcMar>
              <w:top w:w="80" w:type="dxa"/>
              <w:left w:w="120" w:type="dxa"/>
              <w:bottom w:w="80" w:type="dxa"/>
              <w:right w:w="120" w:type="dxa"/>
            </w:tcMar>
            <w:vAlign w:val="center"/>
          </w:tcPr>
          <w:p w14:paraId="1020D84A">
            <w:pPr>
              <w:keepNext w:val="0"/>
            </w:pPr>
            <w:r>
              <w:rPr>
                <w:rFonts w:ascii="微软雅黑" w:hAnsi="微软雅黑" w:eastAsia="微软雅黑"/>
                <w:color w:val="202124"/>
                <w:sz w:val="18"/>
              </w:rPr>
              <w:t>按阵营和部队类型计算，不从图片或最后操作推断</w:t>
            </w:r>
          </w:p>
        </w:tc>
      </w:tr>
    </w:tbl>
    <w:p w14:paraId="4BAEE867">
      <w:pPr>
        <w:spacing w:after="20"/>
      </w:pPr>
    </w:p>
    <w:p w14:paraId="63D14D91">
      <w:pPr>
        <w:pStyle w:val="4"/>
      </w:pPr>
      <w:r>
        <w:rPr>
          <w:rFonts w:ascii="微软雅黑" w:hAnsi="微软雅黑" w:eastAsia="微软雅黑"/>
          <w:color w:val="000000"/>
        </w:rPr>
        <w:t>8.1 版图数据与已确认拓扑</w:t>
      </w:r>
    </w:p>
    <w:p w14:paraId="7AD27D5F">
      <w:r>
        <w:rPr>
          <w:rFonts w:ascii="微软雅黑" w:hAnsi="微软雅黑" w:eastAsia="微软雅黑"/>
          <w:color w:val="202124"/>
        </w:rPr>
        <w:t>地图必须先转录为显式图数据，再绘制视觉版图。出版设计定稿包含 51 个可操作地区，其中 34 个陆地、17 个海域；基础邻接与海峡连接合计 132 条无向边，其中 5 条是受控制权影响的海峡连接。每个地区保存唯一 regionId、显示名、LAND/SEA 类型、是否补给点、是否大本营、基础邻接边和可选的海峡连接。所有邻接均按无向边处理，程序绝不以多边形接触、像素边界或视觉距离推断相邻。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7859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3814171">
            <w:pPr>
              <w:keepNext/>
            </w:pPr>
            <w:r>
              <w:rPr>
                <w:rFonts w:ascii="微软雅黑" w:hAnsi="微软雅黑" w:eastAsia="微软雅黑"/>
                <w:b/>
                <w:color w:val="FFFFFF"/>
                <w:sz w:val="19"/>
              </w:rPr>
              <w:t>拓扑规则</w:t>
            </w:r>
          </w:p>
        </w:tc>
        <w:tc>
          <w:tcPr>
            <w:tcW w:w="7060" w:type="dxa"/>
            <w:shd w:val="clear" w:color="auto" w:fill="315B7D"/>
            <w:tcMar>
              <w:top w:w="80" w:type="dxa"/>
              <w:left w:w="120" w:type="dxa"/>
              <w:bottom w:w="80" w:type="dxa"/>
              <w:right w:w="120" w:type="dxa"/>
            </w:tcMar>
            <w:vAlign w:val="center"/>
          </w:tcPr>
          <w:p w14:paraId="3A048DF6">
            <w:pPr>
              <w:keepNext/>
            </w:pPr>
            <w:r>
              <w:rPr>
                <w:rFonts w:ascii="微软雅黑" w:hAnsi="微软雅黑" w:eastAsia="微软雅黑"/>
                <w:b/>
                <w:color w:val="FFFFFF"/>
                <w:sz w:val="19"/>
              </w:rPr>
              <w:t>冻结结论</w:t>
            </w:r>
          </w:p>
        </w:tc>
      </w:tr>
      <w:tr w14:paraId="25E3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8954CF3">
            <w:pPr>
              <w:keepNext w:val="0"/>
            </w:pPr>
            <w:r>
              <w:rPr>
                <w:rFonts w:ascii="微软雅黑" w:hAnsi="微软雅黑" w:eastAsia="微软雅黑"/>
                <w:color w:val="202124"/>
                <w:sz w:val="18"/>
              </w:rPr>
              <w:t>点接触不算相邻</w:t>
            </w:r>
          </w:p>
        </w:tc>
        <w:tc>
          <w:tcPr>
            <w:tcW w:w="7060" w:type="dxa"/>
            <w:tcMar>
              <w:top w:w="80" w:type="dxa"/>
              <w:left w:w="120" w:type="dxa"/>
              <w:bottom w:w="80" w:type="dxa"/>
              <w:right w:w="120" w:type="dxa"/>
            </w:tcMar>
            <w:vAlign w:val="center"/>
          </w:tcPr>
          <w:p w14:paraId="6D3F69A9">
            <w:pPr>
              <w:keepNext w:val="0"/>
            </w:pPr>
            <w:r>
              <w:rPr>
                <w:rFonts w:ascii="微软雅黑" w:hAnsi="微软雅黑" w:eastAsia="微软雅黑"/>
                <w:color w:val="202124"/>
                <w:sz w:val="18"/>
              </w:rPr>
              <w:t>&lt;中东&gt;与&lt;巴尔干&gt;不相邻；&lt;地中海&gt;与&lt;黑海&gt;不相邻。这四个地区只在同一点相接，两条对角线都不得生成边。</w:t>
            </w:r>
          </w:p>
        </w:tc>
      </w:tr>
      <w:tr w14:paraId="5A3D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6F7DA8">
            <w:pPr>
              <w:keepNext w:val="0"/>
            </w:pPr>
            <w:r>
              <w:rPr>
                <w:rFonts w:ascii="微软雅黑" w:hAnsi="微软雅黑" w:eastAsia="微软雅黑"/>
                <w:color w:val="202124"/>
                <w:sz w:val="18"/>
              </w:rPr>
              <w:t>横向地图接缝</w:t>
            </w:r>
          </w:p>
        </w:tc>
        <w:tc>
          <w:tcPr>
            <w:tcW w:w="7060" w:type="dxa"/>
            <w:shd w:val="clear" w:color="auto" w:fill="F4F6F9"/>
            <w:tcMar>
              <w:top w:w="80" w:type="dxa"/>
              <w:left w:w="120" w:type="dxa"/>
              <w:bottom w:w="80" w:type="dxa"/>
              <w:right w:w="120" w:type="dxa"/>
            </w:tcMar>
            <w:vAlign w:val="center"/>
          </w:tcPr>
          <w:p w14:paraId="2F944C41">
            <w:pPr>
              <w:keepNext w:val="0"/>
            </w:pPr>
            <w:r>
              <w:rPr>
                <w:rFonts w:ascii="微软雅黑" w:hAnsi="微软雅黑" w:eastAsia="微软雅黑"/>
                <w:color w:val="202124"/>
                <w:sz w:val="18"/>
              </w:rPr>
              <w:t>&lt;东太平洋&gt;分别与&lt;加拿大&gt;、&lt;美国&gt;、&lt;拉丁美洲&gt;相邻；三条边都必须写入逻辑图。</w:t>
            </w:r>
          </w:p>
        </w:tc>
      </w:tr>
      <w:tr w14:paraId="4331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116EB1D4">
            <w:pPr>
              <w:keepNext w:val="0"/>
            </w:pPr>
            <w:r>
              <w:rPr>
                <w:rFonts w:ascii="微软雅黑" w:hAnsi="微软雅黑" w:eastAsia="微软雅黑"/>
                <w:color w:val="202124"/>
                <w:sz w:val="18"/>
              </w:rPr>
              <w:t>跨边地区</w:t>
            </w:r>
          </w:p>
        </w:tc>
        <w:tc>
          <w:tcPr>
            <w:tcW w:w="7060" w:type="dxa"/>
            <w:tcMar>
              <w:top w:w="80" w:type="dxa"/>
              <w:left w:w="120" w:type="dxa"/>
              <w:bottom w:w="80" w:type="dxa"/>
              <w:right w:w="120" w:type="dxa"/>
            </w:tcMar>
            <w:vAlign w:val="center"/>
          </w:tcPr>
          <w:p w14:paraId="1811BFCD">
            <w:pPr>
              <w:keepNext w:val="0"/>
            </w:pPr>
            <w:r>
              <w:rPr>
                <w:rFonts w:ascii="微软雅黑" w:hAnsi="微软雅黑" w:eastAsia="微软雅黑"/>
                <w:color w:val="202124"/>
                <w:sz w:val="18"/>
              </w:rPr>
              <w:t>地图左右两侧重复显示的&lt;加拿大&gt;和&lt;美国&gt;分别是同一个 regionId，不是两个地区。</w:t>
            </w:r>
          </w:p>
        </w:tc>
      </w:tr>
      <w:tr w14:paraId="4579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268D5F0B">
            <w:pPr>
              <w:keepNext w:val="0"/>
            </w:pPr>
            <w:r>
              <w:rPr>
                <w:rFonts w:ascii="微软雅黑" w:hAnsi="微软雅黑" w:eastAsia="微软雅黑"/>
                <w:color w:val="202124"/>
                <w:sz w:val="18"/>
              </w:rPr>
              <w:t>视觉版图调整</w:t>
            </w:r>
          </w:p>
        </w:tc>
        <w:tc>
          <w:tcPr>
            <w:tcW w:w="7060" w:type="dxa"/>
            <w:shd w:val="clear" w:color="auto" w:fill="F4F6F9"/>
            <w:tcMar>
              <w:top w:w="80" w:type="dxa"/>
              <w:left w:w="120" w:type="dxa"/>
              <w:bottom w:w="80" w:type="dxa"/>
              <w:right w:w="120" w:type="dxa"/>
            </w:tcMar>
            <w:vAlign w:val="center"/>
          </w:tcPr>
          <w:p w14:paraId="6D10A6C7">
            <w:pPr>
              <w:keepNext w:val="0"/>
            </w:pPr>
            <w:r>
              <w:rPr>
                <w:rFonts w:ascii="微软雅黑" w:hAnsi="微软雅黑" w:eastAsia="微软雅黑"/>
                <w:color w:val="202124"/>
                <w:sz w:val="18"/>
              </w:rPr>
              <w:t>新版地图把横向接缝在美国一侧向美东方向移动，使最右侧能同时看见&lt;加拿大&gt;、&lt;美国&gt;、&lt;拉丁美洲&gt;与&lt;东太平洋&gt;接壤；这只改变绘图，不改变逻辑图。</w:t>
            </w:r>
          </w:p>
        </w:tc>
      </w:tr>
      <w:tr w14:paraId="7A8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40BDFC4">
            <w:pPr>
              <w:keepNext w:val="0"/>
            </w:pPr>
            <w:r>
              <w:rPr>
                <w:rFonts w:ascii="微软雅黑" w:hAnsi="微软雅黑" w:eastAsia="微软雅黑"/>
                <w:color w:val="202124"/>
                <w:sz w:val="18"/>
              </w:rPr>
              <w:t>计分显示</w:t>
            </w:r>
          </w:p>
        </w:tc>
        <w:tc>
          <w:tcPr>
            <w:tcW w:w="7060" w:type="dxa"/>
            <w:tcMar>
              <w:top w:w="80" w:type="dxa"/>
              <w:left w:w="120" w:type="dxa"/>
              <w:bottom w:w="80" w:type="dxa"/>
              <w:right w:w="120" w:type="dxa"/>
            </w:tcMar>
            <w:vAlign w:val="center"/>
          </w:tcPr>
          <w:p w14:paraId="0D7BB04B">
            <w:pPr>
              <w:keepNext w:val="0"/>
            </w:pPr>
            <w:r>
              <w:rPr>
                <w:rFonts w:ascii="微软雅黑" w:hAnsi="微软雅黑" w:eastAsia="微软雅黑"/>
                <w:color w:val="202124"/>
                <w:sz w:val="18"/>
              </w:rPr>
              <w:t>地图四周不设置 0—99 计分格；分数统一显示在地图外的独立计分板。</w:t>
            </w:r>
          </w:p>
        </w:tc>
      </w:tr>
    </w:tbl>
    <w:p w14:paraId="5DE9EB67">
      <w:pPr>
        <w:spacing w:after="20"/>
      </w:pPr>
    </w:p>
    <w:p w14:paraId="4C0F3049">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邻接硬约束　</w:t>
      </w:r>
      <w:r>
        <w:rPr>
          <w:rFonts w:ascii="微软雅黑" w:hAnsi="微软雅黑" w:eastAsia="微软雅黑"/>
        </w:rPr>
        <w:t>任何两块区域即使视觉上共用一个点，也默认不相邻；只有 map-edges 数据中存在无向边，isAdjacent 才能返回 true。跨地图边缘的邻接同样必须显式列出。</w:t>
      </w:r>
    </w:p>
    <w:p>
      <w:pPr>
        <w:keepNext w:val="0"/>
      </w:pPr>
      <w:r>
        <w:t>海峡导入以“海峡”工作表的5组海域对为权威来源；邻接表中的“（海峡）”仅为说明文字，须去除后匹配地区名。丹麦海峡的邻接项未标此后缀，也必须识别为条件连接，不能重复作为永久基础边加入。</w:t>
      </w:r>
    </w:p>
    <w:p w14:paraId="4D2EAAEC">
      <w:pPr>
        <w:pStyle w:val="4"/>
      </w:pPr>
      <w:r>
        <w:rPr>
          <w:rFonts w:ascii="微软雅黑" w:hAnsi="微软雅黑" w:eastAsia="微软雅黑"/>
          <w:color w:val="000000"/>
        </w:rPr>
        <w:t>8.2 大本营、补给点与初始部队</w:t>
      </w:r>
    </w:p>
    <w:p w14:paraId="27EFE116">
      <w:r>
        <w:rPr>
          <w:rFonts w:ascii="微软雅黑" w:hAnsi="微软雅黑" w:eastAsia="微软雅黑"/>
          <w:color w:val="202124"/>
        </w:rPr>
        <w:t>八个拥有部队归属的国家均有大本营：德国—&lt;日耳曼&gt;、英国—&lt;不列颠群岛&gt;、日本—&lt;日本&gt;、苏联—&lt;莫斯科&gt;、意大利—&lt;意大利&gt;、美国—&lt;美国&gt;、法国—&lt;西欧&gt;、中国—&lt;中国东部&gt;。法国和中国虽然没有独立回合，但仍具有独立的大本营占领与计分判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200"/>
        <w:gridCol w:w="4260"/>
      </w:tblGrid>
      <w:tr w14:paraId="4E9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7AE2F865">
            <w:pPr>
              <w:keepNext/>
            </w:pPr>
            <w:r>
              <w:rPr>
                <w:rFonts w:ascii="微软雅黑" w:hAnsi="微软雅黑" w:eastAsia="微软雅黑"/>
                <w:b/>
                <w:color w:val="FFFFFF"/>
                <w:sz w:val="19"/>
              </w:rPr>
              <w:t>部队所属国家</w:t>
            </w:r>
          </w:p>
        </w:tc>
        <w:tc>
          <w:tcPr>
            <w:tcW w:w="1800" w:type="dxa"/>
            <w:shd w:val="clear" w:color="auto" w:fill="315B7D"/>
            <w:tcMar>
              <w:top w:w="80" w:type="dxa"/>
              <w:left w:w="120" w:type="dxa"/>
              <w:bottom w:w="80" w:type="dxa"/>
              <w:right w:w="120" w:type="dxa"/>
            </w:tcMar>
            <w:vAlign w:val="center"/>
          </w:tcPr>
          <w:p w14:paraId="775A11B6">
            <w:pPr>
              <w:keepNext/>
            </w:pPr>
            <w:r>
              <w:rPr>
                <w:rFonts w:ascii="微软雅黑" w:hAnsi="微软雅黑" w:eastAsia="微软雅黑"/>
                <w:b/>
                <w:color w:val="FFFFFF"/>
                <w:sz w:val="19"/>
              </w:rPr>
              <w:t>初始地区</w:t>
            </w:r>
          </w:p>
        </w:tc>
        <w:tc>
          <w:tcPr>
            <w:tcW w:w="1200" w:type="dxa"/>
            <w:shd w:val="clear" w:color="auto" w:fill="315B7D"/>
            <w:tcMar>
              <w:top w:w="80" w:type="dxa"/>
              <w:left w:w="120" w:type="dxa"/>
              <w:bottom w:w="80" w:type="dxa"/>
              <w:right w:w="120" w:type="dxa"/>
            </w:tcMar>
            <w:vAlign w:val="center"/>
          </w:tcPr>
          <w:p w14:paraId="488F1BE8">
            <w:pPr>
              <w:keepNext/>
            </w:pPr>
            <w:r>
              <w:rPr>
                <w:rFonts w:ascii="微软雅黑" w:hAnsi="微软雅黑" w:eastAsia="微软雅黑"/>
                <w:b/>
                <w:color w:val="FFFFFF"/>
                <w:sz w:val="19"/>
              </w:rPr>
              <w:t>兵种</w:t>
            </w:r>
          </w:p>
        </w:tc>
        <w:tc>
          <w:tcPr>
            <w:tcW w:w="4260" w:type="dxa"/>
            <w:shd w:val="clear" w:color="auto" w:fill="315B7D"/>
            <w:tcMar>
              <w:top w:w="80" w:type="dxa"/>
              <w:left w:w="120" w:type="dxa"/>
              <w:bottom w:w="80" w:type="dxa"/>
              <w:right w:w="120" w:type="dxa"/>
            </w:tcMar>
            <w:vAlign w:val="center"/>
          </w:tcPr>
          <w:p w14:paraId="1E06C2A9">
            <w:pPr>
              <w:keepNext/>
            </w:pPr>
            <w:r>
              <w:rPr>
                <w:rFonts w:ascii="微软雅黑" w:hAnsi="微软雅黑" w:eastAsia="微软雅黑"/>
                <w:b/>
                <w:color w:val="FFFFFF"/>
                <w:sz w:val="19"/>
              </w:rPr>
              <w:t>操作/资源关系</w:t>
            </w:r>
          </w:p>
        </w:tc>
      </w:tr>
      <w:tr w14:paraId="2B5B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5E79163">
            <w:pPr>
              <w:keepNext w:val="0"/>
            </w:pPr>
            <w:r>
              <w:rPr>
                <w:rFonts w:ascii="微软雅黑" w:hAnsi="微软雅黑" w:eastAsia="微软雅黑"/>
                <w:color w:val="202124"/>
                <w:sz w:val="18"/>
              </w:rPr>
              <w:t>德国</w:t>
            </w:r>
          </w:p>
        </w:tc>
        <w:tc>
          <w:tcPr>
            <w:tcW w:w="1800" w:type="dxa"/>
            <w:tcMar>
              <w:top w:w="80" w:type="dxa"/>
              <w:left w:w="120" w:type="dxa"/>
              <w:bottom w:w="80" w:type="dxa"/>
              <w:right w:w="120" w:type="dxa"/>
            </w:tcMar>
            <w:vAlign w:val="center"/>
          </w:tcPr>
          <w:p w14:paraId="696908F3">
            <w:pPr>
              <w:keepNext w:val="0"/>
            </w:pPr>
            <w:r>
              <w:rPr>
                <w:rFonts w:ascii="微软雅黑" w:hAnsi="微软雅黑" w:eastAsia="微软雅黑"/>
                <w:color w:val="202124"/>
                <w:sz w:val="18"/>
              </w:rPr>
              <w:t>&lt;日耳曼&gt;</w:t>
            </w:r>
          </w:p>
        </w:tc>
        <w:tc>
          <w:tcPr>
            <w:tcW w:w="1200" w:type="dxa"/>
            <w:tcMar>
              <w:top w:w="80" w:type="dxa"/>
              <w:left w:w="120" w:type="dxa"/>
              <w:bottom w:w="80" w:type="dxa"/>
              <w:right w:w="120" w:type="dxa"/>
            </w:tcMar>
            <w:vAlign w:val="center"/>
          </w:tcPr>
          <w:p w14:paraId="4C139382">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269AA199">
            <w:pPr>
              <w:keepNext w:val="0"/>
            </w:pPr>
            <w:r>
              <w:rPr>
                <w:rFonts w:ascii="微软雅黑" w:hAnsi="微软雅黑" w:eastAsia="微软雅黑"/>
                <w:color w:val="202124"/>
                <w:sz w:val="18"/>
              </w:rPr>
              <w:t>德国回合与德国库存</w:t>
            </w:r>
          </w:p>
        </w:tc>
      </w:tr>
      <w:tr w14:paraId="6E72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2BE15CC">
            <w:pPr>
              <w:keepNext w:val="0"/>
            </w:pPr>
            <w:r>
              <w:rPr>
                <w:rFonts w:ascii="微软雅黑" w:hAnsi="微软雅黑" w:eastAsia="微软雅黑"/>
                <w:color w:val="202124"/>
                <w:sz w:val="18"/>
              </w:rPr>
              <w:t>英国</w:t>
            </w:r>
          </w:p>
        </w:tc>
        <w:tc>
          <w:tcPr>
            <w:tcW w:w="1800" w:type="dxa"/>
            <w:shd w:val="clear" w:color="auto" w:fill="F4F6F9"/>
            <w:tcMar>
              <w:top w:w="80" w:type="dxa"/>
              <w:left w:w="120" w:type="dxa"/>
              <w:bottom w:w="80" w:type="dxa"/>
              <w:right w:w="120" w:type="dxa"/>
            </w:tcMar>
            <w:vAlign w:val="center"/>
          </w:tcPr>
          <w:p w14:paraId="5D87DBCD">
            <w:pPr>
              <w:keepNext w:val="0"/>
            </w:pPr>
            <w:r>
              <w:rPr>
                <w:rFonts w:ascii="微软雅黑" w:hAnsi="微软雅黑" w:eastAsia="微软雅黑"/>
                <w:color w:val="202124"/>
                <w:sz w:val="18"/>
              </w:rPr>
              <w:t>&lt;不列颠群岛&gt;</w:t>
            </w:r>
          </w:p>
        </w:tc>
        <w:tc>
          <w:tcPr>
            <w:tcW w:w="1200" w:type="dxa"/>
            <w:shd w:val="clear" w:color="auto" w:fill="F4F6F9"/>
            <w:tcMar>
              <w:top w:w="80" w:type="dxa"/>
              <w:left w:w="120" w:type="dxa"/>
              <w:bottom w:w="80" w:type="dxa"/>
              <w:right w:w="120" w:type="dxa"/>
            </w:tcMar>
            <w:vAlign w:val="center"/>
          </w:tcPr>
          <w:p w14:paraId="3D9F6440">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4E966FED">
            <w:pPr>
              <w:keepNext w:val="0"/>
            </w:pPr>
            <w:r>
              <w:rPr>
                <w:rFonts w:ascii="微软雅黑" w:hAnsi="微软雅黑" w:eastAsia="微软雅黑"/>
                <w:color w:val="202124"/>
                <w:sz w:val="18"/>
              </w:rPr>
              <w:t>英国回合与英国库存</w:t>
            </w:r>
          </w:p>
        </w:tc>
      </w:tr>
      <w:tr w14:paraId="5D69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6FF902B">
            <w:pPr>
              <w:keepNext w:val="0"/>
            </w:pPr>
            <w:r>
              <w:rPr>
                <w:rFonts w:ascii="微软雅黑" w:hAnsi="微软雅黑" w:eastAsia="微软雅黑"/>
                <w:color w:val="202124"/>
                <w:sz w:val="18"/>
              </w:rPr>
              <w:t>日本</w:t>
            </w:r>
          </w:p>
        </w:tc>
        <w:tc>
          <w:tcPr>
            <w:tcW w:w="1800" w:type="dxa"/>
            <w:tcMar>
              <w:top w:w="80" w:type="dxa"/>
              <w:left w:w="120" w:type="dxa"/>
              <w:bottom w:w="80" w:type="dxa"/>
              <w:right w:w="120" w:type="dxa"/>
            </w:tcMar>
            <w:vAlign w:val="center"/>
          </w:tcPr>
          <w:p w14:paraId="7DA3BBA0">
            <w:pPr>
              <w:keepNext w:val="0"/>
            </w:pPr>
            <w:r>
              <w:rPr>
                <w:rFonts w:ascii="微软雅黑" w:hAnsi="微软雅黑" w:eastAsia="微软雅黑"/>
                <w:color w:val="202124"/>
                <w:sz w:val="18"/>
              </w:rPr>
              <w:t>&lt;日本&gt;</w:t>
            </w:r>
          </w:p>
        </w:tc>
        <w:tc>
          <w:tcPr>
            <w:tcW w:w="1200" w:type="dxa"/>
            <w:tcMar>
              <w:top w:w="80" w:type="dxa"/>
              <w:left w:w="120" w:type="dxa"/>
              <w:bottom w:w="80" w:type="dxa"/>
              <w:right w:w="120" w:type="dxa"/>
            </w:tcMar>
            <w:vAlign w:val="center"/>
          </w:tcPr>
          <w:p w14:paraId="2FB581AE">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0C6DCDFE">
            <w:pPr>
              <w:keepNext w:val="0"/>
            </w:pPr>
            <w:r>
              <w:rPr>
                <w:rFonts w:ascii="微软雅黑" w:hAnsi="微软雅黑" w:eastAsia="微软雅黑"/>
                <w:color w:val="202124"/>
                <w:sz w:val="18"/>
              </w:rPr>
              <w:t>日本回合与日本库存</w:t>
            </w:r>
          </w:p>
        </w:tc>
      </w:tr>
      <w:tr w14:paraId="1461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6E9CCCD3">
            <w:pPr>
              <w:keepNext w:val="0"/>
            </w:pPr>
            <w:r>
              <w:rPr>
                <w:rFonts w:ascii="微软雅黑" w:hAnsi="微软雅黑" w:eastAsia="微软雅黑"/>
                <w:color w:val="202124"/>
                <w:sz w:val="18"/>
              </w:rPr>
              <w:t>苏联</w:t>
            </w:r>
          </w:p>
        </w:tc>
        <w:tc>
          <w:tcPr>
            <w:tcW w:w="1800" w:type="dxa"/>
            <w:shd w:val="clear" w:color="auto" w:fill="F4F6F9"/>
            <w:tcMar>
              <w:top w:w="80" w:type="dxa"/>
              <w:left w:w="120" w:type="dxa"/>
              <w:bottom w:w="80" w:type="dxa"/>
              <w:right w:w="120" w:type="dxa"/>
            </w:tcMar>
            <w:vAlign w:val="center"/>
          </w:tcPr>
          <w:p w14:paraId="194E3153">
            <w:pPr>
              <w:keepNext w:val="0"/>
            </w:pPr>
            <w:r>
              <w:rPr>
                <w:rFonts w:ascii="微软雅黑" w:hAnsi="微软雅黑" w:eastAsia="微软雅黑"/>
                <w:color w:val="202124"/>
                <w:sz w:val="18"/>
              </w:rPr>
              <w:t>&lt;莫斯科&gt;</w:t>
            </w:r>
          </w:p>
        </w:tc>
        <w:tc>
          <w:tcPr>
            <w:tcW w:w="1200" w:type="dxa"/>
            <w:shd w:val="clear" w:color="auto" w:fill="F4F6F9"/>
            <w:tcMar>
              <w:top w:w="80" w:type="dxa"/>
              <w:left w:w="120" w:type="dxa"/>
              <w:bottom w:w="80" w:type="dxa"/>
              <w:right w:w="120" w:type="dxa"/>
            </w:tcMar>
            <w:vAlign w:val="center"/>
          </w:tcPr>
          <w:p w14:paraId="6B2271A4">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3358B0EF">
            <w:pPr>
              <w:keepNext w:val="0"/>
            </w:pPr>
            <w:r>
              <w:rPr>
                <w:rFonts w:ascii="微软雅黑" w:hAnsi="微软雅黑" w:eastAsia="微软雅黑"/>
                <w:color w:val="202124"/>
                <w:sz w:val="18"/>
              </w:rPr>
              <w:t>苏联回合与苏联库存</w:t>
            </w:r>
          </w:p>
        </w:tc>
      </w:tr>
      <w:tr w14:paraId="263E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AAD4EB">
            <w:pPr>
              <w:keepNext w:val="0"/>
            </w:pPr>
            <w:r>
              <w:rPr>
                <w:rFonts w:ascii="微软雅黑" w:hAnsi="微软雅黑" w:eastAsia="微软雅黑"/>
                <w:color w:val="202124"/>
                <w:sz w:val="18"/>
              </w:rPr>
              <w:t>意大利</w:t>
            </w:r>
          </w:p>
        </w:tc>
        <w:tc>
          <w:tcPr>
            <w:tcW w:w="1800" w:type="dxa"/>
            <w:tcMar>
              <w:top w:w="80" w:type="dxa"/>
              <w:left w:w="120" w:type="dxa"/>
              <w:bottom w:w="80" w:type="dxa"/>
              <w:right w:w="120" w:type="dxa"/>
            </w:tcMar>
            <w:vAlign w:val="center"/>
          </w:tcPr>
          <w:p w14:paraId="7C7158B2">
            <w:pPr>
              <w:keepNext w:val="0"/>
            </w:pPr>
            <w:r>
              <w:rPr>
                <w:rFonts w:ascii="微软雅黑" w:hAnsi="微软雅黑" w:eastAsia="微软雅黑"/>
                <w:color w:val="202124"/>
                <w:sz w:val="18"/>
              </w:rPr>
              <w:t>&lt;意大利&gt;</w:t>
            </w:r>
          </w:p>
        </w:tc>
        <w:tc>
          <w:tcPr>
            <w:tcW w:w="1200" w:type="dxa"/>
            <w:tcMar>
              <w:top w:w="80" w:type="dxa"/>
              <w:left w:w="120" w:type="dxa"/>
              <w:bottom w:w="80" w:type="dxa"/>
              <w:right w:w="120" w:type="dxa"/>
            </w:tcMar>
            <w:vAlign w:val="center"/>
          </w:tcPr>
          <w:p w14:paraId="5C38103C">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19AA8DD">
            <w:pPr>
              <w:keepNext w:val="0"/>
            </w:pPr>
            <w:r>
              <w:rPr>
                <w:rFonts w:ascii="微软雅黑" w:hAnsi="微软雅黑" w:eastAsia="微软雅黑"/>
                <w:color w:val="202124"/>
                <w:sz w:val="18"/>
              </w:rPr>
              <w:t>意大利回合与意大利库存</w:t>
            </w:r>
          </w:p>
        </w:tc>
      </w:tr>
      <w:tr w14:paraId="4B5D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7B89BF1">
            <w:pPr>
              <w:keepNext w:val="0"/>
            </w:pPr>
            <w:r>
              <w:rPr>
                <w:rFonts w:ascii="微软雅黑" w:hAnsi="微软雅黑" w:eastAsia="微软雅黑"/>
                <w:color w:val="202124"/>
                <w:sz w:val="18"/>
              </w:rPr>
              <w:t>美国</w:t>
            </w:r>
          </w:p>
        </w:tc>
        <w:tc>
          <w:tcPr>
            <w:tcW w:w="1800" w:type="dxa"/>
            <w:shd w:val="clear" w:color="auto" w:fill="F4F6F9"/>
            <w:tcMar>
              <w:top w:w="80" w:type="dxa"/>
              <w:left w:w="120" w:type="dxa"/>
              <w:bottom w:w="80" w:type="dxa"/>
              <w:right w:w="120" w:type="dxa"/>
            </w:tcMar>
            <w:vAlign w:val="center"/>
          </w:tcPr>
          <w:p w14:paraId="151BF43D">
            <w:pPr>
              <w:keepNext w:val="0"/>
            </w:pPr>
            <w:r>
              <w:rPr>
                <w:rFonts w:ascii="微软雅黑" w:hAnsi="微软雅黑" w:eastAsia="微软雅黑"/>
                <w:color w:val="202124"/>
                <w:sz w:val="18"/>
              </w:rPr>
              <w:t>&lt;美国&gt;</w:t>
            </w:r>
          </w:p>
        </w:tc>
        <w:tc>
          <w:tcPr>
            <w:tcW w:w="1200" w:type="dxa"/>
            <w:shd w:val="clear" w:color="auto" w:fill="F4F6F9"/>
            <w:tcMar>
              <w:top w:w="80" w:type="dxa"/>
              <w:left w:w="120" w:type="dxa"/>
              <w:bottom w:w="80" w:type="dxa"/>
              <w:right w:w="120" w:type="dxa"/>
            </w:tcMar>
            <w:vAlign w:val="center"/>
          </w:tcPr>
          <w:p w14:paraId="5A02FC6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22EDCE0F">
            <w:pPr>
              <w:keepNext w:val="0"/>
            </w:pPr>
            <w:r>
              <w:rPr>
                <w:rFonts w:ascii="微软雅黑" w:hAnsi="微软雅黑" w:eastAsia="微软雅黑"/>
                <w:color w:val="202124"/>
                <w:sz w:val="18"/>
              </w:rPr>
              <w:t>美国回合与美国库存</w:t>
            </w:r>
          </w:p>
        </w:tc>
      </w:tr>
      <w:tr w14:paraId="372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C9A44E6">
            <w:pPr>
              <w:keepNext w:val="0"/>
            </w:pPr>
            <w:r>
              <w:rPr>
                <w:rFonts w:ascii="微软雅黑" w:hAnsi="微软雅黑" w:eastAsia="微软雅黑"/>
                <w:color w:val="202124"/>
                <w:sz w:val="18"/>
              </w:rPr>
              <w:t>法国</w:t>
            </w:r>
          </w:p>
        </w:tc>
        <w:tc>
          <w:tcPr>
            <w:tcW w:w="1800" w:type="dxa"/>
            <w:tcMar>
              <w:top w:w="80" w:type="dxa"/>
              <w:left w:w="120" w:type="dxa"/>
              <w:bottom w:w="80" w:type="dxa"/>
              <w:right w:w="120" w:type="dxa"/>
            </w:tcMar>
            <w:vAlign w:val="center"/>
          </w:tcPr>
          <w:p w14:paraId="12DE6321">
            <w:pPr>
              <w:keepNext w:val="0"/>
            </w:pPr>
            <w:r>
              <w:rPr>
                <w:rFonts w:ascii="微软雅黑" w:hAnsi="微软雅黑" w:eastAsia="微软雅黑"/>
                <w:color w:val="202124"/>
                <w:sz w:val="18"/>
              </w:rPr>
              <w:t>&lt;西欧&gt;</w:t>
            </w:r>
          </w:p>
        </w:tc>
        <w:tc>
          <w:tcPr>
            <w:tcW w:w="1200" w:type="dxa"/>
            <w:tcMar>
              <w:top w:w="80" w:type="dxa"/>
              <w:left w:w="120" w:type="dxa"/>
              <w:bottom w:w="80" w:type="dxa"/>
              <w:right w:w="120" w:type="dxa"/>
            </w:tcMar>
            <w:vAlign w:val="center"/>
          </w:tcPr>
          <w:p w14:paraId="561F076B">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F97FE55">
            <w:pPr>
              <w:keepNext w:val="0"/>
            </w:pPr>
            <w:r>
              <w:rPr>
                <w:rFonts w:ascii="微软雅黑" w:hAnsi="微软雅黑" w:eastAsia="微软雅黑"/>
                <w:color w:val="202124"/>
                <w:sz w:val="18"/>
              </w:rPr>
              <w:t>归英国侧操作，但 unitOwner 为法国</w:t>
            </w:r>
          </w:p>
        </w:tc>
      </w:tr>
      <w:tr w14:paraId="3AE6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6AF9431">
            <w:pPr>
              <w:keepNext w:val="0"/>
            </w:pPr>
            <w:r>
              <w:rPr>
                <w:rFonts w:ascii="微软雅黑" w:hAnsi="微软雅黑" w:eastAsia="微软雅黑"/>
                <w:color w:val="202124"/>
                <w:sz w:val="18"/>
              </w:rPr>
              <w:t>中国</w:t>
            </w:r>
          </w:p>
        </w:tc>
        <w:tc>
          <w:tcPr>
            <w:tcW w:w="1800" w:type="dxa"/>
            <w:shd w:val="clear" w:color="auto" w:fill="F4F6F9"/>
            <w:tcMar>
              <w:top w:w="80" w:type="dxa"/>
              <w:left w:w="120" w:type="dxa"/>
              <w:bottom w:w="80" w:type="dxa"/>
              <w:right w:w="120" w:type="dxa"/>
            </w:tcMar>
            <w:vAlign w:val="center"/>
          </w:tcPr>
          <w:p w14:paraId="7D7EF857">
            <w:pPr>
              <w:keepNext w:val="0"/>
            </w:pPr>
            <w:r>
              <w:rPr>
                <w:rFonts w:ascii="微软雅黑" w:hAnsi="微软雅黑" w:eastAsia="微软雅黑"/>
                <w:color w:val="202124"/>
                <w:sz w:val="18"/>
              </w:rPr>
              <w:t>&lt;中国东部&gt;</w:t>
            </w:r>
          </w:p>
        </w:tc>
        <w:tc>
          <w:tcPr>
            <w:tcW w:w="1200" w:type="dxa"/>
            <w:shd w:val="clear" w:color="auto" w:fill="F4F6F9"/>
            <w:tcMar>
              <w:top w:w="80" w:type="dxa"/>
              <w:left w:w="120" w:type="dxa"/>
              <w:bottom w:w="80" w:type="dxa"/>
              <w:right w:w="120" w:type="dxa"/>
            </w:tcMar>
            <w:vAlign w:val="center"/>
          </w:tcPr>
          <w:p w14:paraId="3347658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084724F8">
            <w:pPr>
              <w:keepNext w:val="0"/>
            </w:pPr>
            <w:r>
              <w:rPr>
                <w:rFonts w:ascii="微软雅黑" w:hAnsi="微软雅黑" w:eastAsia="微软雅黑"/>
                <w:color w:val="202124"/>
                <w:sz w:val="18"/>
              </w:rPr>
              <w:t>归相关卡牌/美国侧资源管理，但 unitOwner 为中国</w:t>
            </w:r>
          </w:p>
        </w:tc>
      </w:tr>
    </w:tbl>
    <w:p w14:paraId="635C523E">
      <w:pPr>
        <w:spacing w:after="20"/>
      </w:pPr>
    </w:p>
    <w:p w14:paraId="55871E76">
      <w:r>
        <w:rPr>
          <w:rFonts w:ascii="微软雅黑" w:hAnsi="微软雅黑" w:eastAsia="微软雅黑"/>
          <w:color w:val="202124"/>
        </w:rPr>
        <w:t>新游戏建立时一次性放置以上 8 支陆军，不触发“建设”“征召”“部署”或其他卡牌时点。开局没有由这一步产生的连携或响应。兵模数量表示该国家的兵模总量，初始放到地图上的兵模必须从储备数量中扣除，不能在储备区保留重复兵模。版图上的基础补给点按地图星标写入数据，当前图示为：&lt;美国&gt;、&lt;不列颠群岛&gt;、&lt;西欧&gt;、&lt;意大利&gt;、&lt;日耳曼&gt;、&lt;莫斯科&gt;、&lt;乌克兰&gt;、&lt;中国东部&gt;、&lt;日本&gt;、&lt;印度&gt;、&lt;夏威夷&gt;、&lt;澳大利亚&gt;。</w:t>
      </w:r>
    </w:p>
    <w:p>
      <w:pPr>
        <w:pStyle w:val="5"/>
      </w:pPr>
      <w:r>
        <w:rPr>
          <w:color w:val="000000"/>
        </w:rPr>
        <w:t>8.2.1 起手抽牌与保留</w:t>
      </w:r>
    </w:p>
    <w:p>
      <w:pPr>
        <w:keepNext w:val="0"/>
      </w:pPr>
      <w:r>
        <w:t>正式回合开始前，六个主牌堆各自洗牌并抽12张。每个席位从这12张中选择保留7张，将其余5张弃入该主牌堆的弃牌堆。法国、中国没有独立起手；其卡牌随所属主牌堆参与起手。所有席位完成选择后，才进入德国的第一个回合。</w:t>
      </w:r>
    </w:p>
    <w:p>
      <w:pPr>
        <w:keepNext w:val="0"/>
      </w:pPr>
      <w:r>
        <w:t>实现独立 SETUP 阶段与保留7张的选择请求。起手弃5张不是回合中的弃牌阶段，不套用“弃0张扣1分”规则，也不占用出牌行动。初始部队、牌堆顺序、起手选择及随机状态须能保存和复现。</w:t>
      </w:r>
    </w:p>
    <w:p w14:paraId="33F42A4A">
      <w:pPr>
        <w:pStyle w:val="4"/>
      </w:pPr>
      <w:r>
        <w:rPr>
          <w:rFonts w:ascii="微软雅黑" w:hAnsi="微软雅黑" w:eastAsia="微软雅黑"/>
          <w:color w:val="000000"/>
        </w:rPr>
        <w:t>8.3 规则书大规则</w:t>
      </w:r>
    </w:p>
    <w:p w14:paraId="4A697F3B">
      <w:r>
        <w:rPr>
          <w:rFonts w:ascii="微软雅黑" w:hAnsi="微软雅黑" w:eastAsia="微软雅黑"/>
          <w:color w:val="202124"/>
        </w:rPr>
        <w:t>本节是开发时必须内置的完整基础规则。若本节与后续细节澄清冲突，以细节澄清为准。</w:t>
      </w:r>
    </w:p>
    <w:p w14:paraId="77870AD9">
      <w:pPr>
        <w:pStyle w:val="5"/>
      </w:pPr>
      <w:r>
        <w:rPr>
          <w:rFonts w:ascii="微软雅黑" w:hAnsi="微软雅黑" w:eastAsia="微软雅黑"/>
          <w:color w:val="000000"/>
        </w:rPr>
        <w:t>8.3.1 行动顺序与一国回合</w:t>
      </w:r>
    </w:p>
    <w:p w14:paraId="1680EA35">
      <w:r>
        <w:rPr>
          <w:rFonts w:ascii="微软雅黑" w:hAnsi="微软雅黑" w:eastAsia="微软雅黑"/>
          <w:color w:val="202124"/>
        </w:rPr>
        <w:t>固定行动顺序为：德国 → 英国 → 日本 → 苏联 → 意大利 → 美国。六国各完成一次回合后视为完成一个完整轮次。每个国家的回合严格依次执行以下阶段：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2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1CE2027C">
            <w:pPr>
              <w:keepNext/>
            </w:pPr>
            <w:r>
              <w:rPr>
                <w:rFonts w:ascii="微软雅黑" w:hAnsi="微软雅黑" w:eastAsia="微软雅黑"/>
                <w:b/>
                <w:color w:val="FFFFFF"/>
                <w:sz w:val="19"/>
              </w:rPr>
              <w:t>阶段</w:t>
            </w:r>
          </w:p>
        </w:tc>
        <w:tc>
          <w:tcPr>
            <w:tcW w:w="7560" w:type="dxa"/>
            <w:shd w:val="clear" w:color="auto" w:fill="315B7D"/>
            <w:tcMar>
              <w:top w:w="80" w:type="dxa"/>
              <w:left w:w="120" w:type="dxa"/>
              <w:bottom w:w="80" w:type="dxa"/>
              <w:right w:w="120" w:type="dxa"/>
            </w:tcMar>
            <w:vAlign w:val="center"/>
          </w:tcPr>
          <w:p w14:paraId="4C0D89A4">
            <w:pPr>
              <w:keepNext/>
            </w:pPr>
            <w:r>
              <w:rPr>
                <w:rFonts w:ascii="微软雅黑" w:hAnsi="微软雅黑" w:eastAsia="微软雅黑"/>
                <w:b/>
                <w:color w:val="FFFFFF"/>
                <w:sz w:val="19"/>
              </w:rPr>
              <w:t>基础规则</w:t>
            </w:r>
          </w:p>
        </w:tc>
      </w:tr>
      <w:tr w14:paraId="1F0E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8A97D1E">
            <w:pPr>
              <w:keepNext w:val="0"/>
              <w:rPr>
                <w:rFonts w:hint="default" w:eastAsia="微软雅黑"/>
                <w:lang w:val="en-US" w:eastAsia="zh-CN"/>
              </w:rPr>
            </w:pPr>
            <w:r>
              <w:rPr>
                <w:rFonts w:ascii="微软雅黑" w:hAnsi="微软雅黑" w:eastAsia="微软雅黑"/>
                <w:color w:val="202124"/>
                <w:sz w:val="18"/>
              </w:rPr>
              <w:t xml:space="preserve">1. </w:t>
            </w:r>
            <w:r>
              <w:rPr>
                <w:rFonts w:hint="eastAsia"/>
                <w:color w:val="202124"/>
                <w:sz w:val="18"/>
                <w:lang w:val="en-US" w:eastAsia="zh-CN"/>
              </w:rPr>
              <w:t>回合开始</w:t>
            </w:r>
          </w:p>
        </w:tc>
        <w:tc>
          <w:tcPr>
            <w:tcW w:w="7560" w:type="dxa"/>
            <w:tcMar>
              <w:top w:w="80" w:type="dxa"/>
              <w:left w:w="120" w:type="dxa"/>
              <w:bottom w:w="80" w:type="dxa"/>
              <w:right w:w="120" w:type="dxa"/>
            </w:tcMar>
            <w:vAlign w:val="center"/>
          </w:tcPr>
          <w:p w14:paraId="6FC3B399">
            <w:pPr>
              <w:keepNext w:val="0"/>
              <w:rPr>
                <w:rFonts w:hint="eastAsia"/>
                <w:color w:val="202124"/>
                <w:sz w:val="18"/>
                <w:lang w:val="en-US" w:eastAsia="zh-CN"/>
              </w:rPr>
            </w:pPr>
            <w:r>
              <w:rPr>
                <w:rFonts w:ascii="微软雅黑" w:hAnsi="微软雅黑" w:eastAsia="微软雅黑"/>
                <w:color w:val="202124"/>
                <w:sz w:val="18"/>
              </w:rPr>
              <w:t>可选：进行资源再分配。资源再分配与回合开始时触发的卡牌效果处于同一时点，玩家可自行选择顺序。</w:t>
              <w:br/>
              <w:t>资源再分配（资源重整）：支付 3 张弃手牌费用，从本国牌堆选择 1 张【建设陆军】【建设海军】【发起陆战】或【发起海战】加入手牌，然后洗混牌堆。不能以此法取得【空中力量】；【空中力量】仍可用于支付费用。无手牌时不能发动；有手牌但不足 3 张时，弃光手牌并以弃牌库顶补足，牌库再不足则每缺 1 张扣 1 分（详见8.4.5）。</w:t>
            </w:r>
          </w:p>
        </w:tc>
      </w:tr>
      <w:tr w14:paraId="051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3635DA1">
            <w:pPr>
              <w:keepNext w:val="0"/>
            </w:pPr>
            <w:r>
              <w:rPr>
                <w:rFonts w:ascii="微软雅黑" w:hAnsi="微软雅黑" w:eastAsia="微软雅黑"/>
                <w:color w:val="202124"/>
                <w:sz w:val="18"/>
              </w:rPr>
              <w:t>2. 出牌</w:t>
            </w:r>
          </w:p>
        </w:tc>
        <w:tc>
          <w:tcPr>
            <w:tcW w:w="7560" w:type="dxa"/>
            <w:shd w:val="clear" w:color="auto" w:fill="F4F6F9"/>
            <w:tcMar>
              <w:top w:w="80" w:type="dxa"/>
              <w:left w:w="120" w:type="dxa"/>
              <w:bottom w:w="80" w:type="dxa"/>
              <w:right w:w="120" w:type="dxa"/>
            </w:tcMar>
            <w:vAlign w:val="center"/>
          </w:tcPr>
          <w:p w14:paraId="19F93116">
            <w:pPr>
              <w:keepNext w:val="0"/>
            </w:pPr>
            <w:r>
              <w:rPr>
                <w:rFonts w:ascii="微软雅黑" w:hAnsi="微软雅黑" w:eastAsia="微软雅黑"/>
                <w:color w:val="202124"/>
                <w:sz w:val="18"/>
              </w:rPr>
              <w:t>可选：打出 1 张允许在此阶段打出的手牌；若选择不出牌，立即扣 1 分并继续空军阶段。发动【征兵】等明确代替本阶段出牌的效果时，不扣这 1 分。</w:t>
            </w:r>
          </w:p>
        </w:tc>
      </w:tr>
      <w:tr w14:paraId="16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CBDC8D1">
            <w:pPr>
              <w:keepNext w:val="0"/>
            </w:pPr>
            <w:r>
              <w:rPr>
                <w:rFonts w:ascii="微软雅黑" w:hAnsi="微软雅黑" w:eastAsia="微软雅黑"/>
                <w:color w:val="202124"/>
                <w:sz w:val="18"/>
              </w:rPr>
              <w:t>3. 空军</w:t>
            </w:r>
          </w:p>
        </w:tc>
        <w:tc>
          <w:tcPr>
            <w:tcW w:w="7560" w:type="dxa"/>
            <w:tcMar>
              <w:top w:w="80" w:type="dxa"/>
              <w:left w:w="120" w:type="dxa"/>
              <w:bottom w:w="80" w:type="dxa"/>
              <w:right w:w="120" w:type="dxa"/>
            </w:tcMar>
            <w:vAlign w:val="center"/>
          </w:tcPr>
          <w:p w14:paraId="05CBE3F9">
            <w:pPr>
              <w:keepNext w:val="0"/>
            </w:pPr>
            <w:r>
              <w:rPr>
                <w:rFonts w:ascii="微软雅黑" w:hAnsi="微软雅黑" w:eastAsia="微软雅黑"/>
                <w:color w:val="202124"/>
                <w:sz w:val="18"/>
              </w:rPr>
              <w:t>可选：打出【空中力量】并执行一项空军行动；或弃置 1 张手牌</w:t>
            </w:r>
            <w:r>
              <w:rPr>
                <w:rFonts w:hint="eastAsia"/>
                <w:color w:val="202124"/>
                <w:sz w:val="18"/>
                <w:lang w:val="en-US" w:eastAsia="zh-CN"/>
              </w:rPr>
              <w:t>以执行一次调度空军</w:t>
            </w:r>
            <w:r>
              <w:rPr>
                <w:rFonts w:ascii="微软雅黑" w:hAnsi="微软雅黑" w:eastAsia="微软雅黑"/>
                <w:color w:val="202124"/>
                <w:sz w:val="18"/>
              </w:rPr>
              <w:t>。</w:t>
            </w:r>
          </w:p>
        </w:tc>
      </w:tr>
      <w:tr w14:paraId="4F59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2E3BE65">
            <w:pPr>
              <w:keepNext w:val="0"/>
            </w:pPr>
            <w:r>
              <w:rPr>
                <w:rFonts w:ascii="微软雅黑" w:hAnsi="微软雅黑" w:eastAsia="微软雅黑"/>
                <w:color w:val="202124"/>
                <w:sz w:val="18"/>
              </w:rPr>
              <w:t>4. 补给</w:t>
            </w:r>
          </w:p>
        </w:tc>
        <w:tc>
          <w:tcPr>
            <w:tcW w:w="7560" w:type="dxa"/>
            <w:shd w:val="clear" w:color="auto" w:fill="F4F6F9"/>
            <w:tcMar>
              <w:top w:w="80" w:type="dxa"/>
              <w:left w:w="120" w:type="dxa"/>
              <w:bottom w:w="80" w:type="dxa"/>
              <w:right w:w="120" w:type="dxa"/>
            </w:tcMar>
            <w:vAlign w:val="center"/>
          </w:tcPr>
          <w:p w14:paraId="6BB922F4">
            <w:pPr>
              <w:keepNext w:val="0"/>
            </w:pPr>
            <w:r>
              <w:rPr>
                <w:rFonts w:ascii="微软雅黑" w:hAnsi="微软雅黑" w:eastAsia="微软雅黑"/>
                <w:color w:val="202124"/>
                <w:sz w:val="18"/>
              </w:rPr>
              <w:t>当前国家清除失去补给部队；英国与法国、美国与中国分别在同阶段统一计算断补给名单并统一清除，不逐国清除后重算。</w:t>
            </w:r>
          </w:p>
        </w:tc>
      </w:tr>
      <w:tr w14:paraId="749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A43111">
            <w:pPr>
              <w:keepNext w:val="0"/>
            </w:pPr>
            <w:r>
              <w:rPr>
                <w:rFonts w:ascii="微软雅黑" w:hAnsi="微软雅黑" w:eastAsia="微软雅黑"/>
                <w:color w:val="202124"/>
                <w:sz w:val="18"/>
              </w:rPr>
              <w:t>5. 计分</w:t>
            </w:r>
          </w:p>
        </w:tc>
        <w:tc>
          <w:tcPr>
            <w:tcW w:w="7560" w:type="dxa"/>
            <w:tcMar>
              <w:top w:w="80" w:type="dxa"/>
              <w:left w:w="120" w:type="dxa"/>
              <w:bottom w:w="80" w:type="dxa"/>
              <w:right w:w="120" w:type="dxa"/>
            </w:tcMar>
            <w:vAlign w:val="center"/>
          </w:tcPr>
          <w:p w14:paraId="0020DF5A">
            <w:pPr>
              <w:keepNext w:val="0"/>
            </w:pPr>
            <w:r>
              <w:rPr>
                <w:rFonts w:ascii="微软雅黑" w:hAnsi="微软雅黑" w:eastAsia="微软雅黑"/>
                <w:color w:val="202124"/>
                <w:sz w:val="18"/>
              </w:rPr>
              <w:t>按部队所属国家分别检查大本营。某国大本营被敌方军队占领时，该国本次不能得分；否则独自占领补给点得 2 分，与友军共同占领补给点得 1 分。英国阶段分别结算英国与法国，法国大本营为&lt;西欧&gt;；美国阶段分别结算美国与中国，中国大本营为&lt;中国东部&gt;。两国互不替代大本营检查。</w:t>
            </w:r>
          </w:p>
        </w:tc>
      </w:tr>
      <w:tr w14:paraId="1DC5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7F3E0190">
            <w:pPr>
              <w:keepNext w:val="0"/>
            </w:pPr>
            <w:r>
              <w:rPr>
                <w:rFonts w:ascii="微软雅黑" w:hAnsi="微软雅黑" w:eastAsia="微软雅黑"/>
                <w:color w:val="202124"/>
                <w:sz w:val="18"/>
              </w:rPr>
              <w:t>6. 弃牌</w:t>
            </w:r>
          </w:p>
        </w:tc>
        <w:tc>
          <w:tcPr>
            <w:tcW w:w="7560" w:type="dxa"/>
            <w:shd w:val="clear" w:color="auto" w:fill="F4F6F9"/>
            <w:tcMar>
              <w:top w:w="80" w:type="dxa"/>
              <w:left w:w="120" w:type="dxa"/>
              <w:bottom w:w="80" w:type="dxa"/>
              <w:right w:w="120" w:type="dxa"/>
            </w:tcMar>
            <w:vAlign w:val="center"/>
          </w:tcPr>
          <w:p>
            <w:pPr>
              <w:keepNext w:val="0"/>
            </w:pPr>
            <w:r>
              <w:t>至少弃置 1 张手牌，也可弃置更多；若本阶段弃置 0 张（包括手牌原本为 0 张），立即扣 1 分。</w:t>
            </w:r>
          </w:p>
        </w:tc>
      </w:tr>
      <w:tr w14:paraId="2C7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60098A">
            <w:pPr>
              <w:keepNext w:val="0"/>
            </w:pPr>
            <w:r>
              <w:rPr>
                <w:rFonts w:ascii="微软雅黑" w:hAnsi="微软雅黑" w:eastAsia="微软雅黑"/>
                <w:color w:val="202124"/>
                <w:sz w:val="18"/>
              </w:rPr>
              <w:t>7. 摸牌</w:t>
            </w:r>
          </w:p>
        </w:tc>
        <w:tc>
          <w:tcPr>
            <w:tcW w:w="7560" w:type="dxa"/>
            <w:tcMar>
              <w:top w:w="80" w:type="dxa"/>
              <w:left w:w="120" w:type="dxa"/>
              <w:bottom w:w="80" w:type="dxa"/>
              <w:right w:w="120" w:type="dxa"/>
            </w:tcMar>
            <w:vAlign w:val="center"/>
          </w:tcPr>
          <w:p w14:paraId="2E17D9EF">
            <w:pPr>
              <w:keepNext w:val="0"/>
            </w:pPr>
            <w:r>
              <w:rPr>
                <w:rFonts w:ascii="微软雅黑" w:hAnsi="微软雅黑" w:eastAsia="微软雅黑"/>
                <w:color w:val="202124"/>
                <w:sz w:val="18"/>
              </w:rPr>
              <w:t>摸至 7 张；牌库摸空时停止，不继续补足。</w:t>
            </w:r>
          </w:p>
        </w:tc>
      </w:tr>
    </w:tbl>
    <w:p w14:paraId="142FE39A">
      <w:pPr>
        <w:spacing w:after="20"/>
      </w:pPr>
    </w:p>
    <w:p w14:paraId="53F8C4AF">
      <w:r>
        <w:rPr>
          <w:rFonts w:ascii="微软雅黑" w:hAnsi="微软雅黑" w:eastAsia="微软雅黑"/>
          <w:color w:val="202124"/>
        </w:rPr>
        <w:t>终局：完成 20 个完整轮次后，轴心国总分额外加 0.5 分，再比较两阵营总分，较高者获胜。即时胜利：在美国计分阶段结束时，若轴心国领先同盟国至少 30 分，轴心国立即获胜。</w:t>
      </w:r>
    </w:p>
    <w:p w14:paraId="2755E8CA">
      <w:pPr>
        <w:pStyle w:val="5"/>
      </w:pPr>
      <w:r>
        <w:rPr>
          <w:rFonts w:ascii="微软雅黑" w:hAnsi="微软雅黑" w:eastAsia="微软雅黑"/>
          <w:color w:val="000000"/>
        </w:rPr>
        <w:t>8.3.2 补给</w:t>
      </w:r>
    </w:p>
    <w:p w14:paraId="32291010">
      <w:pPr>
        <w:numPr>
          <w:ilvl w:val="0"/>
          <w:numId w:val="7"/>
        </w:numPr>
        <w:spacing w:after="80"/>
      </w:pPr>
      <w:r>
        <w:rPr>
          <w:rFonts w:ascii="微软雅黑" w:hAnsi="微软雅黑" w:eastAsia="微软雅黑"/>
          <w:color w:val="202124"/>
        </w:rPr>
        <w:t>陆军处于补给状态，当且仅当它位于补给点，或与一支已经处于补给状态的本国部队相邻。</w:t>
      </w:r>
    </w:p>
    <w:p w14:paraId="4F6A7EFD">
      <w:pPr>
        <w:numPr>
          <w:ilvl w:val="0"/>
          <w:numId w:val="7"/>
        </w:numPr>
        <w:spacing w:after="80"/>
      </w:pPr>
      <w:r>
        <w:rPr>
          <w:rFonts w:ascii="微软雅黑" w:hAnsi="微软雅黑" w:eastAsia="微软雅黑"/>
          <w:color w:val="202124"/>
        </w:rPr>
        <w:t>海军处于补给状态，当且仅当以下两个条件同时满足：与一支已经处于补给状态的本国部队相邻；并且与至少一支本国或友军陆军相邻。第二项中的陆军本身可以不处于补给状态。</w:t>
      </w:r>
    </w:p>
    <w:p w14:paraId="6DD3AC92">
      <w:pPr>
        <w:numPr>
          <w:ilvl w:val="0"/>
          <w:numId w:val="7"/>
        </w:numPr>
        <w:spacing w:after="80"/>
      </w:pPr>
      <w:r>
        <w:rPr>
          <w:rFonts w:ascii="微软雅黑" w:hAnsi="微软雅黑" w:eastAsia="微软雅黑"/>
          <w:color w:val="202124"/>
        </w:rPr>
        <w:t>该判定从补给点上的本国陆军/有效补给源出发递归扩展。</w:t>
      </w:r>
    </w:p>
    <w:p w14:paraId="015F065D">
      <w:pPr>
        <w:numPr>
          <w:ilvl w:val="0"/>
          <w:numId w:val="7"/>
        </w:numPr>
        <w:spacing w:after="80"/>
      </w:pPr>
      <w:r>
        <w:rPr>
          <w:rFonts w:ascii="微软雅黑" w:hAnsi="微软雅黑" w:eastAsia="微软雅黑"/>
          <w:color w:val="202124"/>
        </w:rPr>
        <w:t>补给阶段清除当前回合国家失去补给的部队；英国补给阶段同时负责法国的补给清除，美国补给阶段同时负责中国的补给清除。中国部队无论由美国牌堆还是苏联牌堆的卡牌产生，都在美国补给阶段清除；法国、中国没有独立回合。其他国家在各自补给阶段清除。同一补给阶段涉及的国家必须基于清除前的同一局面统一计算失去补给的部队集合，再统一清除；不能先清一个国家、重算后再清另一个国家。英国与法国一组，美国与中国一组。共享补给与友军陆军锚点按统一计算时的局面判定。</w:t>
      </w:r>
    </w:p>
    <w:p w14:paraId="78191C4E">
      <w:pPr>
        <w:pStyle w:val="5"/>
      </w:pPr>
      <w:r>
        <w:rPr>
          <w:rFonts w:ascii="微软雅黑" w:hAnsi="微软雅黑" w:eastAsia="微软雅黑"/>
          <w:color w:val="000000"/>
        </w:rPr>
        <w:t>8.3.3 打出手牌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BAE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4305CECB">
            <w:pPr>
              <w:keepNext/>
            </w:pPr>
            <w:r>
              <w:rPr>
                <w:rFonts w:ascii="微软雅黑" w:hAnsi="微软雅黑" w:eastAsia="微软雅黑"/>
                <w:b/>
                <w:color w:val="FFFFFF"/>
                <w:sz w:val="19"/>
              </w:rPr>
              <w:t>牌类</w:t>
            </w:r>
          </w:p>
        </w:tc>
        <w:tc>
          <w:tcPr>
            <w:tcW w:w="7460" w:type="dxa"/>
            <w:shd w:val="clear" w:color="auto" w:fill="315B7D"/>
            <w:tcMar>
              <w:top w:w="80" w:type="dxa"/>
              <w:left w:w="120" w:type="dxa"/>
              <w:bottom w:w="80" w:type="dxa"/>
              <w:right w:w="120" w:type="dxa"/>
            </w:tcMar>
            <w:vAlign w:val="center"/>
          </w:tcPr>
          <w:p w14:paraId="446A5F25">
            <w:pPr>
              <w:keepNext/>
            </w:pPr>
            <w:r>
              <w:rPr>
                <w:rFonts w:ascii="微软雅黑" w:hAnsi="微软雅黑" w:eastAsia="微软雅黑"/>
                <w:b/>
                <w:color w:val="FFFFFF"/>
                <w:sz w:val="19"/>
              </w:rPr>
              <w:t>基础处理</w:t>
            </w:r>
          </w:p>
        </w:tc>
      </w:tr>
      <w:tr w14:paraId="66F4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B672FB1">
            <w:pPr>
              <w:keepNext w:val="0"/>
            </w:pPr>
            <w:r>
              <w:rPr>
                <w:rFonts w:ascii="微软雅黑" w:hAnsi="微软雅黑" w:eastAsia="微软雅黑"/>
                <w:color w:val="202124"/>
                <w:sz w:val="18"/>
              </w:rPr>
              <w:t>基本牌</w:t>
            </w:r>
          </w:p>
        </w:tc>
        <w:tc>
          <w:tcPr>
            <w:tcW w:w="7460" w:type="dxa"/>
            <w:tcMar>
              <w:top w:w="80" w:type="dxa"/>
              <w:left w:w="120" w:type="dxa"/>
              <w:bottom w:w="80" w:type="dxa"/>
              <w:right w:w="120" w:type="dxa"/>
            </w:tcMar>
            <w:vAlign w:val="center"/>
          </w:tcPr>
          <w:p w14:paraId="4FD5AE4B">
            <w:pPr>
              <w:keepNext w:val="0"/>
              <w:rPr>
                <w:rFonts w:hint="default" w:eastAsia="微软雅黑"/>
                <w:lang w:val="en-US" w:eastAsia="zh-CN"/>
              </w:rPr>
            </w:pPr>
            <w:r>
              <w:rPr>
                <w:rFonts w:ascii="微软雅黑" w:hAnsi="微软雅黑" w:eastAsia="微软雅黑"/>
                <w:color w:val="202124"/>
                <w:sz w:val="18"/>
              </w:rPr>
              <w:t>没有文本框；在出牌阶段打出</w:t>
            </w:r>
            <w:r>
              <w:rPr>
                <w:rFonts w:hint="eastAsia"/>
                <w:color w:val="202124"/>
                <w:sz w:val="18"/>
                <w:lang w:eastAsia="zh-CN"/>
              </w:rPr>
              <w:t>，</w:t>
            </w:r>
            <w:r>
              <w:rPr>
                <w:rFonts w:ascii="微软雅黑" w:hAnsi="微软雅黑" w:eastAsia="微软雅黑"/>
                <w:color w:val="202124"/>
                <w:sz w:val="18"/>
              </w:rPr>
              <w:t>执行对应基本行动</w:t>
            </w:r>
            <w:r>
              <w:rPr>
                <w:rFonts w:hint="eastAsia"/>
                <w:color w:val="202124"/>
                <w:sz w:val="18"/>
                <w:lang w:eastAsia="zh-CN"/>
              </w:rPr>
              <w:t>，</w:t>
            </w:r>
            <w:r>
              <w:rPr>
                <w:rFonts w:hint="eastAsia"/>
                <w:color w:val="202124"/>
                <w:sz w:val="18"/>
                <w:lang w:val="en-US" w:eastAsia="zh-CN"/>
              </w:rPr>
              <w:t>置入弃牌堆。</w:t>
            </w:r>
          </w:p>
        </w:tc>
      </w:tr>
      <w:tr w14:paraId="7A9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0BDC111D">
            <w:pPr>
              <w:keepNext w:val="0"/>
            </w:pPr>
            <w:r>
              <w:rPr>
                <w:rFonts w:ascii="微软雅黑" w:hAnsi="微软雅黑" w:eastAsia="微软雅黑"/>
                <w:color w:val="202124"/>
                <w:sz w:val="18"/>
              </w:rPr>
              <w:t>事件牌</w:t>
            </w:r>
          </w:p>
        </w:tc>
        <w:tc>
          <w:tcPr>
            <w:tcW w:w="7460" w:type="dxa"/>
            <w:shd w:val="clear" w:color="auto" w:fill="F4F6F9"/>
            <w:tcMar>
              <w:top w:w="80" w:type="dxa"/>
              <w:left w:w="120" w:type="dxa"/>
              <w:bottom w:w="80" w:type="dxa"/>
              <w:right w:w="120" w:type="dxa"/>
            </w:tcMar>
            <w:vAlign w:val="center"/>
          </w:tcPr>
          <w:p w14:paraId="441185F8">
            <w:pPr>
              <w:keepNext w:val="0"/>
              <w:rPr>
                <w:rFonts w:hint="default" w:eastAsia="微软雅黑"/>
                <w:lang w:val="en-US" w:eastAsia="zh-CN"/>
              </w:rPr>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752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C96D8E4">
            <w:pPr>
              <w:keepNext w:val="0"/>
            </w:pPr>
            <w:r>
              <w:rPr>
                <w:rFonts w:ascii="微软雅黑" w:hAnsi="微软雅黑" w:eastAsia="微软雅黑"/>
                <w:color w:val="202124"/>
                <w:sz w:val="18"/>
              </w:rPr>
              <w:t>经济战牌</w:t>
            </w:r>
          </w:p>
        </w:tc>
        <w:tc>
          <w:tcPr>
            <w:tcW w:w="7460" w:type="dxa"/>
            <w:tcMar>
              <w:top w:w="80" w:type="dxa"/>
              <w:left w:w="120" w:type="dxa"/>
              <w:bottom w:w="80" w:type="dxa"/>
              <w:right w:w="120" w:type="dxa"/>
            </w:tcMar>
            <w:vAlign w:val="center"/>
          </w:tcPr>
          <w:p w14:paraId="16869559">
            <w:pPr>
              <w:keepNext w:val="0"/>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4066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C4895AE">
            <w:pPr>
              <w:keepNext w:val="0"/>
            </w:pPr>
            <w:r>
              <w:rPr>
                <w:rFonts w:ascii="微软雅黑" w:hAnsi="微软雅黑" w:eastAsia="微软雅黑"/>
                <w:color w:val="202124"/>
                <w:sz w:val="18"/>
              </w:rPr>
              <w:t>状态牌</w:t>
            </w:r>
          </w:p>
        </w:tc>
        <w:tc>
          <w:tcPr>
            <w:tcW w:w="7460" w:type="dxa"/>
            <w:shd w:val="clear" w:color="auto" w:fill="F4F6F9"/>
            <w:tcMar>
              <w:top w:w="80" w:type="dxa"/>
              <w:left w:w="120" w:type="dxa"/>
              <w:bottom w:w="80" w:type="dxa"/>
              <w:right w:w="120" w:type="dxa"/>
            </w:tcMar>
            <w:vAlign w:val="center"/>
          </w:tcPr>
          <w:p w14:paraId="65172AA3">
            <w:pPr>
              <w:keepNext w:val="0"/>
            </w:pPr>
            <w:r>
              <w:rPr>
                <w:rFonts w:ascii="微软雅黑" w:hAnsi="微软雅黑" w:eastAsia="微软雅黑"/>
                <w:color w:val="202124"/>
                <w:sz w:val="18"/>
              </w:rPr>
              <w:t>在出牌阶段打出，正面置于桌面并持续生效，直至被其他规则移除。</w:t>
            </w:r>
          </w:p>
        </w:tc>
      </w:tr>
      <w:tr w14:paraId="090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2B50E67">
            <w:pPr>
              <w:keepNext w:val="0"/>
            </w:pPr>
            <w:r>
              <w:rPr>
                <w:rFonts w:ascii="微软雅黑" w:hAnsi="微软雅黑" w:eastAsia="微软雅黑"/>
                <w:color w:val="202124"/>
                <w:sz w:val="18"/>
              </w:rPr>
              <w:t>响应牌</w:t>
            </w:r>
          </w:p>
        </w:tc>
        <w:tc>
          <w:tcPr>
            <w:tcW w:w="7460" w:type="dxa"/>
            <w:tcMar>
              <w:top w:w="80" w:type="dxa"/>
              <w:left w:w="120" w:type="dxa"/>
              <w:bottom w:w="80" w:type="dxa"/>
              <w:right w:w="120" w:type="dxa"/>
            </w:tcMar>
            <w:vAlign w:val="center"/>
          </w:tcPr>
          <w:p w14:paraId="46843D96">
            <w:pPr>
              <w:keepNext w:val="0"/>
            </w:pPr>
            <w:r>
              <w:rPr>
                <w:rFonts w:ascii="微软雅黑" w:hAnsi="微软雅黑" w:eastAsia="微软雅黑"/>
                <w:color w:val="202124"/>
                <w:sz w:val="18"/>
              </w:rPr>
              <w:t>在出牌阶段暗置于桌面；达到牌面时点时才可选择触发，触发后执行效果</w:t>
            </w:r>
            <w:r>
              <w:rPr>
                <w:rFonts w:hint="eastAsia"/>
                <w:color w:val="202124"/>
                <w:sz w:val="18"/>
                <w:lang w:val="en-US" w:eastAsia="zh-CN"/>
              </w:rPr>
              <w:t>并</w:t>
            </w:r>
            <w:r>
              <w:rPr>
                <w:rFonts w:ascii="微软雅黑" w:hAnsi="微软雅黑" w:eastAsia="微软雅黑"/>
                <w:color w:val="202124"/>
                <w:sz w:val="18"/>
              </w:rPr>
              <w:t>置入弃牌堆。</w:t>
            </w:r>
          </w:p>
        </w:tc>
      </w:tr>
      <w:tr w14:paraId="5909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053ECA4">
            <w:pPr>
              <w:keepNext w:val="0"/>
            </w:pPr>
            <w:r>
              <w:rPr>
                <w:rFonts w:ascii="微软雅黑" w:hAnsi="微软雅黑" w:eastAsia="微软雅黑"/>
                <w:color w:val="202124"/>
                <w:sz w:val="18"/>
              </w:rPr>
              <w:t>增强牌</w:t>
            </w:r>
          </w:p>
        </w:tc>
        <w:tc>
          <w:tcPr>
            <w:tcW w:w="7460" w:type="dxa"/>
            <w:shd w:val="clear" w:color="auto" w:fill="F4F6F9"/>
            <w:tcMar>
              <w:top w:w="80" w:type="dxa"/>
              <w:left w:w="120" w:type="dxa"/>
              <w:bottom w:w="80" w:type="dxa"/>
              <w:right w:w="120" w:type="dxa"/>
            </w:tcMar>
            <w:vAlign w:val="center"/>
          </w:tcPr>
          <w:p w14:paraId="263D48F6">
            <w:pPr>
              <w:keepNext w:val="0"/>
            </w:pPr>
            <w:r>
              <w:rPr>
                <w:rFonts w:ascii="微软雅黑" w:hAnsi="微软雅黑" w:eastAsia="微软雅黑"/>
                <w:color w:val="202124"/>
                <w:sz w:val="18"/>
              </w:rPr>
              <w:t>不需要预先暗置；满足牌面时点和条件时可直接从手牌打出，执行效果</w:t>
            </w:r>
            <w:r>
              <w:rPr>
                <w:rFonts w:hint="eastAsia"/>
                <w:color w:val="202124"/>
                <w:sz w:val="18"/>
                <w:lang w:val="en-US" w:eastAsia="zh-CN"/>
              </w:rPr>
              <w:t>并置入弃牌堆</w:t>
            </w:r>
            <w:r>
              <w:rPr>
                <w:rFonts w:ascii="微软雅黑" w:hAnsi="微软雅黑" w:eastAsia="微软雅黑"/>
                <w:color w:val="202124"/>
                <w:sz w:val="18"/>
              </w:rPr>
              <w:t>。</w:t>
            </w:r>
          </w:p>
        </w:tc>
      </w:tr>
      <w:tr w14:paraId="645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5635FBB">
            <w:pPr>
              <w:keepNext w:val="0"/>
            </w:pPr>
            <w:r>
              <w:rPr>
                <w:rFonts w:ascii="微软雅黑" w:hAnsi="微软雅黑" w:eastAsia="微软雅黑"/>
                <w:color w:val="202124"/>
                <w:sz w:val="18"/>
              </w:rPr>
              <w:t>空中力量</w:t>
            </w:r>
          </w:p>
        </w:tc>
        <w:tc>
          <w:tcPr>
            <w:tcW w:w="7460" w:type="dxa"/>
            <w:tcMar>
              <w:top w:w="80" w:type="dxa"/>
              <w:left w:w="120" w:type="dxa"/>
              <w:bottom w:w="80" w:type="dxa"/>
              <w:right w:w="120" w:type="dxa"/>
            </w:tcMar>
            <w:vAlign w:val="center"/>
          </w:tcPr>
          <w:p w14:paraId="6CEBB7D3">
            <w:pPr>
              <w:keepNext w:val="0"/>
            </w:pPr>
            <w:r>
              <w:rPr>
                <w:rFonts w:ascii="微软雅黑" w:hAnsi="微软雅黑" w:eastAsia="微软雅黑"/>
                <w:color w:val="202124"/>
                <w:sz w:val="18"/>
              </w:rPr>
              <w:t>正常只在空军阶段打出；“打出另一张牌”的效果可允许其在该效果中打出，用于部署空军或争取制空权，仍检查行动合法性。</w:t>
            </w:r>
          </w:p>
        </w:tc>
      </w:tr>
    </w:tbl>
    <w:p w14:paraId="4635AD8F">
      <w:pPr>
        <w:spacing w:after="20"/>
      </w:pPr>
    </w:p>
    <w:p>
      <w:r>
        <w:t>基本牌、事件牌、经济战牌和已触发的响应牌、增强牌按“离开来源区域 → 进入结算中区域 → 处理选定效果及嵌套效果 → 进入最终区域”的顺序执行。最终区域默认为弃牌堆；【配给】及其他明确改变去向的效果优先。响应牌的预先暗置仍进入暗置区，不能当成已经触发。结算期间，弃牌堆中的同名卡牌不包括当前正在结算的这张牌。</w:t>
      </w:r>
    </w:p>
    <w:p w14:paraId="39E1D2D1">
      <w:pPr>
        <w:pStyle w:val="5"/>
      </w:pPr>
      <w:r>
        <w:rPr>
          <w:rFonts w:ascii="微软雅黑" w:hAnsi="微软雅黑" w:eastAsia="微软雅黑"/>
          <w:color w:val="000000"/>
        </w:rPr>
        <w:t>8.3.4 建设与征召</w:t>
      </w:r>
    </w:p>
    <w:p w14:paraId="6C796C91">
      <w:pPr>
        <w:numPr>
          <w:ilvl w:val="0"/>
          <w:numId w:val="7"/>
        </w:numPr>
        <w:spacing w:after="80"/>
      </w:pPr>
      <w:r>
        <w:rPr>
          <w:rFonts w:ascii="微软雅黑" w:hAnsi="微软雅黑" w:eastAsia="微软雅黑"/>
          <w:color w:val="202124"/>
        </w:rPr>
        <w:t>新放置建设/征召必须取得对应兵种棋子；储备区没有时按8.4.2处理。陆军只能放在陆地，海军只能放在海域。原地重复建设或征召使用目标地区已有的本国同兵种部队，不新增第二枚同类兵模、不消耗储备；即使储备为零也无需回收。详见8.4.2及8.4.6判例C。</w:t>
      </w:r>
    </w:p>
    <w:p w14:paraId="71413C9A">
      <w:pPr>
        <w:numPr>
          <w:ilvl w:val="0"/>
          <w:numId w:val="7"/>
        </w:numPr>
        <w:spacing w:after="80"/>
      </w:pPr>
      <w:r>
        <w:rPr>
          <w:rFonts w:ascii="微软雅黑" w:hAnsi="微软雅黑" w:eastAsia="微软雅黑"/>
          <w:color w:val="202124"/>
        </w:rPr>
        <w:t>目标地区不能有敌方部队。允许在已有本国同兵种部队的地区重复建设或征召，但不增加同格同国同兵种部队数量；不能把棋子数量上限误当作重复建设／征召动作禁令。两类动作仍各自检查原有地区、补给或牌面条件。</w:t>
      </w:r>
    </w:p>
    <w:p w14:paraId="34C4DC56">
      <w:pPr>
        <w:numPr>
          <w:ilvl w:val="0"/>
          <w:numId w:val="7"/>
        </w:numPr>
        <w:spacing w:after="80"/>
      </w:pPr>
      <w:r>
        <w:rPr>
          <w:rFonts w:ascii="微软雅黑" w:hAnsi="微软雅黑" w:eastAsia="微软雅黑"/>
          <w:color w:val="202124"/>
        </w:rPr>
        <w:t>建设部队时，目标必须是本国大本营，或邻接一支已经处于补给状态的本国部队；建设产生的新部队</w:t>
      </w:r>
      <w:r>
        <w:rPr>
          <w:rFonts w:hint="eastAsia"/>
          <w:color w:val="202124"/>
          <w:lang w:val="en-US" w:eastAsia="zh-CN"/>
        </w:rPr>
        <w:t>必须</w:t>
      </w:r>
      <w:r>
        <w:rPr>
          <w:rFonts w:ascii="微软雅黑" w:hAnsi="微软雅黑" w:eastAsia="微软雅黑"/>
          <w:color w:val="202124"/>
        </w:rPr>
        <w:t>处于补给状态。</w:t>
      </w:r>
    </w:p>
    <w:p w14:paraId="40C8B784">
      <w:pPr>
        <w:numPr>
          <w:ilvl w:val="0"/>
          <w:numId w:val="7"/>
        </w:numPr>
        <w:spacing w:after="80"/>
      </w:pPr>
      <w:r>
        <w:rPr>
          <w:rFonts w:ascii="微软雅黑" w:hAnsi="微软雅黑" w:eastAsia="微软雅黑"/>
          <w:color w:val="202124"/>
        </w:rPr>
        <w:t>征召部队时，按卡牌指定的地区和条件放置，不套用建设的大本营或补给链限制。</w:t>
      </w:r>
    </w:p>
    <w:p w14:paraId="338DADFA">
      <w:pPr>
        <w:pStyle w:val="5"/>
      </w:pPr>
      <w:r>
        <w:rPr>
          <w:rFonts w:ascii="微软雅黑" w:hAnsi="微软雅黑" w:eastAsia="微软雅黑"/>
          <w:color w:val="000000"/>
        </w:rPr>
        <w:t>8.3.5 发起战斗</w:t>
      </w:r>
    </w:p>
    <w:p w14:paraId="7D48B515">
      <w:pPr>
        <w:numPr>
          <w:ilvl w:val="0"/>
          <w:numId w:val="7"/>
        </w:numPr>
        <w:spacing w:after="80"/>
      </w:pPr>
      <w:r>
        <w:rPr>
          <w:rFonts w:ascii="微软雅黑" w:hAnsi="微软雅黑" w:eastAsia="微软雅黑"/>
          <w:color w:val="202124"/>
        </w:rPr>
        <w:t>每次发起战斗都选择 1 支处于补给状态的本国陆军或海军作为发起部队，并选择与其相邻的目标地区。发起陆战只能选择陆地，发起海战只能选择海域；泛称发起战斗时由目标地区类型决定陆战或海战。</w:t>
      </w:r>
    </w:p>
    <w:p w14:paraId="61104ABA">
      <w:pPr>
        <w:numPr>
          <w:ilvl w:val="0"/>
          <w:numId w:val="7"/>
        </w:numPr>
        <w:spacing w:after="80"/>
      </w:pPr>
      <w:r>
        <w:rPr>
          <w:rFonts w:ascii="微软雅黑" w:hAnsi="微软雅黑" w:eastAsia="微软雅黑"/>
          <w:color w:val="202124"/>
        </w:rPr>
        <w:t>目标地区可以无人占领，但不能被本国或友军占领。若有敌方部队，选择其中 1 支作为本次攻击对象并尝试移除。</w:t>
      </w:r>
    </w:p>
    <w:p w14:paraId="763E7B36">
      <w:pPr>
        <w:numPr>
          <w:ilvl w:val="0"/>
          <w:numId w:val="7"/>
        </w:numPr>
        <w:spacing w:after="80"/>
      </w:pPr>
      <w:r>
        <w:rPr>
          <w:rFonts w:ascii="微软雅黑" w:hAnsi="微软雅黑" w:eastAsia="微软雅黑"/>
          <w:color w:val="202124"/>
        </w:rPr>
        <w:t>发起部队可以是陆军或海军，兵种本身不限制陆战或海战；只检查补给、相邻和卡牌明确写出的额外限制。</w:t>
      </w:r>
    </w:p>
    <w:p w14:paraId="7EAAB184">
      <w:pPr>
        <w:pStyle w:val="5"/>
      </w:pPr>
      <w:r>
        <w:rPr>
          <w:rFonts w:ascii="微软雅黑" w:hAnsi="微软雅黑" w:eastAsia="微软雅黑"/>
          <w:color w:val="000000"/>
        </w:rPr>
        <w:t>8.3.6 空军</w:t>
      </w:r>
    </w:p>
    <w:p w14:paraId="3FF2A9B8">
      <w:pPr>
        <w:numPr>
          <w:ilvl w:val="0"/>
          <w:numId w:val="7"/>
        </w:numPr>
        <w:spacing w:after="80"/>
      </w:pPr>
      <w:r>
        <w:rPr>
          <w:rFonts w:ascii="微软雅黑" w:hAnsi="微软雅黑" w:eastAsia="微软雅黑"/>
          <w:color w:val="202124"/>
        </w:rPr>
        <w:t>空军阶段打出【空中力量】后，选择以下一项：部署空军；争取制空权。部署空军是在一支处于补给状态的本国陆军或海军所在地区放置 1 支本国空军。争取制空权是选择 1 支本国空军，移除与其相邻的 1 支敌方空军。</w:t>
      </w:r>
    </w:p>
    <w:p w14:paraId="409E4D5F">
      <w:pPr>
        <w:numPr>
          <w:ilvl w:val="0"/>
          <w:numId w:val="7"/>
        </w:numPr>
        <w:spacing w:after="80"/>
      </w:pPr>
      <w:r>
        <w:rPr>
          <w:rFonts w:ascii="微软雅黑" w:hAnsi="微软雅黑" w:eastAsia="微软雅黑"/>
          <w:color w:val="202124"/>
        </w:rPr>
        <w:t>空军阶段也可弃置 1 张手牌，</w:t>
      </w:r>
      <w:r>
        <w:rPr>
          <w:rFonts w:hint="eastAsia"/>
          <w:color w:val="202124"/>
          <w:lang w:val="en-US" w:eastAsia="zh-CN"/>
        </w:rPr>
        <w:t>执行一次调度空军。调度空军是</w:t>
      </w:r>
      <w:r>
        <w:rPr>
          <w:rFonts w:ascii="微软雅黑" w:hAnsi="微软雅黑" w:eastAsia="微软雅黑"/>
          <w:color w:val="202124"/>
        </w:rPr>
        <w:t>选择 1 支本国空军和 1 支处于补给状态的本国陆军或海军，把空军调度到后者所在地区。</w:t>
      </w:r>
    </w:p>
    <w:p w14:paraId="1AFC6B40">
      <w:pPr>
        <w:numPr>
          <w:ilvl w:val="0"/>
          <w:numId w:val="7"/>
        </w:numPr>
        <w:spacing w:after="80"/>
      </w:pPr>
      <w:r>
        <w:rPr>
          <w:rFonts w:ascii="微软雅黑" w:hAnsi="微软雅黑" w:eastAsia="微软雅黑"/>
          <w:color w:val="202124"/>
        </w:rPr>
        <w:t>同一地区不能存在多支同一国家的空军。</w:t>
      </w:r>
    </w:p>
    <w:p w14:paraId="28F49D74">
      <w:pPr>
        <w:pStyle w:val="5"/>
      </w:pPr>
      <w:r>
        <w:rPr>
          <w:rFonts w:ascii="微软雅黑" w:hAnsi="微软雅黑" w:eastAsia="微软雅黑"/>
          <w:color w:val="000000"/>
        </w:rPr>
        <w:t>8.3.7 海峡</w:t>
      </w:r>
    </w:p>
    <w:p w14:paraId="24EB6C76">
      <w:r>
        <w:rPr>
          <w:rFonts w:ascii="微软雅黑" w:hAnsi="微软雅黑" w:eastAsia="微软雅黑"/>
          <w:color w:val="202124"/>
        </w:rPr>
        <w:t>游戏共有 5 个海峡。丹麦海峡默认由轴心国控制，其余海峡默认由同盟国控制。海峡标记所在陆地被某阵营占领时，该海峡视为由该阵营控制。海峡连接的两个海域，对占领该海峡的阵营视为相邻，对另一阵营视为不相邻。每个海峡在数据中保存 landRegion、seaA、seaB 和 defaultController。</w:t>
      </w:r>
    </w:p>
    <w:p w14:paraId="2DFDFA4E">
      <w:pPr>
        <w:pStyle w:val="5"/>
      </w:pPr>
      <w:r>
        <w:rPr>
          <w:rFonts w:ascii="微软雅黑" w:hAnsi="微软雅黑" w:eastAsia="微软雅黑"/>
          <w:color w:val="000000"/>
        </w:rPr>
        <w:t>8.3.8 计分</w:t>
      </w:r>
    </w:p>
    <w:p w14:paraId="7AC4278F">
      <w:pPr>
        <w:numPr>
          <w:ilvl w:val="0"/>
          <w:numId w:val="7"/>
        </w:numPr>
        <w:spacing w:after="80"/>
      </w:pPr>
      <w:r>
        <w:rPr>
          <w:rFonts w:ascii="微软雅黑" w:hAnsi="微软雅黑" w:eastAsia="微软雅黑"/>
          <w:color w:val="202124"/>
        </w:rPr>
        <w:t>大本营检查按部队所属国家逐国进行，而不是只检查当前回合国家。某国大本营被敌方军队占领时，该国在本次对应计分步骤不能获得分数；同一阶段合并结算的另一国家仍单独检查。</w:t>
      </w:r>
    </w:p>
    <w:p w14:paraId="6DE2DFEB">
      <w:pPr>
        <w:numPr>
          <w:ilvl w:val="0"/>
          <w:numId w:val="7"/>
        </w:numPr>
        <w:spacing w:after="80"/>
      </w:pPr>
      <w:r>
        <w:rPr>
          <w:rFonts w:ascii="微软雅黑" w:hAnsi="微软雅黑" w:eastAsia="微软雅黑"/>
          <w:color w:val="202124"/>
        </w:rPr>
        <w:t>每独自占领 1 个补给点得 2 分；每与友军共同占领 1 个补给点得 1 分。英国计分阶段分别检查英国与法国：英国按&lt;不列颠群岛&gt;的占领状态决定是否计分，法国按&lt;西欧&gt;的占领状态决定是否计分。美国计分阶段分别检查美国与中国：美国按&lt;美国&gt;的占领状态决定是否计分，中国按&lt;中国东部&gt;的占领状态决定是否计分。例如，中国军队位于&lt;印度&gt;时，若&lt;中国东部&gt;被日本占领，中国仍不能获得分数。</w:t>
      </w:r>
    </w:p>
    <w:p w14:paraId="37589325">
      <w:pPr>
        <w:numPr>
          <w:ilvl w:val="0"/>
          <w:numId w:val="7"/>
        </w:numPr>
        <w:spacing w:after="80"/>
      </w:pPr>
      <w:r>
        <w:rPr>
          <w:rFonts w:ascii="微软雅黑" w:hAnsi="微软雅黑" w:eastAsia="微软雅黑"/>
          <w:color w:val="202124"/>
        </w:rPr>
        <w:t>完成 20 个完整轮次后，轴心国加 0.5 分，再比较阵营总分。美国计分阶段结束时若轴心国领先至少 30 分，轴心国立即获胜。</w:t>
      </w:r>
    </w:p>
    <w:p w14:paraId="1D572F9A">
      <w:pPr>
        <w:pStyle w:val="4"/>
      </w:pPr>
      <w:r>
        <w:rPr>
          <w:rFonts w:ascii="微软雅黑" w:hAnsi="微软雅黑" w:eastAsia="微软雅黑"/>
          <w:color w:val="000000"/>
        </w:rPr>
        <w:t>8.4 细节澄清与实现判定</w:t>
      </w:r>
    </w:p>
    <w:p w14:paraId="2CA58008">
      <w:pPr>
        <w:pStyle w:val="5"/>
      </w:pPr>
      <w:r>
        <w:rPr>
          <w:rFonts w:ascii="微软雅黑" w:hAnsi="微软雅黑" w:eastAsia="微软雅黑"/>
          <w:color w:val="000000"/>
        </w:rPr>
        <w:t>8.4.1 补给网络的且条件</w:t>
      </w:r>
    </w:p>
    <w:p w14:paraId="1704A8ED">
      <w:pPr>
        <w:numPr>
          <w:ilvl w:val="0"/>
          <w:numId w:val="7"/>
        </w:numPr>
        <w:spacing w:after="80"/>
      </w:pPr>
      <w:r>
        <w:rPr>
          <w:rFonts w:ascii="微软雅黑" w:hAnsi="微软雅黑" w:eastAsia="微软雅黑"/>
          <w:color w:val="202124"/>
        </w:rPr>
        <w:t>海军补给的两个条件是“且”，不是“或”。单纯与一支有补给的本国海军相邻，不能让新海军获得补给；它还必须同时邻接至少一支本国或友军陆军，该陆军是否有补给无关。</w:t>
      </w:r>
    </w:p>
    <w:p w14:paraId="46514E07">
      <w:pPr>
        <w:numPr>
          <w:ilvl w:val="0"/>
          <w:numId w:val="7"/>
        </w:numPr>
        <w:spacing w:after="80"/>
      </w:pPr>
      <w:r>
        <w:rPr>
          <w:rFonts w:ascii="微软雅黑" w:hAnsi="微软雅黑" w:eastAsia="微软雅黑"/>
          <w:color w:val="202124"/>
        </w:rPr>
        <w:t>补给必须从当前 GameState 重新计算，并反复扩展直到没有新部队加入补给集合。由此允许：新海军同时邻接有补给的本国海军与无补给的本国陆军，新海军先获得补给，随后该陆军因为邻接这支有补给的新海军而获得补给。</w:t>
      </w:r>
    </w:p>
    <w:p w14:paraId="6F11A5AB">
      <w:pPr>
        <w:numPr>
          <w:ilvl w:val="0"/>
          <w:numId w:val="7"/>
        </w:numPr>
        <w:spacing w:after="80"/>
      </w:pPr>
      <w:r>
        <w:rPr>
          <w:rFonts w:ascii="微软雅黑" w:hAnsi="微软雅黑" w:eastAsia="微软雅黑"/>
          <w:color w:val="202124"/>
        </w:rPr>
        <w:t>建设海军的合法性必须按放置后的模拟状态检查上述两个条件；不能因为目标海域只邻接已有补给海军就高亮为合法。</w:t>
      </w:r>
    </w:p>
    <w:p w14:paraId="54120DE1">
      <w:pPr>
        <w:numPr>
          <w:ilvl w:val="0"/>
          <w:numId w:val="7"/>
        </w:numPr>
        <w:spacing w:after="80"/>
      </w:pPr>
      <w:r>
        <w:rPr>
          <w:rFonts w:ascii="微软雅黑" w:hAnsi="微软雅黑" w:eastAsia="微软雅黑"/>
          <w:color w:val="202124"/>
        </w:rPr>
        <w:t>补给不是永久缓存属性。建设、移除、占领、海峡控制和状态修正后，都要从有效补给源重新求补给集合。</w:t>
      </w:r>
    </w:p>
    <w:p w14:paraId="7F26ACB2">
      <w:pPr>
        <w:pStyle w:val="5"/>
      </w:pPr>
      <w:r>
        <w:rPr>
          <w:rFonts w:ascii="微软雅黑" w:hAnsi="微软雅黑" w:eastAsia="微软雅黑"/>
          <w:color w:val="000000"/>
        </w:rPr>
        <w:t>8.4.2 建设与征召的回收和同格规则</w:t>
      </w:r>
    </w:p>
    <w:p w14:paraId="6D29AA96">
      <w:r>
        <w:rPr>
          <w:rFonts w:ascii="微软雅黑" w:hAnsi="微软雅黑" w:eastAsia="微软雅黑"/>
          <w:color w:val="202124"/>
        </w:rPr>
        <w:t>以下项目裁决覆盖基础规则中容易误解的表述。先区分原地重复动作与新增部队：原地重复建设／征召相当于把该位置的本国同兵种兵模拿起再放下，仍只使用原有兵模，不消耗储备，零储备也不回收其他部队。此比喻表示重复完成动作，不作为独立移除或离场事件执行；相应建设／征召事件及其连携仍正常发生。以下库存和回收步骤只针对需要新增部队的分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7EF8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2A7DF000">
            <w:pPr>
              <w:keepNext/>
            </w:pPr>
            <w:r>
              <w:rPr>
                <w:rFonts w:ascii="微软雅黑" w:hAnsi="微软雅黑" w:eastAsia="微软雅黑"/>
                <w:b/>
                <w:color w:val="FFFFFF"/>
                <w:sz w:val="19"/>
              </w:rPr>
              <w:t>步骤</w:t>
            </w:r>
          </w:p>
        </w:tc>
        <w:tc>
          <w:tcPr>
            <w:tcW w:w="7460" w:type="dxa"/>
            <w:shd w:val="clear" w:color="auto" w:fill="315B7D"/>
            <w:tcMar>
              <w:top w:w="80" w:type="dxa"/>
              <w:left w:w="120" w:type="dxa"/>
              <w:bottom w:w="80" w:type="dxa"/>
              <w:right w:w="120" w:type="dxa"/>
            </w:tcMar>
            <w:vAlign w:val="center"/>
          </w:tcPr>
          <w:p w14:paraId="663015A4">
            <w:pPr>
              <w:keepNext/>
            </w:pPr>
            <w:r>
              <w:rPr>
                <w:rFonts w:ascii="微软雅黑" w:hAnsi="微软雅黑" w:eastAsia="微软雅黑"/>
                <w:b/>
                <w:color w:val="FFFFFF"/>
                <w:sz w:val="19"/>
              </w:rPr>
              <w:t>规则核心必须执行的顺序</w:t>
            </w:r>
          </w:p>
        </w:tc>
      </w:tr>
      <w:tr w14:paraId="67E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47DE11E">
            <w:pPr>
              <w:keepNext w:val="0"/>
            </w:pPr>
            <w:r>
              <w:rPr>
                <w:rFonts w:ascii="微软雅黑" w:hAnsi="微软雅黑" w:eastAsia="微软雅黑"/>
                <w:color w:val="202124"/>
                <w:sz w:val="18"/>
              </w:rPr>
              <w:t>1. 确认兵种</w:t>
            </w:r>
          </w:p>
        </w:tc>
        <w:tc>
          <w:tcPr>
            <w:tcW w:w="7460" w:type="dxa"/>
            <w:tcMar>
              <w:top w:w="80" w:type="dxa"/>
              <w:left w:w="120" w:type="dxa"/>
              <w:bottom w:w="80" w:type="dxa"/>
              <w:right w:w="120" w:type="dxa"/>
            </w:tcMar>
            <w:vAlign w:val="center"/>
          </w:tcPr>
          <w:p w14:paraId="2E1F41B4">
            <w:pPr>
              <w:keepNext w:val="0"/>
            </w:pPr>
            <w:r>
              <w:rPr>
                <w:rFonts w:ascii="微软雅黑" w:hAnsi="微软雅黑" w:eastAsia="微软雅黑"/>
                <w:color w:val="202124"/>
                <w:sz w:val="18"/>
              </w:rPr>
              <w:t>建设/征召陆军只能使用陆军兵模，建设/征召海军只能使用海军兵模。</w:t>
            </w:r>
          </w:p>
        </w:tc>
      </w:tr>
      <w:tr w14:paraId="1BF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B2D6522">
            <w:pPr>
              <w:keepNext w:val="0"/>
            </w:pPr>
            <w:r>
              <w:rPr>
                <w:rFonts w:ascii="微软雅黑" w:hAnsi="微软雅黑" w:eastAsia="微软雅黑"/>
                <w:color w:val="202124"/>
                <w:sz w:val="18"/>
              </w:rPr>
              <w:t>2. 检查库存</w:t>
            </w:r>
          </w:p>
        </w:tc>
        <w:tc>
          <w:tcPr>
            <w:tcW w:w="7460" w:type="dxa"/>
            <w:shd w:val="clear" w:color="auto" w:fill="F4F6F9"/>
            <w:tcMar>
              <w:top w:w="80" w:type="dxa"/>
              <w:left w:w="120" w:type="dxa"/>
              <w:bottom w:w="80" w:type="dxa"/>
              <w:right w:w="120" w:type="dxa"/>
            </w:tcMar>
            <w:vAlign w:val="center"/>
          </w:tcPr>
          <w:p w14:paraId="0C3D34A3">
            <w:pPr>
              <w:keepNext w:val="0"/>
            </w:pPr>
            <w:r>
              <w:rPr>
                <w:rFonts w:ascii="微软雅黑" w:hAnsi="微软雅黑" w:eastAsia="微软雅黑"/>
                <w:color w:val="202124"/>
                <w:sz w:val="18"/>
              </w:rPr>
              <w:t>需要新增地图部队时，只要储备区有对应兵模，就必须使用储备兵模，不能为换位置主动回收。原地重复建设／征召不新增兵模、不消耗储备，储备为零也不需要回收；须先识别重复动作，再对新放置分支检查库存。</w:t>
            </w:r>
          </w:p>
        </w:tc>
      </w:tr>
      <w:tr w14:paraId="202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9016762">
            <w:pPr>
              <w:keepNext w:val="0"/>
            </w:pPr>
            <w:r>
              <w:rPr>
                <w:rFonts w:ascii="微软雅黑" w:hAnsi="微软雅黑" w:eastAsia="微软雅黑"/>
                <w:color w:val="202124"/>
                <w:sz w:val="18"/>
              </w:rPr>
              <w:t>3. 库存为零时回收</w:t>
            </w:r>
          </w:p>
        </w:tc>
        <w:tc>
          <w:tcPr>
            <w:tcW w:w="7460" w:type="dxa"/>
            <w:tcMar>
              <w:top w:w="80" w:type="dxa"/>
              <w:left w:w="120" w:type="dxa"/>
              <w:bottom w:w="80" w:type="dxa"/>
              <w:right w:w="120" w:type="dxa"/>
            </w:tcMar>
            <w:vAlign w:val="center"/>
          </w:tcPr>
          <w:p w14:paraId="039EA10E">
            <w:pPr>
              <w:keepNext w:val="0"/>
            </w:pPr>
            <w:r>
              <w:rPr>
                <w:rFonts w:ascii="微软雅黑" w:hAnsi="微软雅黑" w:eastAsia="微软雅黑"/>
                <w:color w:val="202124"/>
                <w:sz w:val="18"/>
              </w:rPr>
              <w:t>仅当效果仍要求建设或征召新部队、且对应兵模库存为 0 时，才检查回收方案。每个可选回收部队都必须在模拟移除并重算补给后，至少保留 1 个能完成本次建设/征召的合法地区。</w:t>
            </w:r>
          </w:p>
        </w:tc>
      </w:tr>
      <w:tr w14:paraId="0A7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C87112">
            <w:pPr>
              <w:keepNext w:val="0"/>
            </w:pPr>
            <w:r>
              <w:rPr>
                <w:rFonts w:ascii="微软雅黑" w:hAnsi="微软雅黑" w:eastAsia="微软雅黑"/>
                <w:color w:val="202124"/>
                <w:sz w:val="18"/>
              </w:rPr>
              <w:t>4. 先完成移除</w:t>
            </w:r>
          </w:p>
        </w:tc>
        <w:tc>
          <w:tcPr>
            <w:tcW w:w="7460" w:type="dxa"/>
            <w:shd w:val="clear" w:color="auto" w:fill="F4F6F9"/>
            <w:tcMar>
              <w:top w:w="80" w:type="dxa"/>
              <w:left w:w="120" w:type="dxa"/>
              <w:bottom w:w="80" w:type="dxa"/>
              <w:right w:w="120" w:type="dxa"/>
            </w:tcMar>
            <w:vAlign w:val="center"/>
          </w:tcPr>
          <w:p w14:paraId="78AD23E4">
            <w:pPr>
              <w:keepNext w:val="0"/>
            </w:pPr>
            <w:r>
              <w:rPr>
                <w:rFonts w:ascii="微软雅黑" w:hAnsi="微软雅黑" w:eastAsia="微软雅黑"/>
                <w:color w:val="202124"/>
                <w:sz w:val="18"/>
              </w:rPr>
              <w:t>先执行移除及其相关时点；不能预先锁定移除前的补给结果或建设候选。</w:t>
            </w:r>
          </w:p>
        </w:tc>
      </w:tr>
      <w:tr w14:paraId="515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FF0A046">
            <w:pPr>
              <w:keepNext w:val="0"/>
            </w:pPr>
            <w:r>
              <w:rPr>
                <w:rFonts w:ascii="微软雅黑" w:hAnsi="微软雅黑" w:eastAsia="微软雅黑"/>
                <w:color w:val="202124"/>
                <w:sz w:val="18"/>
              </w:rPr>
              <w:t>5. 重新计算</w:t>
            </w:r>
          </w:p>
        </w:tc>
        <w:tc>
          <w:tcPr>
            <w:tcW w:w="7460" w:type="dxa"/>
            <w:tcMar>
              <w:top w:w="80" w:type="dxa"/>
              <w:left w:w="120" w:type="dxa"/>
              <w:bottom w:w="80" w:type="dxa"/>
              <w:right w:w="120" w:type="dxa"/>
            </w:tcMar>
            <w:vAlign w:val="center"/>
          </w:tcPr>
          <w:p w14:paraId="53223088">
            <w:pPr>
              <w:keepNext w:val="0"/>
            </w:pPr>
            <w:r>
              <w:rPr>
                <w:rFonts w:ascii="微软雅黑" w:hAnsi="微软雅黑" w:eastAsia="微软雅黑"/>
                <w:color w:val="202124"/>
                <w:sz w:val="18"/>
              </w:rPr>
              <w:t>以移除后的状态重新计算补给和合法地区。因移除而断开补给链的地区不再是合法建设目标。若不存在任何能完成放置的回收方案，则整个建设/征召行动不可选择，且不移除任何部队。</w:t>
            </w:r>
          </w:p>
        </w:tc>
      </w:tr>
      <w:tr w14:paraId="5FE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D1E41D5">
            <w:pPr>
              <w:keepNext w:val="0"/>
            </w:pPr>
            <w:r>
              <w:rPr>
                <w:rFonts w:ascii="微软雅黑" w:hAnsi="微软雅黑" w:eastAsia="微软雅黑"/>
                <w:color w:val="202124"/>
                <w:sz w:val="18"/>
              </w:rPr>
              <w:t>6. 选择地区</w:t>
            </w:r>
          </w:p>
        </w:tc>
        <w:tc>
          <w:tcPr>
            <w:tcW w:w="7460" w:type="dxa"/>
            <w:shd w:val="clear" w:color="auto" w:fill="F4F6F9"/>
            <w:tcMar>
              <w:top w:w="80" w:type="dxa"/>
              <w:left w:w="120" w:type="dxa"/>
              <w:bottom w:w="80" w:type="dxa"/>
              <w:right w:w="120" w:type="dxa"/>
            </w:tcMar>
            <w:vAlign w:val="center"/>
          </w:tcPr>
          <w:p w14:paraId="64B6E82E">
            <w:pPr>
              <w:keepNext w:val="0"/>
            </w:pPr>
            <w:r>
              <w:rPr>
                <w:rFonts w:ascii="微软雅黑" w:hAnsi="微软雅黑" w:eastAsia="微软雅黑"/>
                <w:color w:val="202124"/>
                <w:sz w:val="18"/>
              </w:rPr>
              <w:t>陆军只能选择陆地，海军只能选择海域；不能有敌军；建设还必须位于本国大本营，或邻接一支处于补给状态的本国部队。征召采用卡牌自身给出的地区/条件，不自动套用建设的补给来源限制。</w:t>
            </w:r>
          </w:p>
        </w:tc>
      </w:tr>
      <w:tr w14:paraId="546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EC4EA70">
            <w:pPr>
              <w:keepNext w:val="0"/>
            </w:pPr>
            <w:r>
              <w:rPr>
                <w:rFonts w:ascii="微软雅黑" w:hAnsi="微软雅黑" w:eastAsia="微软雅黑"/>
                <w:color w:val="202124"/>
                <w:sz w:val="18"/>
              </w:rPr>
              <w:t>7. 同格规则</w:t>
            </w:r>
          </w:p>
        </w:tc>
        <w:tc>
          <w:tcPr>
            <w:tcW w:w="7460" w:type="dxa"/>
            <w:tcMar>
              <w:top w:w="80" w:type="dxa"/>
              <w:left w:w="120" w:type="dxa"/>
              <w:bottom w:w="80" w:type="dxa"/>
              <w:right w:w="120" w:type="dxa"/>
            </w:tcMar>
            <w:vAlign w:val="center"/>
          </w:tcPr>
          <w:p w14:paraId="58DBF944">
            <w:pPr>
              <w:keepNext w:val="0"/>
            </w:pPr>
            <w:r>
              <w:rPr>
                <w:rFonts w:ascii="微软雅黑" w:hAnsi="微软雅黑" w:eastAsia="微软雅黑"/>
                <w:color w:val="202124"/>
                <w:sz w:val="18"/>
              </w:rPr>
              <w:t>目标地区可以已有本国或友军部队；这仍是一次新的建设/征召，可正常触发连携、响应、计数和“建设后”事件。原地重复建设／征召使用已有本国同兵种部队，并产生对应的建设／征召事件；同一地区仍不得增加第二支同国同兵种部队。</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847FBDC">
            <w:pPr>
              <w:keepNext w:val="0"/>
            </w:pPr>
            <w:r>
              <w:rPr>
                <w:rFonts w:ascii="微软雅黑" w:hAnsi="微软雅黑" w:eastAsia="微软雅黑"/>
                <w:color w:val="202124"/>
                <w:sz w:val="18"/>
              </w:rPr>
              <w:t>8. 放置</w:t>
            </w:r>
          </w:p>
        </w:tc>
        <w:tc>
          <w:tcPr>
            <w:tcW w:w="7460" w:type="dxa"/>
            <w:shd w:val="clear" w:color="auto" w:fill="F4F6F9"/>
            <w:tcMar>
              <w:top w:w="80" w:type="dxa"/>
              <w:left w:w="120" w:type="dxa"/>
              <w:bottom w:w="80" w:type="dxa"/>
              <w:right w:w="120" w:type="dxa"/>
            </w:tcMar>
            <w:vAlign w:val="center"/>
          </w:tcPr>
          <w:p w14:paraId="02B55EBB">
            <w:pPr>
              <w:keepNext w:val="0"/>
            </w:pPr>
            <w:r>
              <w:rPr>
                <w:rFonts w:ascii="微软雅黑" w:hAnsi="微软雅黑" w:eastAsia="微软雅黑"/>
                <w:color w:val="202124"/>
                <w:sz w:val="18"/>
              </w:rPr>
              <w:t>新放置时放置对应兵模并验证补给；原地重复建设／征召保持已有部队数量和储备数量，绑定该部队作为本次动作的对象，供后续“该部队”引用。</w:t>
            </w:r>
          </w:p>
        </w:tc>
      </w:tr>
    </w:tbl>
    <w:p w14:paraId="4AC4EE91">
      <w:pPr>
        <w:spacing w:after="20"/>
      </w:pPr>
    </w:p>
    <w:p w14:paraId="3509E50A">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关键测试　</w:t>
      </w:r>
      <w:r>
        <w:rPr>
          <w:rFonts w:ascii="微软雅黑" w:hAnsi="微软雅黑" w:eastAsia="微软雅黑"/>
        </w:rPr>
        <w:t>用一支维持补给链的最后兵模作为回收对象：移除前远端地区可建设，移除后补给断开，远端地区必须从高亮候选中消失；若因此没有任何合法地点，该回收部队不能成为候选，整个建设/征召动作也不能开始。</w:t>
      </w:r>
    </w:p>
    <w:p w14:paraId="7EDC1967">
      <w:pPr>
        <w:pStyle w:val="5"/>
      </w:pPr>
      <w:r>
        <w:rPr>
          <w:rFonts w:ascii="微软雅黑" w:hAnsi="微软雅黑" w:eastAsia="微软雅黑"/>
          <w:color w:val="000000"/>
        </w:rPr>
        <w:t>8.4.3 多次发起战斗与选择顺序</w:t>
      </w:r>
    </w:p>
    <w:p w14:paraId="3439FA58">
      <w:pPr>
        <w:numPr>
          <w:ilvl w:val="0"/>
          <w:numId w:val="7"/>
        </w:numPr>
        <w:spacing w:after="80"/>
      </w:pPr>
      <w:r>
        <w:rPr>
          <w:rFonts w:ascii="微软雅黑" w:hAnsi="微软雅黑" w:eastAsia="微软雅黑"/>
          <w:color w:val="202124"/>
        </w:rPr>
        <w:t>每一个“发起战斗”都是独立动作，默认不继承上一次战斗的发起部队。卡牌产生多次发起战斗时，各次可以选择不同的本国部队；只有牌面明确写明“该部队”“同一部队”等限制时才绑定来源。</w:t>
      </w:r>
    </w:p>
    <w:p w14:paraId="0DD47DBD">
      <w:pPr>
        <w:numPr>
          <w:ilvl w:val="0"/>
          <w:numId w:val="7"/>
        </w:numPr>
        <w:spacing w:after="80"/>
      </w:pPr>
      <w:r>
        <w:rPr>
          <w:rFonts w:ascii="微软雅黑" w:hAnsi="微软雅黑" w:eastAsia="微软雅黑"/>
          <w:color w:val="202124"/>
        </w:rPr>
        <w:t>若效果写“在一个地区发起战斗”，该地区是被发起战斗的目标地区，不是发起部队所在地区。只要候选目标旁边存在至少 1 支处于补给状态、符合战斗类型及牌面条件的本国部队，就可以选择该目标。</w:t>
      </w:r>
    </w:p>
    <w:p w14:paraId="203D1B87">
      <w:pPr>
        <w:numPr>
          <w:ilvl w:val="0"/>
          <w:numId w:val="7"/>
        </w:numPr>
        <w:spacing w:after="80"/>
      </w:pPr>
      <w:r>
        <w:rPr>
          <w:rFonts w:ascii="微软雅黑" w:hAnsi="微软雅黑" w:eastAsia="微软雅黑"/>
          <w:color w:val="202124"/>
        </w:rPr>
        <w:t>每次发起战斗按以下顺序选择：先由牌面范围生成允许的目标地区；筛除旁边没有合法发起部队的地区；玩家选择目标地区；若该地区有多个敌国或多支敌军，玩家选择攻击对象；最后从所有与目标相邻的合法本国补给部队中选择发起部队。</w:t>
      </w:r>
    </w:p>
    <w:p w14:paraId="16DB320A">
      <w:pPr>
        <w:numPr>
          <w:ilvl w:val="0"/>
          <w:numId w:val="7"/>
        </w:numPr>
        <w:spacing w:after="80"/>
      </w:pPr>
      <w:r>
        <w:rPr>
          <w:rFonts w:ascii="微软雅黑" w:hAnsi="微软雅黑" w:eastAsia="微软雅黑"/>
          <w:color w:val="202124"/>
        </w:rPr>
        <w:t>例：【正面攻击】允许在当前战斗地区或其相邻地区再次发起陆战。若</w:t>
      </w:r>
      <w:r>
        <w:rPr>
          <w:rFonts w:hint="eastAsia"/>
          <w:color w:val="202124"/>
          <w:lang w:val="en-US" w:eastAsia="zh-CN"/>
        </w:rPr>
        <w:t>本国的A</w:t>
      </w:r>
      <w:r>
        <w:rPr>
          <w:rFonts w:ascii="微软雅黑" w:hAnsi="微软雅黑" w:eastAsia="微软雅黑"/>
          <w:color w:val="202124"/>
        </w:rPr>
        <w:t>部队攻击 B，后续可以改由</w:t>
      </w:r>
      <w:r>
        <w:rPr>
          <w:rFonts w:hint="eastAsia"/>
          <w:color w:val="202124"/>
          <w:lang w:val="en-US" w:eastAsia="zh-CN"/>
        </w:rPr>
        <w:t>本国的</w:t>
      </w:r>
      <w:r>
        <w:rPr>
          <w:rFonts w:ascii="微软雅黑" w:hAnsi="微软雅黑" w:eastAsia="微软雅黑"/>
          <w:color w:val="202124"/>
        </w:rPr>
        <w:t>C部队攻击 D，只需 A 与 B 相邻、C 与 D 相邻、B 与 D 相邻，并分别满足补给和牌面条件；不要求 A 与 C 相同，也不要求 C 与 B 相邻。</w:t>
      </w:r>
    </w:p>
    <w:p w14:paraId="35CD4AD3">
      <w:pPr>
        <w:pStyle w:val="5"/>
      </w:pPr>
      <w:r>
        <w:rPr>
          <w:rFonts w:ascii="微软雅黑" w:hAnsi="微软雅黑" w:eastAsia="微软雅黑"/>
          <w:color w:val="000000"/>
        </w:rPr>
        <w:t>8.4.4 空军防御、拦截与强制调度</w:t>
      </w:r>
    </w:p>
    <w:p w14:paraId="791D3C69">
      <w:pPr>
        <w:spacing w:after="80"/>
      </w:pPr>
      <w:r>
        <w:t>1. 确定被攻击部队和发起部队后，若被攻击部队与本国空军同格，先询问被攻击方是否用该空军防御。选择否时暂不调度空军，继续处理该部队将被战斗移除的流程。v2 由被攻击方明确选择是否使用空军防御，不再自动替防守方选择。</w:t>
      </w:r>
    </w:p>
    <w:p w14:paraId="2A5E9E14">
      <w:pPr>
        <w:spacing w:after="80"/>
      </w:pPr>
      <w:r>
        <w:rPr>
          <w:rFonts w:ascii="微软雅黑" w:hAnsi="微软雅黑" w:eastAsia="微软雅黑"/>
          <w:color w:val="202124"/>
        </w:rPr>
        <w:t>2. 被攻击方选择用空军防御后，检查发起部队所在地区是否有发起方空军。没有时防御直接成功，移除防御方空军，保留原本被攻击的部队，本次战斗不再移除该部队；有时询问发起方是否用该空军拦截。</w:t>
      </w:r>
    </w:p>
    <w:p w14:paraId="5DE23AC4">
      <w:pPr>
        <w:spacing w:after="80"/>
      </w:pPr>
      <w:r>
        <w:rPr>
          <w:rFonts w:ascii="微软雅黑" w:hAnsi="微软雅黑" w:eastAsia="微软雅黑"/>
          <w:color w:val="202124"/>
        </w:rPr>
        <w:t>3. 若拦截：移除攻守双方空军，抵消本次空军防御，然后继续处理被攻击部队将被移除的流程，包括合法的阻止、替代和响应时点。</w:t>
      </w:r>
    </w:p>
    <w:p w14:paraId="1BE7F49D">
      <w:pPr>
        <w:spacing w:after="80"/>
      </w:pPr>
      <w:r>
        <w:rPr>
          <w:rFonts w:ascii="微软雅黑" w:hAnsi="微软雅黑" w:eastAsia="微软雅黑"/>
          <w:color w:val="202124"/>
        </w:rPr>
        <w:t>4. 若不拦截：移除防御方空军，保留原本被攻击的部队，本次战斗不再移除该部队。</w:t>
      </w:r>
    </w:p>
    <w:p w14:paraId="17276424">
      <w:pPr>
        <w:spacing w:after="80"/>
      </w:pPr>
      <w:r>
        <w:rPr>
          <w:rFonts w:ascii="微软雅黑" w:hAnsi="微软雅黑" w:eastAsia="微软雅黑"/>
          <w:color w:val="202124"/>
        </w:rPr>
        <w:t>5. 只有在被攻击部队经过所有阻止、替代和响应后确实被移除，且同格本国空军仍存在时，才产生免费强制调度；因此玩家先前放弃空军防御、但随后用其他效果保住部队时，空军不调度。</w:t>
      </w:r>
    </w:p>
    <w:p w14:paraId="6EB600A8">
      <w:pPr>
        <w:spacing w:after="80"/>
      </w:pPr>
      <w:r>
        <w:rPr>
          <w:rFonts w:ascii="微软雅黑" w:hAnsi="微软雅黑" w:eastAsia="微软雅黑"/>
          <w:color w:val="202124"/>
        </w:rPr>
        <w:t>6. 免费强制调度不弃置手牌。空军必须调度到一支处于补给状态的本国陆军或海军所在地区；若没有任何这样的本国部队，或没有其他合法位置，该空军立即被移除。</w:t>
      </w:r>
    </w:p>
    <w:p w14:paraId="1F82CFD6">
      <w:r>
        <w:rPr>
          <w:rFonts w:ascii="微软雅黑" w:hAnsi="微软雅黑" w:eastAsia="微软雅黑"/>
          <w:color w:val="202124"/>
        </w:rPr>
        <w:t>空军阶段主动调度与上述强制调度是两种不同来源：前者必须在空军阶段弃置 1 张手牌作为选择该行动的费用；后者由同格部队实际被移除触发，不支付手牌。</w:t>
      </w:r>
    </w:p>
    <w:p w14:paraId="697AA75C">
      <w:pPr>
        <w:pStyle w:val="5"/>
      </w:pPr>
      <w:r>
        <w:rPr>
          <w:rFonts w:ascii="微软雅黑" w:hAnsi="微软雅黑" w:eastAsia="微软雅黑"/>
          <w:color w:val="000000"/>
        </w:rPr>
        <w:t>8.4.5 出牌、弃牌费用与牌库耗尽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2BA8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200" w:type="dxa"/>
            <w:shd w:val="clear" w:color="auto" w:fill="315B7D"/>
            <w:tcMar>
              <w:top w:w="80" w:type="dxa"/>
              <w:left w:w="120" w:type="dxa"/>
              <w:bottom w:w="80" w:type="dxa"/>
              <w:right w:w="120" w:type="dxa"/>
            </w:tcMar>
            <w:vAlign w:val="center"/>
          </w:tcPr>
          <w:p w14:paraId="76537D95">
            <w:pPr>
              <w:keepNext/>
            </w:pPr>
            <w:r>
              <w:rPr>
                <w:rFonts w:ascii="微软雅黑" w:hAnsi="微软雅黑" w:eastAsia="微软雅黑"/>
                <w:b/>
                <w:color w:val="FFFFFF"/>
                <w:sz w:val="19"/>
              </w:rPr>
              <w:t>情形</w:t>
            </w:r>
          </w:p>
        </w:tc>
        <w:tc>
          <w:tcPr>
            <w:tcW w:w="7160" w:type="dxa"/>
            <w:shd w:val="clear" w:color="auto" w:fill="315B7D"/>
            <w:tcMar>
              <w:top w:w="80" w:type="dxa"/>
              <w:left w:w="120" w:type="dxa"/>
              <w:bottom w:w="80" w:type="dxa"/>
              <w:right w:w="120" w:type="dxa"/>
            </w:tcMar>
            <w:vAlign w:val="center"/>
          </w:tcPr>
          <w:p w14:paraId="2C3A6E07">
            <w:pPr>
              <w:keepNext/>
            </w:pPr>
            <w:r>
              <w:rPr>
                <w:rFonts w:ascii="微软雅黑" w:hAnsi="微软雅黑" w:eastAsia="微软雅黑"/>
                <w:b/>
                <w:color w:val="FFFFFF"/>
                <w:sz w:val="19"/>
              </w:rPr>
              <w:t>最终规则与实现语义</w:t>
            </w:r>
          </w:p>
        </w:tc>
      </w:tr>
      <w:tr w14:paraId="57A7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777B26C">
            <w:pPr>
              <w:keepNext w:val="0"/>
            </w:pPr>
            <w:r>
              <w:rPr>
                <w:rFonts w:ascii="微软雅黑" w:hAnsi="微软雅黑" w:eastAsia="微软雅黑"/>
                <w:color w:val="202124"/>
                <w:sz w:val="18"/>
              </w:rPr>
              <w:t>出牌阶段不出牌</w:t>
            </w:r>
          </w:p>
        </w:tc>
        <w:tc>
          <w:tcPr>
            <w:tcW w:w="7160" w:type="dxa"/>
            <w:tcMar>
              <w:top w:w="80" w:type="dxa"/>
              <w:left w:w="120" w:type="dxa"/>
              <w:bottom w:w="80" w:type="dxa"/>
              <w:right w:w="120" w:type="dxa"/>
            </w:tcMar>
            <w:vAlign w:val="center"/>
          </w:tcPr>
          <w:p w14:paraId="425E07CC">
            <w:pPr>
              <w:keepNext w:val="0"/>
            </w:pPr>
            <w:r>
              <w:rPr>
                <w:rFonts w:ascii="微软雅黑" w:hAnsi="微软雅黑" w:eastAsia="微软雅黑"/>
                <w:color w:val="202124"/>
                <w:sz w:val="18"/>
              </w:rPr>
              <w:t>选择结束出牌阶段而不出牌时，当前行动席位立即扣 1 分，记录 PLAY_PHASE_POINT_LOSS 后进入空军阶段；手牌为 0 张时也扣分。发动【征兵】等代替本阶段出牌的效果时不扣分。合法打出的牌后来被取消或效果失效，不按不出牌扣分；重复或过期命令不得重复扣分。</w:t>
            </w:r>
          </w:p>
        </w:tc>
      </w:tr>
      <w:tr w14:paraId="64A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5BF395DF">
            <w:pPr>
              <w:keepNext w:val="0"/>
            </w:pPr>
            <w:r>
              <w:rPr>
                <w:rFonts w:ascii="微软雅黑" w:hAnsi="微软雅黑" w:eastAsia="微软雅黑"/>
                <w:color w:val="202124"/>
                <w:sz w:val="18"/>
              </w:rPr>
              <w:t>主动弃牌费用</w:t>
            </w:r>
          </w:p>
        </w:tc>
        <w:tc>
          <w:tcPr>
            <w:tcW w:w="7160" w:type="dxa"/>
            <w:shd w:val="clear" w:color="auto" w:fill="F4F6F9"/>
            <w:tcMar>
              <w:top w:w="80" w:type="dxa"/>
              <w:left w:w="120" w:type="dxa"/>
              <w:bottom w:w="80" w:type="dxa"/>
              <w:right w:w="120" w:type="dxa"/>
            </w:tcMar>
            <w:vAlign w:val="center"/>
          </w:tcPr>
          <w:p w14:paraId="70E9B8BA">
            <w:pPr>
              <w:keepNext w:val="0"/>
            </w:pPr>
            <w:r>
              <w:rPr>
                <w:rFonts w:ascii="微软雅黑" w:hAnsi="微软雅黑" w:eastAsia="微软雅黑"/>
                <w:color w:val="202124"/>
                <w:sz w:val="18"/>
              </w:rPr>
              <w:t>发动需要弃 N 张手牌作为费用的行动、增强或卡牌时，必须至少有 1 张可支付费用的手牌；准备打出的源卡不计入，因此仅剩该源卡时不能发动。任意手牌费用不足 N 张时，必须先弃光可用手牌，缺额逐张弃置本席位牌库顶；牌库不足的每 1 张改扣该席位 1 分。手牌足够时不得主动改用牌库或扣分。</w:t>
              <w:br/>
              <w:t>牌面指定牌名或牌种的费用仍必须满足，不能以牌库顶或扣分替代；混合费用中只允许任意手牌部分使用缺额规则。被迫弃牌及效果执行后要求弃牌，不等同于发动费用。</w:t>
            </w:r>
          </w:p>
        </w:tc>
      </w:tr>
      <w:tr w14:paraId="05AE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65D100">
            <w:pPr>
              <w:keepNext w:val="0"/>
            </w:pPr>
            <w:r>
              <w:rPr>
                <w:rFonts w:ascii="微软雅黑" w:hAnsi="微软雅黑" w:eastAsia="微软雅黑"/>
                <w:color w:val="202124"/>
                <w:sz w:val="18"/>
              </w:rPr>
              <w:t>被迫弃手牌</w:t>
            </w:r>
          </w:p>
        </w:tc>
        <w:tc>
          <w:tcPr>
            <w:tcW w:w="7160" w:type="dxa"/>
            <w:tcMar>
              <w:top w:w="80" w:type="dxa"/>
              <w:left w:w="120" w:type="dxa"/>
              <w:bottom w:w="80" w:type="dxa"/>
              <w:right w:w="120" w:type="dxa"/>
            </w:tcMar>
            <w:vAlign w:val="center"/>
          </w:tcPr>
          <w:p w14:paraId="4897D460">
            <w:pPr>
              <w:keepNext w:val="0"/>
            </w:pPr>
            <w:r>
              <w:rPr>
                <w:rFonts w:ascii="微软雅黑" w:hAnsi="微软雅黑" w:eastAsia="微软雅黑"/>
                <w:color w:val="202124"/>
                <w:sz w:val="18"/>
              </w:rPr>
              <w:t>若对手效果或强制效果要求该玩家弃置 N 张手牌，则实际弃置 min(N, 当前手牌数)；手牌不足时弃光，不因缺少的张数额外扣分。</w:t>
            </w:r>
          </w:p>
        </w:tc>
      </w:tr>
      <w:tr w14:paraId="6D23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15E8297F">
            <w:pPr>
              <w:keepNext w:val="0"/>
            </w:pPr>
            <w:r>
              <w:rPr>
                <w:rFonts w:ascii="微软雅黑" w:hAnsi="微软雅黑" w:eastAsia="微软雅黑"/>
                <w:color w:val="202124"/>
                <w:sz w:val="18"/>
              </w:rPr>
              <w:t>弃牌阶段</w:t>
            </w:r>
          </w:p>
        </w:tc>
        <w:tc>
          <w:tcPr>
            <w:tcW w:w="7160" w:type="dxa"/>
            <w:shd w:val="clear" w:color="auto" w:fill="F4F6F9"/>
            <w:tcMar>
              <w:top w:w="80" w:type="dxa"/>
              <w:left w:w="120" w:type="dxa"/>
              <w:bottom w:w="80" w:type="dxa"/>
              <w:right w:w="120" w:type="dxa"/>
            </w:tcMar>
            <w:vAlign w:val="center"/>
          </w:tcPr>
          <w:p>
            <w:pPr>
              <w:keepNext w:val="0"/>
            </w:pPr>
            <w:r>
              <w:t>有至少 1 张手牌时，正常选择范围为 1 至全部手牌；也允许明确选择 0 张。若本阶段实际弃置 0 张，包括手牌原本为 0 张，立即扣 1 分并记录 DISCARD_PHASE_POINT_LOSS。</w:t>
            </w:r>
          </w:p>
        </w:tc>
      </w:tr>
      <w:tr w14:paraId="7789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0E81F6">
            <w:pPr>
              <w:keepNext w:val="0"/>
            </w:pPr>
            <w:r>
              <w:rPr>
                <w:rFonts w:ascii="微软雅黑" w:hAnsi="微软雅黑" w:eastAsia="微软雅黑"/>
                <w:color w:val="202124"/>
                <w:sz w:val="18"/>
              </w:rPr>
              <w:t>正常摸牌遇到空牌库</w:t>
            </w:r>
          </w:p>
        </w:tc>
        <w:tc>
          <w:tcPr>
            <w:tcW w:w="7160" w:type="dxa"/>
            <w:tcMar>
              <w:top w:w="80" w:type="dxa"/>
              <w:left w:w="120" w:type="dxa"/>
              <w:bottom w:w="80" w:type="dxa"/>
              <w:right w:w="120" w:type="dxa"/>
            </w:tcMar>
            <w:vAlign w:val="center"/>
          </w:tcPr>
          <w:p w14:paraId="42595016">
            <w:pPr>
              <w:keepNext w:val="0"/>
            </w:pPr>
            <w:r>
              <w:rPr>
                <w:rFonts w:ascii="微软雅黑" w:hAnsi="微软雅黑" w:eastAsia="微软雅黑"/>
                <w:color w:val="202124"/>
                <w:sz w:val="18"/>
              </w:rPr>
              <w:t>DRAW 只摸现有牌；牌库为空或不足以摸至 7 张时停止，不扣分。</w:t>
            </w:r>
          </w:p>
        </w:tc>
      </w:tr>
      <w:tr w14:paraId="1C0A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3C16D11D">
            <w:pPr>
              <w:keepNext w:val="0"/>
            </w:pPr>
            <w:r>
              <w:rPr>
                <w:rFonts w:ascii="微软雅黑" w:hAnsi="微软雅黑" w:eastAsia="微软雅黑"/>
                <w:color w:val="202124"/>
                <w:sz w:val="18"/>
              </w:rPr>
              <w:t>弃牌库顶遇到不足</w:t>
            </w:r>
          </w:p>
        </w:tc>
        <w:tc>
          <w:tcPr>
            <w:tcW w:w="7160" w:type="dxa"/>
            <w:shd w:val="clear" w:color="auto" w:fill="F4F6F9"/>
            <w:tcMar>
              <w:top w:w="80" w:type="dxa"/>
              <w:left w:w="120" w:type="dxa"/>
              <w:bottom w:w="80" w:type="dxa"/>
              <w:right w:w="120" w:type="dxa"/>
            </w:tcMar>
            <w:vAlign w:val="center"/>
          </w:tcPr>
          <w:p w14:paraId="3BC3CF2F">
            <w:pPr>
              <w:keepNext w:val="0"/>
            </w:pPr>
            <w:r>
              <w:rPr>
                <w:rFonts w:ascii="微软雅黑" w:hAnsi="微软雅黑" w:eastAsia="微软雅黑"/>
                <w:color w:val="202124"/>
                <w:sz w:val="18"/>
              </w:rPr>
              <w:t>DISCARD_DECK_TOP(N) 逐张处理 N 次：牌库仍有牌则弃置牌库顶；没有牌则该牌库所属国家每缺 1 张扣 1 分。该规则不区分效果由自己还是对手发起。</w:t>
            </w:r>
          </w:p>
        </w:tc>
      </w:tr>
    </w:tbl>
    <w:p w14:paraId="293DA7F8">
      <w:pPr>
        <w:spacing w:after="20"/>
      </w:pPr>
    </w:p>
    <w:p w14:paraId="49B963FF">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不要共用错误函数　</w:t>
      </w:r>
      <w:r>
        <w:rPr>
          <w:rFonts w:ascii="微软雅黑" w:hAnsi="微软雅黑" w:eastAsia="微软雅黑"/>
        </w:rPr>
        <w:t>DRAW、主动支付手牌费用、被迫弃手牌、弃牌阶段弃牌和弃牌库顶是五种不同规则语义。可以共享底层移牌工具，但不能用一个“尽可能弃牌”函数替代它们的合法性与缺额后果。</w:t>
      </w:r>
    </w:p>
    <w:p>
      <w:pPr>
        <w:pStyle w:val="5"/>
      </w:pPr>
      <w:r>
        <w:rPr>
          <w:color w:val="000000"/>
        </w:rPr>
        <w:t>8.4.6 多项效果与已确认判例</w:t>
      </w:r>
    </w:p>
    <w:p>
      <w:pPr>
        <w:keepNext w:val="0"/>
      </w:pPr>
      <w:r>
        <w:t>没有因果依赖的多项效果可以只执行其中一部分，包括主动跳过本来可以执行的独立效果。未跳过的效果仍按牌面顺序执行，不能借部分执行改变先后顺序；明确允许任意顺序的卡牌除外。每项效果及其嵌套结算完成后，再处理下一项。</w:t>
      </w:r>
    </w:p>
    <w:p>
      <w:pPr>
        <w:keepNext w:val="0"/>
      </w:pPr>
      <w:r>
        <w:t>费用不可作为普通效果跳过。引用“该部队”“以此法获得”等前项结果的效果，必须取得该结果；不得用无关对象替代。强制整体操作按其专门裁决执行。条件约束哪些效果须按已确认语义记录；句号是本次【轰炸东京】判例的依据，不能自动推广为全部卡牌的解析规则。</w:t>
      </w:r>
    </w:p>
    <w:p>
      <w:pPr>
        <w:keepNext w:val="0"/>
      </w:pPr>
      <w:r>
        <w:t>如果玩家所有非费用效果都不想执行，则不允许打出，必须撤回。界面在正式提交前应确认至少一项将执行的效果；全部跳过时回到原来源区域的选择状态，不消耗出牌次数、不支付费用、不触发打出事件。已经发生的合法效果，不因后续效果不能执行而撤销。全跳过的主动撤回与结算后被阻止或取消须分开处理，不能把无状态变化一律判成非法出牌。</w:t>
      </w:r>
    </w:p>
    <w:p>
      <w:pPr>
        <w:keepNext w:val="0"/>
      </w:pPr>
      <w:r>
        <w:t>判例A　日本【奇袭】：满足原触发条件后，可以跳过额外海战，只发起陆战；若两项都执行，必须先额外海战、再陆战。跳过额外海战不代表可以跳过这张响应牌本身的触发条件。</w:t>
      </w:r>
    </w:p>
    <w:p>
      <w:pPr>
        <w:keepNext w:val="0"/>
      </w:pPr>
      <w:r>
        <w:t>判例B　德国【阿登战役】：可以跳过西欧的陆战，直接在西欧建设，但仍须满足建设条件。若先进行陆战，敌军被防御保住，或敌军多于一支而一次战斗未清空敌军，则跳过无法执行的建设，保留已经发生的战斗与其结算结果。</w:t>
      </w:r>
    </w:p>
    <w:p>
      <w:pPr>
        <w:keepNext w:val="0"/>
      </w:pPr>
      <w:r>
        <w:t>判例C　美国【先开火后谈判】：后半段明确引用“该海军”，所以必须完成前面的建设，不能跳过建设直接引用已有海军。但允许在已有美国海军的合法地区原地重复建设；这仍算完成建设，后续可使用该地区已有海军作为“该海军”，不新增第二支美国海军。原地重复建设也不能免除建设的地区与补给合法性条件。</w:t>
      </w:r>
    </w:p>
    <w:p>
      <w:pPr>
        <w:keepNext w:val="0"/>
      </w:pPr>
      <w:r>
        <w:t>判例D　德国【白色方案】：可以跳过东欧征召，只执行最后打出1张手牌；牌堆顶1张牌属于费用，仍必须处理。牌库不足时沿用8.4.5的弃牌库顶缺额扣分规则，不能因选择部分效果省略该费用。</w:t>
      </w:r>
    </w:p>
    <w:p>
      <w:pPr>
        <w:keepNext w:val="0"/>
      </w:pPr>
      <w:r>
        <w:t>判例E　美国【轰炸东京】：前面的距离与补给条件只约束日本弃牌库顶1张；句号之后“美国获得3分”是独立效果。条件不满足时，仍可只执行美国获得3分。</w:t>
      </w:r>
    </w:p>
    <w:p>
      <w:pPr>
        <w:keepNext w:val="0"/>
      </w:pPr>
      <w:r>
        <w:t>判例F　苏联【西伯利亚铁路】：必须收回全部苏联陆军，不能只收回一部分；随后必须依次重新建设全部被收回的陆军，不能主动少建。仅当没有合法区域可继续建设时，未能重新建设的剩余兵模留在储备。德国【高速公路】与美国【战区移动】采用相同的“收回全部，再依次重新建设这些陆军”语义。</w:t>
      </w:r>
    </w:p>
    <w:p>
      <w:pPr>
        <w:pStyle w:val="5"/>
      </w:pPr>
      <w:r>
        <w:rPr>
          <w:color w:val="000000"/>
        </w:rPr>
        <w:t>8.4.7 特殊卡牌解释与额外打牌</w:t>
      </w:r>
    </w:p>
    <w:p>
      <w:pPr>
        <w:keepNext w:val="0"/>
      </w:pPr>
      <w:r>
        <w:t>【配给】开发备注：牌面“此卡牌”指【配给】自身，不是触发它的那张牌。卡面文字不改；解释存于开发备注。【配给】结算后的去向是所属摸牌堆并洗混，不再执行默认弃牌。其结算中区域与最终去向应统一处理，防止同一实例同时出现在两个区域。</w:t>
      </w:r>
    </w:p>
    <w:p>
      <w:pPr>
        <w:keepNext w:val="0"/>
      </w:pPr>
      <w:r>
        <w:t>【广阔的资源】等“打出另一张牌”的效果允许打出【空中力量】，执行其空军行动并检查合法目标；若打出增强牌，仍须满足增强牌本来的阶段、触发时点、条件和费用。额外打牌不等于无条件发动所选卡牌的效果。</w:t>
      </w:r>
    </w:p>
    <w:p>
      <w:pPr>
        <w:keepNext w:val="0"/>
      </w:pPr>
      <w:r>
        <w:t>【威瑟演习作战】【瑞典支援芬兰】中的“涉及斯堪的纳维亚的卡”，指卡牌效果描述中明确提到“斯堪的纳维亚”地区名的卡。不能仅因某张卡的作用范围能够覆盖该地区就将其列入候选。以当前卡牌表的规范化效果文本生成对应地区提及标签；卡名不作为此筛选依据。</w:t>
      </w:r>
    </w:p>
    <w:p>
      <w:pPr>
        <w:keepNext w:val="0"/>
      </w:pPr>
      <w:r>
        <w:t>通过上述效果打出增强牌，仍检查增强牌本来的打出条件。通过额外打牌打出【强占阿尔汉格尔斯克】时，仍须在斯堪的纳维亚和罗斯地区都存在轴心国陆军，才执行其效果；不得把“额外打出”当成绕过这两个地区条件的许可。本卡与【轰炸东京】的条件范围分别按各自裁决实现。</w:t>
      </w:r>
    </w:p>
    <w:p>
      <w:pPr>
        <w:keepNext w:val="0"/>
      </w:pPr>
      <w:r>
        <w:t>【巴巴罗萨】以打出该牌时的局面确定候选苏联陆军，记录候选部队实例；不再使用本回合开始时的局面。依次处理各次陆战时仍重新验证当前战斗合法性，不能把后来才变得相邻的部队补入最初候选。</w:t>
      </w:r>
    </w:p>
    <w:p>
      <w:pPr>
        <w:pStyle w:val="5"/>
      </w:pPr>
      <w:r>
        <w:rPr>
          <w:color w:val="000000"/>
        </w:rPr>
        <w:t>8.4.8 美英法共享补给</w:t>
      </w:r>
    </w:p>
    <w:p>
      <w:pPr>
        <w:keepNext w:val="0"/>
      </w:pPr>
      <w:r>
        <w:t>【盟军远征部队最高司令部】生效时，美国、英国、法国的补给网络合并计算。其陆军的补给条件改为：处于有效补给点，或邻接一支处于补给状态的美、英、法部队。海军仍必须同时满足：邻接至少一支本国或友军陆军；邻接一支处于补给状态的美、英、法部队。第一项陆军锚点不要求自身有补给，也不限于美英法。</w:t>
      </w:r>
    </w:p>
    <w:p>
      <w:pPr>
        <w:keepNext w:val="0"/>
      </w:pPr>
      <w:r>
        <w:t>从有效补给源出发对三国共同迭代，直到没有新的补给部队加入；不能先分别算完三国再只合并结果，也不能让没有有效源的循环相邻部队自行获得补给。用户确认的同区含义是：若英国在A地区视为有补给，美国、法国在A地区也视为有补给；适用兵种仍须满足相应陆军或海军条件。</w:t>
      </w:r>
    </w:p>
    <w:p>
      <w:pPr>
        <w:keepNext w:val="0"/>
      </w:pPr>
      <w:r>
        <w:t>共享补给不共享建设来源。建设仍要求目标是建设国的大本营，或邻接一支处于补给状态的本国部队，并满足其余建设条件。只与有补给的友军相邻、且不在本国大本营，即使放置后能获得共享补给，也不能据此建设。</w:t>
      </w:r>
    </w:p>
    <w:p>
      <w:pPr>
        <w:keepNext w:val="0"/>
      </w:pPr>
      <w:r>
        <w:t>例如：目标不是美国大本营，附近只有有补给的英国陆军、没有相邻的美国补给部队，则美国不能在那里建设。若另有一支通过共享网络获得补给的美国部队与目标相邻，才具备本国建设来源。状态失效或离场后恢复三国独立的补给查询；补给状态变化与按指定阶段清除部队分别处理。</w:t>
      </w:r>
    </w:p>
    <w:p>
      <w:pPr>
        <w:pStyle w:val="5"/>
        <w:keepNext/>
      </w:pPr>
      <w:r>
        <w:t>8.4.9 v2 补充裁决与跨国操作</w:t>
      </w:r>
    </w:p>
    <w:p>
      <w:r>
        <w:t>【西班牙蓝色师】由意大利一侧使苏联失去一张已有暗置响应。由于意大利不知道暗置牌身份，实际处理为使用可复现的随机状态随机弃掉一张苏联已有响应；不让苏联自行选择，也不通过公开日志泄露被弃牌名。</w:t>
      </w:r>
    </w:p>
    <w:p>
      <w:r>
        <w:t>建设陆军、建设海军以及部署或调度空军，由部队所属国家对应的席位选择；征召仍由发动效果的一方选择。法国部队对应英国席位，中国部队对应美国席位。此操作归属独立于卡牌所属主牌堆。</w:t>
      </w:r>
    </w:p>
    <w:p>
      <w:r>
        <w:t>【摩尔曼斯克运输船队】先由美国征召苏联陆军，再由苏联选择建设；【伦敦上空的鹰】由英国选择部署空军。【钢铁条约】仅在意大利自己的回合提供询问。</w:t>
      </w:r>
    </w:p>
    <w:p>
      <w:r>
        <w:t>调度动作本身不额外收费。空军阶段主动调度收取该入口的一张手牌费用；卡牌产生的调度按该卡费用处理，不重复收取空军阶段入口费。【意大利尽早完成航母】保留其牌面一张弃手牌费用。</w:t>
      </w:r>
    </w:p>
    <w:p>
      <w:r>
        <w:t>新增私人补给点的计分按已确认裁决执行：【迁都古比雪夫】的西伯利亚对苏联、【重庆国民政府】的中国西部对中国具有计分资格；【波兰主权】的东欧对英国、【塞内加尔步兵团】的非洲南部对法国仅提供相应补给而不增加计分资格。状态离场后撤销新增资格。</w:t>
      </w:r>
    </w:p>
    <w:p>
      <w:pPr>
        <w:pStyle w:val="3"/>
        <w:keepNext/>
      </w:pPr>
      <w:r>
        <w:t>9 v2 主界面与房间身份</w:t>
      </w:r>
    </w:p>
    <w:p>
      <w:pPr>
        <w:pStyle w:val="4"/>
        <w:keepNext/>
      </w:pPr>
      <w:r>
        <w:t>9.1 主游玩面板</w:t>
      </w:r>
    </w:p>
    <w:p>
      <w:r>
        <w:t>主要操作都在地图内完成：卡牌从相应资料窗口选择，地区和兵模直接在地图点选，地图上方显示当前需要本人处理的步骤。底部保留阶段信息、资料按钮和正常模式下的回退一步。地图支持地区检索、居中、边界显示、拖动以及局部全屏；全屏时可滚轮缩放，退出全屏或按 Esc 恢复。</w:t>
      </w:r>
    </w:p>
    <w:p>
      <w:r>
        <w:t>主面板下方紧接房间座位，二者之间不插入常驻说明。GM 的可展开工具放在座位下方。其他国家正在操作或响应时，不在地图上方持续显示“等待其他玩家回应中”；回合归属由左下角阶段信息说明。</w:t>
      </w:r>
    </w:p>
    <w:p>
      <w:r>
        <w:t>需要本人选择卡牌时自动打开相应资料窗口；多个来源同时可用时，对应按钮同时高亮。单击选择、再次单击取消，确认后提交；可跳过步骤提供跳过，费用和必做步骤不伪装成可选。卡牌名称可打开卡牌索引。</w:t>
      </w:r>
    </w:p>
    <w:tbl>
      <w:tblPr>
        <w:tblW w:type="auto" w:w="0"/>
        <w:jc w:val="center"/>
        <w:tblLayout w:type="fixed"/>
        <w:tblLook w:firstColumn="1" w:firstRow="1" w:lastColumn="0" w:lastRow="0" w:noHBand="0" w:noVBand="1" w:val="04A0"/>
      </w:tblPr>
      <w:tblGrid>
        <w:gridCol w:w="2376"/>
        <w:gridCol w:w="6984"/>
      </w:tblGrid>
      <w:tr>
        <w:trPr>
          <w:cantSplit/>
          <w:tblHeader/>
        </w:trPr>
        <w:tc>
          <w:tcPr>
            <w:tcW w:type="dxa" w:w="237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资料按钮</w:t>
            </w:r>
          </w:p>
        </w:tc>
        <w:tc>
          <w:tcPr>
            <w:tcW w:type="dxa" w:w="698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当前内容</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手牌</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当前视角国家的手牌；可操作身份在合法时点选择卡牌。</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兵模储备</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按剩余兵模数量逐个显示对应图标；英国含法国，美国含中国。</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弃牌堆</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当前国家自己的完整弃牌堆，包含非公开弃牌。</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牌库</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按卡牌目录顺序展示当前牌库卡牌，不暴露真实抽牌顺序；特定排序效果按其临时窗口处理。</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持续生效与暗置卡牌</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当前国家持续状态、暗置卡牌及相关结算中来源。</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对局记录</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仅包含公开行动；右侧竖排六国按钮打开该国公开信息。</w:t>
            </w:r>
          </w:p>
        </w:tc>
      </w:tr>
    </w:tbl>
    <w:p/>
    <w:p>
      <w:pPr>
        <w:pStyle w:val="4"/>
        <w:keepNext/>
      </w:pPr>
      <w:r>
        <w:t>9.2 房间座位与观察者</w:t>
      </w:r>
    </w:p>
    <w:p>
      <w:r>
        <w:t>房间座位分两行，每行七个位置。第一行依次为德国、英国、日本、苏联、意大利、美国、GM；第二行是对应六国观察者，最右为通用观察者。这是角色入口的数量，不是已实现的联网人数或账号上限。</w:t>
      </w:r>
    </w:p>
    <w:tbl>
      <w:tblPr>
        <w:tblW w:type="auto" w:w="0"/>
        <w:jc w:val="center"/>
        <w:tblLayout w:type="fixed"/>
        <w:tblLook w:firstColumn="1" w:firstRow="1" w:lastColumn="0" w:lastRow="0" w:noHBand="0" w:noVBand="1" w:val="04A0"/>
      </w:tblPr>
      <w:tblGrid>
        <w:gridCol w:w="1440"/>
        <w:gridCol w:w="3744"/>
        <w:gridCol w:w="4176"/>
      </w:tblGrid>
      <w:tr>
        <w:trPr>
          <w:cantSplit/>
          <w:tblHeader/>
        </w:trPr>
        <w:tc>
          <w:tcPr>
            <w:tcW w:type="dxa" w:w="1440"/>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身份</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能看什么</w:t>
            </w:r>
          </w:p>
        </w:tc>
        <w:tc>
          <w:tcPr>
            <w:tcW w:type="dxa" w:w="417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能做什么</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国家玩家</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本国手牌、完整弃牌、暗置牌与其他本国资料，以及全局公开信息。</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仅在规则允许时代表本国操作。完成起手、结束回合后仍停留本国；只通过房间座位更换国家。</w:t>
            </w:r>
          </w:p>
        </w:tc>
      </w:tr>
      <w:tr>
        <w:trPr>
          <w:cantSplit/>
        </w:trPr>
        <w:tc>
          <w:tcPr>
            <w:tcW w:type="dxa" w:w="14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GM</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可在结算与响应查看中切换六国视角，查看管理和诊断数据。</w:t>
            </w:r>
          </w:p>
        </w:tc>
        <w:tc>
          <w:tcPr>
            <w:tcW w:type="dxa" w:w="41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正常模式可操作、编辑与读写存档；保留原自动跳国逻辑。</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国家观察者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与对应国家玩家相同的资料可见范围。</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只查看地图和资料窗口；不能出牌、作答、推进阶段、设置响应或回退。关闭通知只在本地隐藏。</w:t>
            </w:r>
          </w:p>
        </w:tc>
      </w:tr>
      <w:tr>
        <w:trPr>
          <w:cantSplit/>
        </w:trPr>
        <w:tc>
          <w:tcPr>
            <w:tcW w:type="dxa" w:w="14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通用观察者</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公开地图、对局记录和六国公开信息。</w:t>
            </w:r>
          </w:p>
        </w:tc>
        <w:tc>
          <w:tcPr>
            <w:tcW w:type="dxa" w:w="41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底部只保留对局记录；不加载手牌、私有弃牌及私有响应弹窗。</w:t>
            </w:r>
          </w:p>
        </w:tc>
      </w:tr>
    </w:tbl>
    <w:p/>
    <w:p>
      <w:r>
        <w:t>GM 的响应快捷按钮位于地图上方，可列出一个或多个当前有合法待响应事项的国家。切往其他国家后保留“返回原国家继续操作”按钮；触发、支付费用或结束本次响应后均可返回。此便利操作不改变普通国家座位固定视角的规则。</w:t>
      </w:r>
    </w:p>
    <w:p>
      <w:r>
        <w:t>观察者限制同时落实到界面与本地控制器。当前仍属于同设备运行；浏览器内存在完整本地状态，不把本地隐藏视为联网安全隔离。服务端私密投影和身份校验是 v3 的工作。</w:t>
      </w:r>
    </w:p>
    <w:p>
      <w:pPr>
        <w:pStyle w:val="4"/>
        <w:keepNext/>
      </w:pPr>
      <w:r>
        <w:t>9.3 卡牌与兵模展示</w:t>
      </w:r>
    </w:p>
    <w:p>
      <w:r>
        <w:t>地图兵模使用原始图标的圆形部分，保留各国底色、外圈与兵种轮廓。英国海军按与其他图标一致的尺寸裁为黑色边界圆形，不把四角黑底一起显示。23 张素材覆盖八国，唯中国没有海军。</w:t>
      </w:r>
    </w:p>
    <w:tbl>
      <w:tblPr>
        <w:tblW w:type="auto" w:w="0"/>
        <w:jc w:val="center"/>
        <w:tblLayout w:type="fixed"/>
        <w:tblLook w:firstColumn="1" w:firstRow="1" w:lastColumn="0" w:lastRow="0" w:noHBand="0" w:noVBand="1" w:val="04A0"/>
      </w:tblPr>
      <w:tblGrid>
        <w:gridCol w:w="1728"/>
        <w:gridCol w:w="3312"/>
        <w:gridCol w:w="4320"/>
      </w:tblGrid>
      <w:tr>
        <w:trPr>
          <w:cantSplit/>
          <w:tblHeader/>
        </w:trPr>
        <w:tc>
          <w:tcPr>
            <w:tcW w:type="dxa" w:w="1728"/>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国家</w:t>
            </w:r>
          </w:p>
        </w:tc>
        <w:tc>
          <w:tcPr>
            <w:tcW w:type="dxa" w:w="3312"/>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素材配色</w:t>
            </w:r>
          </w:p>
        </w:tc>
        <w:tc>
          <w:tcPr>
            <w:tcW w:type="dxa" w:w="4320"/>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兵种</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德国</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黑灰</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日本</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红白</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意大利</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黑紫</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法国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蓝绿</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英国</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黑黄</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美国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蓝黑</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苏联</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黑红</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中国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蓝红</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空军</w:t>
            </w:r>
          </w:p>
        </w:tc>
      </w:tr>
    </w:tbl>
    <w:p/>
    <w:p>
      <w:r>
        <w:t>地图上的空军与依托部队按既有叠放方式显示，选择状态仍有轮廓和编号。储备窗口按国家与兵种分行摆放剩余兵模，宽度随最长一行收紧，不保留整屏空白；六国公开信息页中的储备仍使用文字数量。牌库和弃牌堆采用较窄的三列卡牌窗口。</w:t>
      </w:r>
    </w:p>
    <w:p>
      <w:pPr>
        <w:pStyle w:val="3"/>
        <w:keepNext/>
      </w:pPr>
      <w:r>
        <w:t>10 全国响应与逐步结算交互</w:t>
      </w:r>
    </w:p>
    <w:p>
      <w:pPr>
        <w:pStyle w:val="4"/>
        <w:keepNext/>
      </w:pPr>
      <w:r>
        <w:t>10.1 候选与回答国家</w:t>
      </w:r>
    </w:p>
    <w:p>
      <w:r>
        <w:t>所有候选由规则核心生成并在提交时再次验证。新局默认允许其他国家响应；强制效果、持续修正和直接要求他国作选择，不因关闭可选他国响应而被跳过。响应仍只从合法暗置区检查，增强从符合原时点和费用条件的合法来源检查。</w:t>
      </w:r>
    </w:p>
    <w:p>
      <w:r>
        <w:t>同一时点可有多个国家具备候选；当前 ChoiceRequest 指定实际应答国家，引擎按窗口规则逐次处理。GM 快捷按钮只是便于切换，不代表多个命令可以并发越过当前选择。可选响应没有倒计时，不自动代答。</w:t>
      </w:r>
    </w:p>
    <w:p>
      <w:r>
        <w:t>响应和增强卡提供默认勾选的逐卡响应开关。取消勾选只关闭该实例尚未发动的询问；重新勾选参与后续合法时点，已发动的效果继续结算。开关随对局保存，但不独立增加一次回退。观察者和回放模式不可修改。</w:t>
      </w:r>
    </w:p>
    <w:p>
      <w:pPr>
        <w:pStyle w:val="4"/>
        <w:keepNext/>
      </w:pPr>
      <w:r>
        <w:t>10.2 地图内逐步执行</w:t>
      </w:r>
    </w:p>
    <w:p>
      <w:r>
        <w:t>战斗通常依次选择目标地区、防守兵模、发起部队；只有一个合法候选时可省略不必要的选择。空军防御由防守方决定，拦截由发起方决定；部队实际移除后才处理空军失去依托的免费调度。</w:t>
      </w:r>
    </w:p>
    <w:p>
      <w:r>
        <w:t>多效果卡逐项决定，后续选择可使用前面结果。确认首个实际效果才正式宣告并开放响应；全部主动跳过时恢复未打出状态。一旦正式发动，不能通过跳过后续效果撤销已发生的卡牌、费用和响应。相关回滚快照随存档保存。</w:t>
      </w:r>
    </w:p>
    <w:p>
      <w:r>
        <w:t>【民主兵工厂】首次选择陆地或海域决定陆海建设次序；【卓越规划】临时展示牌库顶至多四张，点击顺序决定放回顺序；普通牌库窗口仍按目录排列。【巴巴罗萨】先确定最多三个苏联目标兵模与顺序，各次作战重新选择合法发起部队，不补入新目标。</w:t>
      </w:r>
    </w:p>
    <w:p>
      <w:r>
        <w:t>弃牌库顶等需要说明实际处理结果的效果，可向规则指定接收者显示结果通知与卡牌索引。这类私有通知不同于公开对局记录，不能无条件广播给通用观察者。</w:t>
      </w:r>
    </w:p>
    <w:p>
      <w:pPr>
        <w:pStyle w:val="3"/>
        <w:keepNext/>
      </w:pPr>
      <w:r>
        <w:t>11 公开记录与信息可见性</w:t>
      </w:r>
    </w:p>
    <w:p>
      <w:pPr>
        <w:pStyle w:val="4"/>
        <w:keepNext/>
      </w:pPr>
      <w:r>
        <w:t>11.1 对局记录的范围</w:t>
      </w:r>
    </w:p>
    <w:p>
      <w:r>
        <w:t>对局记录只描述已发生且全局可见的行动：打出卡牌、翻开响应、发动持续状态、实际执行效果、地图兵模变化和空军调度。暗置只写某国暗置了一张响应，不显示牌名。</w:t>
      </w:r>
    </w:p>
    <w:p>
      <w:r>
        <w:t>不记录没有执行的行动，不为等待和跳过生成公开流水；不把普通补给、计分、弃牌、摸牌和阶段推进逐项刷入公开记录。若该阶段触发额外卡牌效果，则记录实际额外效果。普通弃牌数量、支付费用所弃牌名以及隐藏牌库顺序不公开。</w:t>
      </w:r>
    </w:p>
    <w:p>
      <w:pPr>
        <w:pStyle w:val="4"/>
        <w:keepNext/>
      </w:pPr>
      <w:r>
        <w:t>11.2 六国公开信息</w:t>
      </w:r>
    </w:p>
    <w:p>
      <w:r>
        <w:t>对局记录窗口右侧竖排六国按钮。点击后展示该国手牌数、牌库剩余张数、兵模储备、具体持续生效卡牌、暗置卡牌数量和可见弃牌堆；这些按钮不改变操作席位。暗置区只给数量，不显示具体卡。</w:t>
      </w:r>
    </w:p>
    <w:p>
      <w:r>
        <w:t>可见弃牌堆只收录因公开打出、翻开响应或公开弃置状态而已知的卡牌，并要求卡牌当前仍在该国弃牌堆。弃牌阶段暗弃、费用弃牌和非公开弃牌库顶均不进入。已知卡返回手牌、牌库、暗置等隐藏区域后清除其公开身份，之后再次暗弃不能沿用旧标记泄露。</w:t>
      </w:r>
    </w:p>
    <w:p>
      <w:r>
        <w:t>旧存档缺少公开身份或公开日志字段时，不从全知调试事件猜测历史。公开信息从有标记的后续行动开始累积；可见弃牌堆与本国完整弃牌堆始终是两个概念。</w:t>
      </w:r>
    </w:p>
    <w:p>
      <w:pPr>
        <w:pStyle w:val="4"/>
        <w:keepNext/>
      </w:pPr>
      <w:r>
        <w:t>11.3 两类记录的区分</w:t>
      </w:r>
    </w:p>
    <w:tbl>
      <w:tblPr>
        <w:tblW w:type="auto" w:w="0"/>
        <w:jc w:val="center"/>
        <w:tblLayout w:type="fixed"/>
        <w:tblLook w:firstColumn="1" w:firstRow="1" w:lastColumn="0" w:lastRow="0" w:noHBand="0" w:noVBand="1" w:val="04A0"/>
      </w:tblPr>
      <w:tblGrid>
        <w:gridCol w:w="1872"/>
        <w:gridCol w:w="3744"/>
        <w:gridCol w:w="3744"/>
      </w:tblGrid>
      <w:tr>
        <w:trPr>
          <w:cantSplit/>
          <w:tblHeader/>
        </w:trPr>
        <w:tc>
          <w:tcPr>
            <w:tcW w:type="dxa" w:w="1872"/>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项目</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公开对局记录</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全知详细回放</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读者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所有合法查看者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只读回放中的 GM</w:t>
            </w:r>
          </w:p>
        </w:tc>
      </w:tr>
      <w:tr>
        <w:trPr>
          <w:cantSplit/>
        </w:trPr>
        <w:tc>
          <w:tcPr>
            <w:tcW w:type="dxa" w:w="187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暗置响应</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只有暗置动作和张数</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包含具体卡牌身份</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手牌及费用</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不披露隐藏卡牌</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包含起手保留、费用与抽弃牌变化</w:t>
            </w:r>
          </w:p>
        </w:tc>
      </w:tr>
      <w:tr>
        <w:trPr>
          <w:cantSplit/>
        </w:trPr>
        <w:tc>
          <w:tcPr>
            <w:tcW w:type="dxa" w:w="187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阶段与选择</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省略普通推进、等待和未执行动作</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保留恢复所需的实际命令和选择</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点击恢复节点</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不提供</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点击条目显示该操作完成后的局面</w:t>
            </w:r>
          </w:p>
        </w:tc>
      </w:tr>
    </w:tbl>
    <w:p/>
    <w:p>
      <w:pPr>
        <w:pStyle w:val="3"/>
        <w:keepNext/>
      </w:pPr>
      <w:r>
        <w:t>12 GM 管理与存档回放</w:t>
      </w:r>
    </w:p>
    <w:p>
      <w:pPr>
        <w:pStyle w:val="4"/>
        <w:keepNext/>
      </w:pPr>
      <w:r>
        <w:t>12.1 五个可展开工具</w:t>
      </w:r>
    </w:p>
    <w:p>
      <w:r>
        <w:t>房间座位下的管理工具仅对 GM 显示。当前已由最初四栏调整为五栏：存档、读档与备份；结算与响应查看；场景编辑器；回放查看；错误诊断。</w:t>
      </w:r>
    </w:p>
    <w:p>
      <w:r>
        <w:t>结算与响应查看保留六国视角切换、当前结算、当前需要选择的国家及结算帧摘要；已删除完整结算 JSON 查看区。错误诊断保留回放校验、问题与预期结果输入及诊断包导出，供定位程序问题。</w:t>
      </w:r>
    </w:p>
    <w:p>
      <w:pPr>
        <w:pStyle w:val="4"/>
        <w:keepNext/>
      </w:pPr>
      <w:r>
        <w:t>12.2 场景编辑器</w:t>
      </w:r>
    </w:p>
    <w:p>
      <w:r>
        <w:t>场景编辑用于立即修正当前局面，例如按口头裁决调整效果结果；它不重写卡牌文本或规则程序。分数输入离开字段时保存，其余动作点击后立即保存；不再有场景草稿、重置草稿或“局面已修改”常驻提示。正常模式下修正可回退。</w:t>
      </w:r>
    </w:p>
    <w:p>
      <w:r>
        <w:t>添加兵模依次选择国家、兵种、合法地区后添加。移除兵模依次选择国家、兵种和现存对应兵模所在地区后移除；无匹配时显示“无”，不再列出地图上每一支兵模的独立操作行。不得突破兵模总量、地区类型和同国同兵种唯一性等状态约束。</w:t>
      </w:r>
    </w:p>
    <w:p>
      <w:r>
        <w:t>移动卡牌先选主牌堆国家和卡牌，再选择手牌、弃牌、暗置、持续生效、移出游戏或牌库位置。牌库顶是下次抽到的牌，牌库底是最后抽到的牌，牌库中是在包含顶底的所有插入位置中随机选择。卡牌选择列表按实际位置标记牌库顶、中、底。另提供“抽一张牌”和“重洗牌库”，随机操作使用可记录的随机状态。</w:t>
      </w:r>
    </w:p>
    <w:p>
      <w:r>
        <w:t>进行中的结算可以修正其局面数据，随后重新生成当前待选项；正在结算区的卡牌不能直接搬走，也不能通过编辑器任意跳改阶段和规则程序计数器。测试场景置于默认收起的内层可展开栏；“允许其他国家响应”开关位于该栏外，默认打开。载入测试场景替换当前对局。</w:t>
      </w:r>
    </w:p>
    <w:p>
      <w:pPr>
        <w:pStyle w:val="4"/>
        <w:keepNext/>
      </w:pPr>
      <w:r>
        <w:t>12.3 当前局保存与旧局清理</w:t>
      </w:r>
    </w:p>
    <w:p>
      <w:r>
        <w:t>正常模式自动保存当前局到当前浏览器、当前访问地址的 IndexedDB。轮开始大存档从第1轮德国行动前生成；国家小存档保留各国最近一次行动开始状态；回退不跨越本国本次行动起点。对局恢复包含牌库顺序、随机状态、待响应、结算栈与必要回滚数据。</w:t>
      </w:r>
    </w:p>
    <w:p>
      <w:r>
        <w:t>已删除“查看其他本地对局”。创建新局时清除浏览器内旧局的存档、检查点、撤销记录、回放数据和旧诊断失败记录，只保留新局。读取另一局或载入测试场景同样替换当前本地对局。旧窗口不能将已删除的旧局重新写回。用户手动另存到磁盘的 JSON 文件不删除。</w:t>
      </w:r>
    </w:p>
    <w:p>
      <w:r>
        <w:t>导入前先校验格式、规则版本、卡牌实例唯一性、兵模与局面结构、命令恢复一致性；无效文件不得替换当前局。旧规则版本不静默按新规则回放。浏览器存储失败时显示错误并保留当前内存局面，用户可手动导出备份。</w:t>
      </w:r>
    </w:p>
    <w:p>
      <w:pPr>
        <w:pStyle w:val="4"/>
        <w:keepNext/>
      </w:pPr>
      <w:r>
        <w:t>12.4 对局文件与详细回放</w:t>
      </w:r>
    </w:p>
    <w:p>
      <w:r>
        <w:t>正常模式的“导出当前对局文件”生成 quartermaster-replay 格式 JSON，含游戏编号、种子、规则版本、初始完整局面及持续累积的操作记录。记录保留具体起手、暗置和响应选择；GM 修正、回退和读入起点使用有原因的完整局面记录，不因重新设定校验起点而抹去此前历史。</w:t>
      </w:r>
    </w:p>
    <w:p>
      <w:r>
        <w:t>“导入回放”进入只读回放模式，初始坐在 GM；六国玩家座位禁用，只能在 GM 和观察者之间切换。GM 可通过结算与响应查看切换国家视角，但也不能出牌、响应、推进阶段、编辑局面、改变响应开关或回退。刷新浏览器后恢复回放模式和已选节点。</w:t>
      </w:r>
    </w:p>
    <w:p>
      <w:r>
        <w:t>地图底部为回放中的 GM 增加“详细回放记录”，右侧紧接“导出当前对局为存档”。详细记录采用类似公开记录的逐条列表，内容为全知操作和结果；点击任意条目可查看该操作完成后的局面。单条命令内部自动结算的效果合并展示，不提供每个引擎内部原子步的独立跳转。纯视角切换和关闭通知不作为对局动作列出。</w:t>
      </w:r>
    </w:p>
    <w:p>
      <w:r>
        <w:t>详细记录、节点跳转和节点导出仅 GM 可用。国家观察者保留对应国家信息范围，通用观察者仍只看公开信息；不得通过详细回放泄露观察者不应看到的手牌或暗置身份。</w:t>
      </w:r>
    </w:p>
    <w:p>
      <w:r>
        <w:t>恢复续玩流程为：选择记录节点，导出当前对局为存档，再在存档工具中导入这个 JSON。节点文件是普通 quartermaster-save 格式，读入后退出只读模式，从该节点继续玩。新建对局也退出回放并清理旧数据。回放模式中普通完整存档导出禁用，读档仍可用。</w:t>
      </w:r>
    </w:p>
    <w:p>
      <w:r>
        <w:t>旧对局文件若缺少早期动作，以已有完整快照作为起点并标记 fromCreation=false；能恢复已保留的局面，但不能补回从未记录的历史动作。本版不承诺把旧缺失历史自动还原为完整开局录像。</w:t>
      </w:r>
    </w:p>
    <w:p>
      <w:pPr>
        <w:pStyle w:val="4"/>
        <w:keepNext/>
      </w:pPr>
      <w:r>
        <w:t>12.5 回放校验与错误诊断</w:t>
      </w:r>
    </w:p>
    <w:p>
      <w:r>
        <w:t>回放校验从当前校验基准按接受的命令确定性重放，比较所得局面与当前状态，不改变棋局。通过表示相同起点与操作得到一致结果，不等于所有牌面规则或所有卡牌组合均已被证明正确。诊断包包含版本、问题说明、失败命令与当前会话，不能替代公开日志提供给普通观察者。</w:t>
      </w:r>
    </w:p>
    <w:p>
      <w:pPr>
        <w:pStyle w:val="3"/>
        <w:keepNext/>
      </w:pPr>
      <w:r>
        <w:t>13 v2 实现基线与交付</w:t>
      </w:r>
    </w:p>
    <w:p>
      <w:pPr>
        <w:pStyle w:val="4"/>
        <w:keepNext/>
      </w:pPr>
      <w:r>
        <w:t>13.1 模块与数据边界</w:t>
      </w:r>
    </w:p>
    <w:tbl>
      <w:tblPr>
        <w:tblW w:type="auto" w:w="0"/>
        <w:jc w:val="center"/>
        <w:tblLayout w:type="fixed"/>
        <w:tblLook w:firstColumn="1" w:firstRow="1" w:lastColumn="0" w:lastRow="0" w:noHBand="0" w:noVBand="1" w:val="04A0"/>
      </w:tblPr>
      <w:tblGrid>
        <w:gridCol w:w="3024"/>
        <w:gridCol w:w="6336"/>
      </w:tblGrid>
      <w:tr>
        <w:trPr>
          <w:cantSplit/>
          <w:tblHeader/>
        </w:trPr>
        <w:tc>
          <w:tcPr>
            <w:tcW w:type="dxa" w:w="302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模块</w:t>
            </w:r>
          </w:p>
        </w:tc>
        <w:tc>
          <w:tcPr>
            <w:tcW w:type="dxa" w:w="633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当前实现与职责</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src/core</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纯 TypeScript 状态变换、合法性、结算、卡牌、地图、补给与计分。</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GameController 与 LocalGameController</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串行命令、revision 校验、房间访问限制、受控场景编辑和会话发布。</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SessionStore 与 saveFormat</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IndexedDB 当前局、原子替换旧局、存档结构验证、快照和恢复记录。</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controller/replay.ts</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校验回放文件、生成详细条目、恢复指定操作后的状态。</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src/ui 与 ui/map</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地图内选择、卡牌窗口、公开信息、房间身份、GM 工具和只读回放。</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public/assets 与 scripts</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地图与23张兵模素材、本地构建、发布包及浏览器验收脚本。</w:t>
            </w:r>
          </w:p>
        </w:tc>
      </w:tr>
    </w:tbl>
    <w:p/>
    <w:p>
      <w:r>
        <w:t>GameState 区分 activeSeat、viewSeat、operatorSeat；房间身份通过 RoomAccess 区分 player、gm、observer、public。回放状态由控制器与 SessionInfo 标记；它是查看模式，不能借 GM 身份绕开只读限制。v3 必须把这些概念对应到真实连接身份，不能信任客户端自报 seat。</w:t>
      </w:r>
    </w:p>
    <w:p>
      <w:r>
        <w:t>恢复记录以初始 GameState 和 command／restore 两类步骤为核心；节点导出保留到该节点的记录前缀。当前通过状态恢复和完整比较校验一致性，不依赖每一步状态哈希。应用版本0.23.0、规则版本1.2.2与文件格式版本1分别管理。</w:t>
      </w:r>
    </w:p>
    <w:p>
      <w:pPr>
        <w:pStyle w:val="4"/>
        <w:keepNext/>
      </w:pPr>
      <w:r>
        <w:t>13.2 发布与验证证据</w:t>
      </w:r>
    </w:p>
    <w:p>
      <w:r>
        <w:t>v2 收官交付以 v0.23.0 为基线，Windows x64 本地压缩包内置运行时和静态服务，默认地址为 http://127.0.0.1:4173/。应完整解压后启动，保存绑定浏览器与访问地址；手动 JSON 是跨电脑、跨浏览器的备份方式。</w:t>
      </w:r>
    </w:p>
    <w:p>
      <w:r>
        <w:t>截至本次交付，28个测试文件共290项测试通过；类型检查与生产构建通过。浏览器验收覆盖回放导入、GM锁定与只读、详细记录跳转、观察者隔离、刷新恢复、节点导出后续玩以及新局清理，并回归普通国家视角与GM响应返回。</w:t>
      </w:r>
    </w:p>
    <w:p>
      <w:r>
        <w:t>发布校验验证37个包内文件及校验和、从含中文路径且空 PATH 的环境启动、静态资源逐字节一致、端口冲突拒绝和同版本重复启动复用。测试数量是本次交付快照，后续修复应更新证据，不能将数量当作规则无误的保证。</w:t>
      </w:r>
    </w:p>
    <w:p>
      <w:pPr>
        <w:pStyle w:val="3"/>
      </w:pPr>
      <w:r>
        <w:t>14 v3 多人设计与实施计划</w:t>
      </w:r>
    </w:p>
    <w:p>
      <w:r>
        <w:t>本章为用户确认的多人开发方案。复用v2的规则核心、牌组、地图、美术、公开记录、GM工具与恢复机制；新增真实用户身份、独占座位、服务端执行、私密信息分发和断线重连。只设两个阶段：先在一台电脑以多个页面测试，再部署互联网多人；不设置局域网多电脑阶段或相应验收门槛。</w:t>
      </w:r>
    </w:p>
    <w:p>
      <w:pPr>
        <w:pStyle w:val="4"/>
      </w:pPr>
      <w:r>
        <w:t>14.1 服务入口与两个开发阶段</w:t>
      </w:r>
    </w:p>
    <w:p>
      <w:r>
        <w:t>第一阶段只启动一个本机游戏服务，所有页面连接同一地址，例如http://127.0.0.1:4173/。端口标识服务入口，不标识玩家；不为六个国家分别开六个端口，也不运行六份独立棋局。以六个国家页面加一个GM页面为主要测试组合，另开观察者页面检查权限。</w:t>
      </w:r>
    </w:p>
    <w:p>
      <w:r>
        <w:t>第二阶段将同一套服务端部署到互联网服务器，所有用户通过同一个域名入口连接。页面资源与实时连接使用HTTPS和WSS；沿用第一阶段的身份、座位、命令与状态同步协议。服务器部署、证书、连接恢复和跨网络实测属于该阶段，不增加局域网测试前置条件。</w:t>
      </w:r>
    </w:p>
    <w:p>
      <w:r>
        <w:t>每个服务实例先提供一个房间。房间列表、多房间匹配、聊天、商业账号系统和新增玩法不列为本次v3必需范围。互联网部署的具体主机、域名及运行配置在第二阶段开始时确定，不影响第一阶段协议实现。</w:t>
      </w:r>
    </w:p>
    <w:p>
      <w:pPr>
        <w:pStyle w:val="4"/>
      </w:pPr>
      <w:r>
        <w:t>14.2 用户身份与页面连接</w:t>
      </w:r>
    </w:p>
    <w:p>
      <w:r>
        <w:t>首次进入普通入口时，用户填写用户名，创建一个持久身份；服务端分配不可预测的身份凭证。用户名用于显示，不作为认证凭证，输入相同名字不能接管既有身份。页面以身份凭证连接房间；用户身份、当前连接和所占座位分别管理。</w:t>
      </w:r>
    </w:p>
    <w:p>
      <w:r>
        <w:t>同一浏览器允许创建多个测试身份。普通入口提供创建新用户和选择本浏览器已有用户两个入口，不把全浏览器唯一的“当前用户”自动套用到所有标签页。每个页面独立持有自己选择的身份，避免六个页面互相覆盖登录状态。</w:t>
      </w:r>
    </w:p>
    <w:p>
      <w:r>
        <w:t>为身份提供可收藏的专属返回链接。刷新当前页面保持身份；关闭后使用该链接恢复同一身份。重新打开不带身份信息的普通入口时，由用户选择已有身份，不能仅凭同一端口推断六个身份中的哪一个。浏览器保存已有身份列表与凭证；清除浏览器数据后，可通过仍持有的返回链接恢复身份。</w:t>
      </w:r>
    </w:p>
    <w:p>
      <w:r>
        <w:t>返回链接属于身份凭证，不是给其他人分发的房间邀请。互联网用户共享普通房间入口，各自创建并保存自己的身份。实现时可用URL片段传递返回凭证，再经加密连接认证，避免将凭证放入普通请求查询参数或服务日志；凭证不得出现在公开名单、回放、诊断导出或普通存档中。</w:t>
      </w:r>
    </w:p>
    <w:p>
      <w:r>
        <w:t>同一身份重复连接时，新页面接管该身份的活动连接，旧页面转为不可操作并明确提示已在另一页面连接。接管不能释放该身份座位；旧连接延迟送达的命令必须被拒绝。用户名的重名可用短身份编号区分，座位归属始终以内部用户ID为准。</w:t>
      </w:r>
    </w:p>
    <w:p>
      <w:pPr>
        <w:pStyle w:val="4"/>
      </w:pPr>
      <w:r>
        <w:t>14.3 座位容量与入座规则</w:t>
      </w:r>
    </w:p>
    <w:p>
      <w:r>
        <w:t>新身份第一次进入房间一律在通用观察者位置。第一行依次为德国、英国、日本、苏联、意大利、美国和GM，每个位置最多一个身份。第二行的六国观察位与通用观察位都不限人数；不限人数是产品席位规则，不承诺服务器有无限承载能力。</w:t>
      </w:r>
    </w:p>
    <w:p>
      <w:r>
        <w:t>一个身份同时只处于一个位置。点击空闲操作位或任意观察位提交换座请求，服务端原子处理新座位占用与旧座位释放。目标位已被占用时换座失败，用户仍留在原位；并发抢座只允许一个请求成功。页面展示占座用户名和在线或离线状态，不能由客户端自行宣布入座成功。</w:t>
      </w:r>
    </w:p>
    <w:p>
      <w:r>
        <w:t>GM空位在本机测试与正式互联网版本中均允许任何用户点击入座，不限定开服者、创建者或管理员，不新增邀请审批、领取口令或白名单。权限校验仍由服务端执行：只有当下实际占据GM位的身份才能执行GM命令。</w:t>
      </w:r>
    </w:p>
    <w:p>
      <w:r>
        <w:t>刷新与短暂断线保留身份和座位；重新连接恢复原座位。提供主动离座，离座后回到通用观察者；不以断线倒计时自动释放座位或代答。GM可释放离线国家席位供他人接替。普通连接断开不结束正在等待的响应。</w:t>
      </w:r>
    </w:p>
    <w:p>
      <w:r>
        <w:t>GM离线时同样保留座位，避免短暂刷新造成误抢。当前GM可以重连后主动离座交接；若凭证丢失且无法恢复，由开服者重启服务清空席位，再由任意人领取GM并恢复棋局。v3暂不增加其他用户强制踢出离线GM的权限。</w:t>
      </w:r>
    </w:p>
    <w:p>
      <w:pPr>
        <w:pStyle w:val="4"/>
      </w:pPr>
      <w:r>
        <w:t>14.4 开服与对局生命周期</w:t>
      </w:r>
    </w:p>
    <w:p>
      <w:r>
        <w:t>每次启动服务默认只有空房间，不自动创建或进入正在进行的游戏。即使存在上一局恢复文件，也必须先有人坐到GM，再由GM选择恢复、导入存档或新建。开局前仍显示用户名、座位与连接状态，普通玩家和观察者不能创建游戏。</w:t>
      </w:r>
    </w:p>
    <w:p>
      <w:r>
        <w:t>新建游戏仅向GM提供入口，并由服务端再次校验身份。GM新建后保留当前房间用户和座位，只替换棋局及其记录；所有连接同步进入同一新局并按规则保留起手。其他用户不能通过伪造命令、旧页面按钮或过期连接新建游戏。</w:t>
      </w:r>
    </w:p>
    <w:p>
      <w:r>
        <w:t>服务重启结束上次在线会话并清空座位占用；已有身份凭证可继续识别用户名，用户先回通用观察者，再重新入座。棋局恢复文件独立于房间座位，恢复旧棋局不恢复旧连接或强制恢复旧GM身份。</w:t>
      </w:r>
    </w:p>
    <w:p>
      <w:r>
        <w:t>服务器保留一份当前对局自动恢复数据，用于意外关闭后的GM恢复。新建对局成功持久化后替换旧对局存档、检查点、回退及回放记录，不保留历史对局列表；持久身份数据不随新局删除。用户已经手动导出的备份文件不受影响。</w:t>
      </w:r>
    </w:p>
    <w:p>
      <w:pPr>
        <w:pStyle w:val="4"/>
      </w:pPr>
      <w:r>
        <w:t>14.5 服务端执行与个人视角</w:t>
      </w:r>
    </w:p>
    <w:p>
      <w:r>
        <w:t>服务器持有唯一权威局面，运行现有确定性规则核心，串行接受操作。客户端只提交动作意图；服务端校验当前连接、用户座位、操作国家、局面版本、合法候选和费用。六个页面不各自执行后再合并棋局，不以客户端提交的完整状态覆盖服务端。</w:t>
      </w:r>
    </w:p>
    <w:p>
      <w:r>
        <w:t>命令包含唯一请求ID和预期局面版本。相同请求重复到达只执行一次并返回原结果，旧版本或旧连接请求被拒绝；失败时刷新可见状态再由用户重新决定，不自动改写选择后重试。新建或读档还需变更对局标识，使旧局延迟命令不能作用于新局。</w:t>
      </w:r>
    </w:p>
    <w:p>
      <w:r>
        <w:t>个人viewSeat、地图缩放、窗口开合和GM响应返回视角属于连接或个人界面状态；不能再作为全房间共享的视角字段广播。国家玩家和国家观察者固定在自己的国家，GM保留六国视角选择及自动切换便利；一个人查看窗口不改变别人的视角，也不增加棋局版本。</w:t>
      </w:r>
    </w:p>
    <w:p>
      <w:r>
        <w:t>GM延续v2的代操作、修正、读档和回放工具能力，实际代操作仍按规则归属国家执行。GM与国家玩家同时操作同一待选项时，以服务端先接受的合法命令为准，后续过期请求不能重复结算。记录可同时保留执行用户与实际操作国家，公开日志仍遵守公开范围。</w:t>
      </w:r>
    </w:p>
    <w:p>
      <w:pPr>
        <w:pStyle w:val="4"/>
      </w:pPr>
      <w:r>
        <w:t>14.6 私密信息与观察者</w:t>
      </w:r>
    </w:p>
    <w:p>
      <w:r>
        <w:t>服务端按身份和座位生成可见状态。国家玩家和对应国家观察者取得本国资料与全局公开信息，观察者只读；通用观察者仅取得公开地图、对局记录和六国公开信息。真实牌库顺序、他国手牌和暗置身份不得先发送到无权页面再通过界面遮挡。</w:t>
      </w:r>
    </w:p>
    <w:p>
      <w:r>
        <w:t>GM可访问管理所需的全知数据。普通用户不得调用GM导出、场景编辑、读档或详细回放接口。候选卡牌、私人结果通知、错误信息、检查点与恢复记录同样受投影和权限限制，不能只处理主局面中的手牌字段。</w:t>
      </w:r>
    </w:p>
    <w:p>
      <w:r>
        <w:t>所有观察位按用户要求自由进入且不限人数，因此选择某国观察位即可查看该国允许观察的资料，这是本版明确的房间规则，不增加玩家审批。用户离开一个国家后不再接收其私密更新，客户端清除相应缓存；已经看到的信息无法撤回。</w:t>
      </w:r>
    </w:p>
    <w:p>
      <w:pPr>
        <w:pStyle w:val="4"/>
      </w:pPr>
      <w:r>
        <w:t>14.7 存档回放与重连</w:t>
      </w:r>
    </w:p>
    <w:p>
      <w:r>
        <w:t>v3自动存档迁移到服务端，浏览器主要保存身份凭证和个人界面设置。第一阶段建议在开服目录的data子目录中分开存放房间身份数据与当前棋局恢复数据；第二阶段使用服务器持久数据目录。实际文件名属于实现细节，交付时在使用说明中列清。凭证、连接和座位不装入可分享的棋局JSON。</w:t>
      </w:r>
    </w:p>
    <w:p>
      <w:r>
        <w:t>保留v2的手动存档、回放、节点导出和诊断用途。GM导入存档使房间统一进入该局，GM新建或读档后所有连接取得新版本；在校验及写入成功前不得丢弃旧局。服务端写入失败应明确报告并阻止继续接受无法可靠记录的新操作，避免多端显示成功但重启丢失。</w:t>
      </w:r>
    </w:p>
    <w:p>
      <w:r>
        <w:t>GM导入回放使房间进入只读回放模式，六国操作位禁用，原国家玩家转入对应观察位并释放操作位，GM保留。详细记录、节点跳转及节点存档导出仅GM可用；观察者只收到所选节点的授权投影。GM选择节点改变房间当前观察局面，各人的国家视角保持独立。</w:t>
      </w:r>
    </w:p>
    <w:p>
      <w:r>
        <w:t>回放中GM也不能修改棋局。GM导出节点为普通存档，再读入即可全房间恢复正常模式；国家席位重新开放，用户自行入座。新建同样退出回放。普通用户不会因观看回放自动获得全知文件，诊断与凭证严格分开。</w:t>
      </w:r>
    </w:p>
    <w:p>
      <w:r>
        <w:t>断线后页面禁用对局操作并显示连接状态，重新连接时认证身份，恢复座位，获取最新授权快照或缺失更新。不得离线积攒出牌后自动补交；发送后未收到结果的命令使用原请求ID核对，防止重复费用和效果。响应等待没有自动超时选择。</w:t>
      </w:r>
    </w:p>
    <w:p>
      <w:pPr>
        <w:pStyle w:val="4"/>
      </w:pPr>
      <w:r>
        <w:t>14.8 两阶段实施与验收</w:t>
      </w:r>
    </w:p>
    <w:p>
      <w:r>
        <w:t>第一阶段依次实现身份和空房间、原子入座、网络控制器与串行命令、私密投影、服务端保存及重连，再接入GM工具和只读回放。前后端使用持续连接传递请求与状态更新，协议从第一阶段起就按不同设备连接设计，不使用标签页广播代替服务器。</w:t>
      </w:r>
    </w:p>
    <w:p>
      <w:r>
        <w:t>第一阶段必须在同一电脑完成：六国加GM独立身份；刷新和关闭后返回；重复身份接管；抢座和换座失败不丢原位；观察位多人；任意用户领取空GM；无GM不能开局；开服为空房间；新局保留在线座位；完整对局含跨国响应；GM与玩家并发不重复执行。</w:t>
      </w:r>
    </w:p>
    <w:p>
      <w:r>
        <w:t>同时验收私密数据未发给无权连接、观察者命令被服务器拒绝、断线期间不代答、同一命令重复只执行一次、过期命令拒绝、服务重启后GM手动恢复、旧局清理、存档与回放导入、节点续玩及各页面视角独立。沿用v2核心规则测试，新增上述网络边界测试。</w:t>
      </w:r>
    </w:p>
    <w:p>
      <w:r>
        <w:t>第二阶段部署HTTPS与WSS服务及持久数据目录，在不同互联网连接下完成加入、重连、身份返回、整局同步和恢复实测。GM领取规则与第一阶段相同，任何用户均可领取空位。验收服务重启、连接中断和真实网络延迟；无需先进行局域网多电脑测试。</w:t>
      </w:r>
    </w:p>
    <w:p>
      <w:r>
        <w:t>两个阶段都不重做v2牌效、美术和基础交互，不新增响应倒计时、自动托管或座位审批。实现中若发现与核心规则冲突，应按既有裁决修复；多人设计不能借网络行为默默改变卡牌规则。</w:t>
      </w:r>
    </w:p>
    <w:p>
      <w:pPr>
        <w:pStyle w:val="3"/>
        <w:keepNext/>
      </w:pPr>
      <w:r>
        <w:t>15 v2 完成标准与后续维护</w:t>
      </w:r>
    </w:p>
    <w:p>
      <w:r>
        <w:t>v2 的完成标准是完整本地对局与管理恢复闭环均可用，而非仅跑通代表卡。完整牌组379张、51个逻辑地区、六国回合和附属国家规则保持一致；新局不再向玩家提供牌组模式选择。旧调试数据只用于兼容与测试，不作为正常开局模式。</w:t>
      </w:r>
    </w:p>
    <w:p>
      <w:r>
        <w:t>完整他国响应、逐步卡牌操作、空军防御与拦截、祖先时点和必发排序均由核心处理。地图交互与卡牌候选共享合法性；国家固定视角与GM自动切换、待响应切换和返回原国行为同时成立。</w:t>
      </w:r>
    </w:p>
    <w:p>
      <w:r>
        <w:t>公开与全知信息分离、两行角色入口、只读观察、GM即时编辑、当前局自动恢复、旧局清理、回放导入与节点续玩均纳入验收。普通玩家或观察者不能通过界面残留控件改变局面；回放GM同样只读。</w:t>
      </w:r>
    </w:p>
    <w:p>
      <w:r>
        <w:t>用户继续负责最终规则裁决和实际试玩验收；AI负责实现、数据转换、测试与发布。新问题应保留复现文件和预期动作，按实际风险补相应回归。v3不重新开放已经确认的基础裁决，除非用户明确提出规则变更。</w:t>
      </w:r>
    </w:p>
    <w:p>
      <w:pPr>
        <w:pStyle w:val="3"/>
        <w:keepNext/>
      </w:pPr>
      <w:r>
        <w:t>16 输入资产与版本管理</w:t>
      </w:r>
    </w:p>
    <w:p>
      <w:r>
        <w:t>本文是v3多人设计基线；既有规则与本地功能以保留的v2文档和本文件第2至13节为依据。第14节针对多人身份、座位、存储和视角的规定覆盖本地实现方式，规则与牌效不因此改变。原v2及v1.2.2文件保留，不覆盖。截图只证明视觉和交互，不作为邻接与牌效的唯一依据。</w:t>
      </w:r>
    </w:p>
    <w:tbl>
      <w:tblPr>
        <w:tblW w:type="auto" w:w="0"/>
        <w:jc w:val="center"/>
        <w:tblLayout w:type="fixed"/>
        <w:tblLook w:firstColumn="1" w:firstRow="1" w:lastColumn="0" w:lastRow="0" w:noHBand="0" w:noVBand="1" w:val="04A0"/>
      </w:tblPr>
      <w:tblGrid>
        <w:gridCol w:w="3744"/>
        <w:gridCol w:w="5616"/>
      </w:tblGrid>
      <w:tr>
        <w:trPr>
          <w:cantSplit/>
          <w:tblHeader/>
        </w:trPr>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依据</w:t>
            </w:r>
          </w:p>
        </w:tc>
        <w:tc>
          <w:tcPr>
            <w:tcW w:type="dxa" w:w="561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用途</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本 v2 文档与原 v1.2.2 文档</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当前产品交互、权限与回放设计；完整规则和历史裁决。</w:t>
            </w:r>
          </w:p>
        </w:tc>
      </w:tr>
      <w:tr>
        <w:trPr>
          <w:cantSplit/>
        </w:trPr>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卡牌文本审计定稿表与 card-rule-overrides.json</w:t>
            </w:r>
          </w:p>
        </w:tc>
        <w:tc>
          <w:tcPr>
            <w:tcW w:type="dxa" w:w="56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245张有效特殊牌、术语与已确认牌面覆盖；马奇诺防线继续禁用。</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地图数据审核表与程序地图数据</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51地区、132条无向连接、5条海峡、12补给点与8大本营。</w:t>
            </w:r>
          </w:p>
        </w:tc>
      </w:tr>
      <w:tr>
        <w:trPr>
          <w:cantSplit/>
        </w:trPr>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地图图像与兵模原始素材</w:t>
            </w:r>
          </w:p>
        </w:tc>
        <w:tc>
          <w:tcPr>
            <w:tcW w:type="dxa" w:w="56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显示资产；单位图标来源映射见 public/assets/units/sources.json。</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当前源码及验证脚本</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核对实现与交付证据；历史 docs/step 与 v2 子文档按版本阅读，旧阶段描述不覆盖本版。</w:t>
            </w:r>
          </w:p>
        </w:tc>
      </w:tr>
    </w:tbl>
    <w:p/>
    <w:p>
      <w:r>
        <w:t>产品阶段、程序版本、规则版本和文件格式版本必须分开。若规则语义改变，须明确规则版本与旧文件处理；不能只提升产品版本就静默改写历史回放。GM手动改局面仅记录一次修正，不视为永久修改卡牌规则。</w:t>
      </w:r>
    </w:p>
    <w:p>
      <w:pPr>
        <w:pStyle w:val="3"/>
        <w:pageBreakBefore/>
      </w:pPr>
      <w:r>
        <w:rPr>
          <w:color w:val="000000"/>
        </w:rPr>
        <w:t>17 修订记录与确认结论</w:t>
      </w:r>
    </w:p>
    <w:p>
      <w:pPr>
        <w:pStyle w:val="4"/>
      </w:pPr>
      <w:r>
        <w:rPr>
          <w:color w:val="000000"/>
        </w:rPr>
        <w:t>17.1 本次修订记录</w:t>
      </w:r>
    </w:p>
    <w:p>
      <w:pPr/>
      <w:r>
        <w:t>v1.1于2026年9月5日依据用户三轮补充裁决修订，保留v1.0原文件。同步修改基础规则、卡牌去向、建设限制、回合表、交互与验收；新增起手设置、多效果判例、特殊卡解释、共享补给与第二版响应范围。</w:t>
      </w:r>
    </w:p>
    <w:p>
      <w:pPr/>
      <w:r>
        <w:t>本轮读取的卡牌表确认已更新【坦克运输】的两张费用、【盟军远征部队最高司令部】的补给线用词、【美国陆军游骑兵】的敌方目标限制，以及【枪支或黄油】的基础行动名称。此前【铆钉女工】、【潜艇主导大西洋海战】和【巴巴罗萨】修订仍保留。卡牌仍为245张。本次仅修改开发文档，不改卡牌展示文本。</w:t>
      </w:r>
    </w:p>
    <w:p>
      <w:pPr>
        <w:pStyle w:val="4"/>
      </w:pPr>
      <w:r>
        <w:rPr>
          <w:color w:val="000000"/>
        </w:rPr>
        <w:t>17.2 v1.2最终补充裁决</w:t>
      </w:r>
    </w:p>
    <w:p>
      <w:pPr/>
      <w:r>
        <w:t>原地重复建设和征召均允许。使用原位置已有的本国同兵种兵模，不增加同格数量，不消耗储备；即使没有储备兵模，也不需要回收。旧版“已有同国同兵种就禁止建设”的判定已被本裁决替代。</w:t>
      </w:r>
    </w:p>
    <w:p>
      <w:pPr/>
      <w:r>
        <w:t>同阶段补给一起计算、一起清除。英国和法国、美国和中国分别基于阶段清除前的同一局面统一计算断补给名单，再统一移除；禁止逐国清除后重算并改变另一国名单。三国共享补给不改变各国所属的清除阶段。</w:t>
      </w:r>
    </w:p>
    <w:p>
      <w:pPr/>
      <w:r>
        <w:t>本轮列出的两项待定边界现已全部确认，并同步进入正文、回合表、交互说明及验收要求。v1.2保留v1.1原版；后续若实际测试发现新的规则问题，应记录裁决和针对性测试，不静默修改基线。</w:t>
      </w:r>
    </w:p>
    <w:p>
      <w:pPr>
        <w:pStyle w:val="4"/>
        <w:pageBreakBefore/>
      </w:pPr>
      <w:r>
        <w:t>17.3 v1.2.1资源重整检索范围补充</w:t>
      </w:r>
    </w:p>
    <w:p>
      <w:r>
        <w:t>2026-09-06 用户确认：资源再分配（资源重整）只能取得【建设陆军】【建设海军】【发起陆战】【发起海战】四类牌，不能取得【空中力量】。此限制只作用于检索结果，不限制用于支付三张弃牌费用的手牌种类。</w:t>
      </w:r>
    </w:p>
    <w:p>
      <w:r>
        <w:t>实现与验收：界面检索列表与规则核心使用同一四类牌白名单；直接提交取得【空中力量】的命令也必须拒绝，且不扣费用、不改变牌库或随机状态。四类允许牌逐类验证；验证【空中力量】可以作为弃牌费用。保留v1.2原文件，其他规则和操作流程不变。</w:t>
      </w:r>
    </w:p>
    <w:p>
      <w:pPr>
        <w:pStyle w:val="4"/>
        <w:pageBreakBefore/>
      </w:pPr>
      <w:r>
        <w:t>17.4 v1.2.2战略规划与弃牌费用修订</w:t>
      </w:r>
    </w:p>
    <w:p>
      <w:r>
        <w:t>修订日期：2026-09-10。本节及已同步修改的8.3回合流程、8.4.5规则表、测试要求和实施验收覆盖旧版相冲突的表述；其余规则保持不变。</w:t>
      </w:r>
    </w:p>
    <w:p>
      <w:r>
        <w:t>【战略规划】修订文本：从摸牌堆挑选至多2张牌置入手牌，弃置1张手牌，重洗摸牌堆。删除“你可打出1张以此法获得的手牌”，不再产生额外打牌窗口。至多2张允许选择0、1或2张；弃1张为选牌后的后续处理，仍须处理，不能通过只选取牌效果省略。保留选牌后重洗摸牌堆。</w:t>
      </w:r>
    </w:p>
    <w:p>
      <w:r>
        <w:t>出牌阶段：直接选择不出牌时扣1分，空手同样扣分；【征兵】等明确代替本阶段出牌的效果不扣分。此扣分与弃牌阶段弃0张扣1分分别判断；同一回合可分别发生。</w:t>
      </w:r>
    </w:p>
    <w:p>
      <w:r>
        <w:t>主动弃手牌费用：发动时至少有1张可支付手牌；打出的源卡不计入。先支付现有手牌，任意手牌费用不足部分弃本席位牌库顶，再不足则每缺1张扣1分。不能保留手牌而直接烧牌库。指定牌种费用必须满足，不适用替代。</w:t>
      </w:r>
    </w:p>
    <w:p>
      <w:r>
        <w:t>例：费用3张、可支付手牌1张、牌库1张，支付顺序为弃1张手牌、弃1张牌库顶、扣1分；若发动前无可支付手牌，不能通过烧牌库或扣分来发动。若手里只有准备打出的增强牌，也不能发动。</w:t>
      </w:r>
    </w:p>
    <w:p>
      <w:r>
        <w:t>实现：合法候选、费用选择、执行校验与界面提示须使用同一规则。费用窗口显示实际应选手牌张数及预计牌库替代数量；发动资格记录应随结算状态序列化，读取或回退不得改变规则。版本号更新为1.2.2；旧规则存档不得静默按新规则回放，导入时须明确提示不兼容。</w:t>
      </w:r>
    </w:p>
    <w:p>
      <w:r>
        <w:t>验收：战略规划选0／1／2张后均无额外打牌窗口；验证费用足额不烧库、不足必须弃光、牌库缺额扣分、无手牌和仅剩源卡禁止发动、指定费用不可替代、资源重整及嵌套费用一致。验证替代出牌效果不扣分、正常不出牌扣1分且过期命令不重复扣分。</w:t>
      </w:r>
    </w:p>
    <w:p>
      <w:pPr>
        <w:pStyle w:val="4"/>
        <w:pageBreakBefore/>
      </w:pPr>
      <w:r>
        <w:t>17.5 v2 本地完整版收官</w:t>
      </w:r>
    </w:p>
    <w:p>
      <w:r>
        <w:t>2026年9月12日，按当前实现与用户确认整理 v2 设计文档，对应程序 v0.23.0。规则版本保持1.2.2，保留第17.1至17.4节历史裁决。第1至8节同步他国响应默认、兵模素材、操作者归属与空军询问；第9至16节替换旧阶段计划，落实当前界面、信息权限、GM管理、存档清理、详细回放和多人开发范围。</w:t>
      </w:r>
    </w:p>
    <w:p>
      <w:r>
        <w:t>本次明确覆盖旧文中的默认忽略他国响应、文字圆兵模、所有身份自动跳国、旧局长期保留、回放仅作错误诊断、第二版响应尚未实施及未来只替换网络控制器即可的表述。v2作为完整本地版结束，下一产品阶段为仅新增多人功能的v3。</w:t>
      </w:r>
    </w:p>
    <w:p>
      <w:pPr>
        <w:pStyle w:val="4"/>
        <w:pageBreakBefore/>
      </w:pPr>
      <w:r>
        <w:t>17.6 v3 多人方案确认</w:t>
      </w:r>
    </w:p>
    <w:p>
      <w:r>
        <w:t>2026年9月12日，确认v3以同端口的单一权威服务承载多页面身份。增加持久身份与返回入口、独占国家及GM席位、无限数量观察位、空房间开服、GM专属开局、服务端存储、私密投影与断线恢复。正式互联网版的空GM席位也允许任何人入座。开发只分本机多页面测试与互联网多人两个阶段，取消局域网多电脑阶段。</w:t>
      </w:r>
    </w:p>
    <w:p>
      <w:r>
        <w:t>本次仅形成设计文档，未修改游戏代码或发布包。第14章的多人规定取代此前未确定的GM授予策略及宽泛多人计划；其余v2功能描述作为已实现基线保留。v3设计版本不等于程序版本已升级，也不改变规则版本1.2.2。</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2A88">
    <w:pPr>
      <w:pStyle w:val="24"/>
      <w:jc w:val="right"/>
    </w:pPr>
    <w:r>
      <w:rPr>
        <w:rFonts w:ascii="微软雅黑" w:hAnsi="微软雅黑" w:eastAsia="微软雅黑"/>
        <w:color w:val="5F6B76"/>
        <w:sz w:val="18"/>
      </w:rPr>
      <w:t xml:space="preserve">内部开发文档　|　第 </w:t>
    </w:r>
    <w:r>
      <w:fldChar w:fldCharType="begin"/>
    </w:r>
    <w:r>
      <w:instrText xml:space="preserve">PAGE</w:instrText>
    </w:r>
    <w:r>
      <w:fldChar w:fldCharType="separate"/>
    </w:r>
    <w:r>
      <w:fldChar w:fldCharType="end"/>
    </w:r>
    <w:r>
      <w:rPr>
        <w:rFonts w:ascii="微软雅黑" w:hAnsi="微软雅黑"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43CF">
    <w:pPr>
      <w:pStyle w:val="25"/>
      <w:jc w:val="left"/>
    </w:pPr>
    <w:r>
      <w:rPr>
        <w:rFonts w:ascii="微软雅黑" w:hAnsi="微软雅黑" w:eastAsia="微软雅黑"/>
        <w:color w:val="5F6B76"/>
        <w:sz w:val="18"/>
      </w:rPr>
      <w:t>战场军需官电子游戏版｜设计与 AI 开发实施文档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03638"/>
    <w:rsid w:val="1CC65C36"/>
    <w:rsid w:val="1E7522D0"/>
    <w:rsid w:val="21222410"/>
    <w:rsid w:val="25441769"/>
    <w:rsid w:val="2FFF0CEC"/>
    <w:rsid w:val="3C0B4937"/>
    <w:rsid w:val="3D4F12A7"/>
    <w:rsid w:val="42350D4E"/>
    <w:rsid w:val="42DA6266"/>
    <w:rsid w:val="49FA2BD3"/>
    <w:rsid w:val="4B550910"/>
    <w:rsid w:val="51FF0DA4"/>
    <w:rsid w:val="602D0A71"/>
    <w:rsid w:val="61C84EF5"/>
    <w:rsid w:val="65CB2A4F"/>
    <w:rsid w:val="67BA5B78"/>
    <w:rsid w:val="6CCE5115"/>
    <w:rsid w:val="6D5217B5"/>
    <w:rsid w:val="6E6935BC"/>
    <w:rsid w:val="6F0025C6"/>
    <w:rsid w:val="7078751B"/>
    <w:rsid w:val="776918EC"/>
    <w:rsid w:val="77A60210"/>
    <w:rsid w:val="7812468E"/>
    <w:rsid w:val="79621333"/>
    <w:rsid w:val="7BB8348D"/>
    <w:rsid w:val="7F2132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124"/>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basedOn w:val="1"/>
    <w:uiPriority w:val="0"/>
    <w:pPr>
      <w:spacing w:before="120" w:after="200"/>
      <w:ind w:left="216" w:right="216"/>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12506</Words>
  <Characters>14361</Characters>
  <Lines>0</Lines>
  <Paragraphs>0</Paragraphs>
  <TotalTime>1</TotalTime>
  <ScaleCrop>false</ScaleCrop>
  <LinksUpToDate>false</LinksUpToDate>
  <CharactersWithSpaces>14765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依据用户校订规则整理；v0.7 补充回合开始窗口、结算中区域与祖先可选触发窗口。</dc:description>
  <cp:lastModifiedBy>刘彦山</cp:lastModifiedBy>
  <dcterms:modified xsi:type="dcterms:W3CDTF">2026-09-05T06:43:35Z</dcterms:modified>
  <dc:subject>战略规划、不出牌扣分与主动弃手牌费用缺额规则修订</dc:subject>
  <dc:title>战场军需官电子游戏版设计与AI开发实施文档</dc:title>
  <cp:revision>1</cp:revision>
  <cp:version>1.2.2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eyJoZGlkIjoiYTdkNmMyMDJkNjRhYzBmY2U4NGQ2MDMzYWM0ZmU2M2MiLCJ1c2VySWQiOiIxMDAyMDg2NTkwIn0=</vt:lpwstr>
  </property>
  <property fmtid="{D5CDD505-2E9C-101B-9397-08002B2CF9AE}" pid="3" name="KSOProductBuildVer">
    <vt:lpwstr>2052-12.1.0.28505</vt:lpwstr>
  </property>
  <property fmtid="{D5CDD505-2E9C-101B-9397-08002B2CF9AE}" pid="4" name="ICV">
    <vt:lpwstr>F79DDDF8CC504D8C9BFA7FEC033CD552_12</vt:lpwstr>
  </property>
</Properties>
</file>