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rFonts w:ascii="Times New Roman" w:hAnsi="Times New Roman"/>
          <w:color w:val="000000"/>
        </w:rPr>
        <w:t>CỘNG HÒA XÃ HỘI CHỦ NGHĨA VIỆT NAM</w:t>
      </w:r>
    </w:p>
    <w:p>
      <w:pPr>
        <w:ind w:firstLine="560"/>
      </w:pPr>
      <w:r>
        <w:t>Độc lập - Tự do - Hạnh phúc</w:t>
      </w:r>
    </w:p>
    <w:p>
      <w:pPr>
        <w:pStyle w:val="Heading2"/>
        <w:jc w:val="center"/>
      </w:pPr>
      <w:r>
        <w:rPr>
          <w:rFonts w:ascii="Times New Roman" w:hAnsi="Times New Roman"/>
          <w:color w:val="000000"/>
        </w:rPr>
        <w:t>HỢP ĐỒNG</w:t>
      </w:r>
    </w:p>
    <w:p>
      <w:pPr>
        <w:ind w:firstLine="560"/>
      </w:pPr>
      <w:r>
        <w:t>Số:          /2025/HĐTV</w:t>
      </w:r>
    </w:p>
    <w:p>
      <w:pPr>
        <w:ind w:firstLine="560"/>
      </w:pPr>
      <w:r>
        <w:t>GÓI THẦU SỐ 02 (TƯ VẤN): KHẢO SÁT ĐO ĐẠC LẬP BẢN ĐỒ ĐỊA HÌNH,  THUỘC  KẾ  HOẠCH  LỰA  CHỌN  NHÀ  THẦU  LẬP  QUY HOẠCH PHÂN KHU XÂY DỰNG TỶ LỆ 1/2000 KHU CHỨC NĂNG KHU VỰC TRÊN ĐỈNH NÚI CHỨA CHAN, THUỘC DỰ TOÁN MUA SẮM LẬP QUY HOẠCH PHÂN KHU XÂY DỰNG TỶ LỆ 1/2000 KHU CHỨC NĂNG KHU VỰC TRÊN ĐỈNH NÚI CHỨA CHAN</w:t>
      </w:r>
    </w:p>
    <w:p>
      <w:pPr>
        <w:ind w:firstLine="560"/>
      </w:pPr>
      <w:r>
        <w:t>GIỮA</w:t>
      </w:r>
    </w:p>
    <w:p>
      <w:pPr>
        <w:ind w:firstLine="560"/>
      </w:pPr>
      <w:r>
        <w:t>SỞ XÂY DỰNG TỈNH ĐỒNG NAI</w:t>
      </w:r>
    </w:p>
    <w:p>
      <w:pPr>
        <w:ind w:firstLine="560"/>
      </w:pPr>
      <w:r>
        <w:t>VỚI</w:t>
      </w:r>
    </w:p>
    <w:p>
      <w:pPr>
        <w:ind w:firstLine="560"/>
      </w:pPr>
      <w:r>
        <w:t>CÔNG TY TNHH HỢP NHẤT BÁCH VIỆT</w:t>
      </w:r>
    </w:p>
    <w:p>
      <w:pPr>
        <w:ind w:firstLine="560"/>
      </w:pPr>
      <w:r>
        <w:t>Đồng Nai, năm 2025</w:t>
      </w:r>
    </w:p>
    <w:p>
      <w:pPr>
        <w:pStyle w:val="Heading2"/>
        <w:jc w:val="center"/>
      </w:pPr>
      <w:r>
        <w:rPr>
          <w:rFonts w:ascii="Times New Roman" w:hAnsi="Times New Roman"/>
          <w:color w:val="000000"/>
        </w:rPr>
        <w:t>MỤC LỤC</w:t>
      </w:r>
    </w:p>
    <w:p>
      <w:pPr>
        <w:pStyle w:val="ListBullet"/>
      </w:pPr>
      <w:r>
        <w:t>DANH MỤC CÁC CHỮ VIẾT TẮT</w:t>
      </w:r>
    </w:p>
    <w:p>
      <w:pPr>
        <w:pStyle w:val="ListBullet"/>
      </w:pPr>
      <w:r>
        <w:t>PHẦN 1. THÔNG TIN GIAO DỊCH</w:t>
      </w:r>
    </w:p>
    <w:p>
      <w:pPr>
        <w:pStyle w:val="ListBullet"/>
      </w:pPr>
      <w:r>
        <w:t>PHẦN 2. CÁC CĂN CỨ KÝ KẾT HỢP ĐỒNG</w:t>
      </w:r>
    </w:p>
    <w:p>
      <w:pPr>
        <w:pStyle w:val="ListBullet"/>
      </w:pPr>
      <w:r>
        <w:t>PHẦN 3. ĐIỀU KIỆN CHUNG CỦA HỢP ĐỒNG</w:t>
      </w:r>
    </w:p>
    <w:p>
      <w:pPr>
        <w:pStyle w:val="ListBullet"/>
      </w:pPr>
      <w:r>
        <w:t>Điều 1. Diễn giải</w:t>
      </w:r>
    </w:p>
    <w:p>
      <w:pPr>
        <w:pStyle w:val="ListBullet"/>
      </w:pPr>
      <w:r>
        <w:t>Điều 2. Loại hợp đồng</w:t>
      </w:r>
    </w:p>
    <w:p>
      <w:pPr>
        <w:pStyle w:val="ListBullet"/>
      </w:pPr>
      <w:r>
        <w:t>Điều 3. Hồ sơ hợp đồng tư vấn xây dựng và thứ tự ưu tiên</w:t>
      </w:r>
    </w:p>
    <w:p>
      <w:pPr>
        <w:pStyle w:val="ListBullet"/>
      </w:pPr>
      <w:r>
        <w:t>Điều 4. Trao đổi thông tin</w:t>
      </w:r>
    </w:p>
    <w:p>
      <w:pPr>
        <w:pStyle w:val="ListBullet"/>
      </w:pPr>
      <w:r>
        <w:t>Điều 5. Luật áp dụng và ngôn ngữ sử dụng trong hợp đồng</w:t>
      </w:r>
    </w:p>
    <w:p>
      <w:pPr>
        <w:pStyle w:val="ListBullet"/>
      </w:pPr>
      <w:r>
        <w:t>Điều 6. Bảo đảm thực hiện hợp đồng (nếu có) và bảo lãnh tạm ứng hợp đồng (đối</w:t>
      </w:r>
    </w:p>
    <w:p>
      <w:pPr>
        <w:pStyle w:val="ListBullet"/>
      </w:pPr>
      <w:r>
        <w:t>với trường hợp các bên thỏa thuận phải có bảo lãnh tiền tạm ứng)</w:t>
      </w:r>
    </w:p>
    <w:p>
      <w:pPr>
        <w:pStyle w:val="ListBullet"/>
      </w:pPr>
      <w:r>
        <w:t>Điều 7. Nội dung, khối lượng công việc và sản phẩm của hợp đồng tư vấn xây dựng</w:t>
      </w:r>
    </w:p>
    <w:p>
      <w:pPr>
        <w:pStyle w:val="ListBullet"/>
      </w:pPr>
      <w:r>
        <w:t>đề cương nhiệm vụ và dự toán kinh phí</w:t>
      </w:r>
    </w:p>
    <w:p>
      <w:pPr>
        <w:pStyle w:val="ListBullet"/>
      </w:pPr>
      <w:r>
        <w:t>Điều 8. Yêu cầu về chất lượng, số lượng sản phẩm tư vấn xây dựng</w:t>
      </w:r>
    </w:p>
    <w:p>
      <w:pPr>
        <w:pStyle w:val="ListBullet"/>
      </w:pPr>
      <w:r>
        <w:t>Điều 9. Căn cứ nghiệm thu sản phẩm tư vấn xây dựng</w:t>
      </w:r>
    </w:p>
    <w:p>
      <w:pPr>
        <w:pStyle w:val="ListBullet"/>
      </w:pPr>
      <w:r>
        <w:t>Điều 10. Giá hợp đồng</w:t>
      </w:r>
    </w:p>
    <w:p>
      <w:pPr>
        <w:pStyle w:val="ListBullet"/>
      </w:pPr>
      <w:r>
        <w:t>Điều 11. Điều chỉnh đơn giá, khối lượng công việc, một số nội dung khác trong hợp</w:t>
      </w:r>
    </w:p>
    <w:p>
      <w:pPr>
        <w:pStyle w:val="ListBullet"/>
      </w:pPr>
      <w:r>
        <w:t>đồng và giá hợp đồng xây dựng</w:t>
      </w:r>
    </w:p>
    <w:p>
      <w:pPr>
        <w:pStyle w:val="ListBullet"/>
      </w:pPr>
      <w:r>
        <w:t>Điều 12. Quyền và nghĩa vụ của Nhà thầu tư vấn</w:t>
      </w:r>
    </w:p>
    <w:p>
      <w:pPr>
        <w:pStyle w:val="ListBullet"/>
      </w:pPr>
      <w:r>
        <w:t>Điều 13. Quyền và nghĩa vụ của Chủ đầu tư</w:t>
      </w:r>
    </w:p>
    <w:p>
      <w:pPr>
        <w:pStyle w:val="ListBullet"/>
      </w:pPr>
      <w:r>
        <w:t>Điều 14. Nhà thầu phụ (nếu có)</w:t>
      </w:r>
    </w:p>
    <w:p>
      <w:pPr>
        <w:pStyle w:val="ListBullet"/>
      </w:pPr>
      <w:r>
        <w:t>Điều 15. Nhân lực của Nhà thầu tư vấn</w:t>
      </w:r>
    </w:p>
    <w:p>
      <w:pPr>
        <w:pStyle w:val="ListBullet"/>
      </w:pPr>
      <w:r>
        <w:t>Điều 16. Bản quyền và quyền sử dụng tài liệu</w:t>
      </w:r>
    </w:p>
    <w:p>
      <w:pPr>
        <w:pStyle w:val="ListBullet"/>
      </w:pPr>
      <w:r>
        <w:t>Điều 17. Bảo hiểm</w:t>
      </w:r>
    </w:p>
    <w:p>
      <w:pPr>
        <w:pStyle w:val="ListBullet"/>
      </w:pPr>
      <w:r>
        <w:t>Điều 18. Rủi ro và bất khả kháng</w:t>
      </w:r>
    </w:p>
    <w:p>
      <w:pPr>
        <w:pStyle w:val="ListBullet"/>
      </w:pPr>
      <w:r>
        <w:t>Điều 19. Tạm ngừng công việc trong hợp đồng</w:t>
      </w:r>
    </w:p>
    <w:p>
      <w:pPr>
        <w:pStyle w:val="ListBullet"/>
      </w:pPr>
      <w:r>
        <w:t>Điều 20. Chấm dứt hợp đồng</w:t>
      </w:r>
    </w:p>
    <w:p>
      <w:pPr>
        <w:pStyle w:val="ListBullet"/>
      </w:pPr>
      <w:r>
        <w:t>Điều 21. Quyết toán và thanh lý hợp đồng</w:t>
      </w:r>
    </w:p>
    <w:p>
      <w:pPr>
        <w:pStyle w:val="ListBullet"/>
      </w:pPr>
      <w:r>
        <w:t>Điều 22. Nghiệm thu sản phẩm tư vấn</w:t>
      </w:r>
    </w:p>
    <w:p>
      <w:pPr>
        <w:pStyle w:val="ListBullet"/>
      </w:pPr>
      <w:r>
        <w:t>Điều 23. Thời gian và tiến độ thực hiện hợp đồng tư vấn xây dựng</w:t>
      </w:r>
    </w:p>
    <w:p>
      <w:pPr>
        <w:pStyle w:val="ListBullet"/>
      </w:pPr>
      <w:r>
        <w:t>Điều 24. Tạm ứng và thanh toán</w:t>
      </w:r>
    </w:p>
    <w:p>
      <w:pPr>
        <w:pStyle w:val="ListBullet"/>
      </w:pPr>
      <w:r>
        <w:t>Điều 25. Khiếu nại, hòa giải và giải quyết tranh chấp</w:t>
      </w:r>
    </w:p>
    <w:p>
      <w:pPr>
        <w:pStyle w:val="ListBullet"/>
      </w:pPr>
      <w:r>
        <w:t>Điều 26. Thưởng, phạt, bồi thường thiệt hại</w:t>
      </w:r>
    </w:p>
    <w:p>
      <w:pPr>
        <w:pStyle w:val="ListBullet"/>
      </w:pPr>
      <w:r>
        <w:t>Điều 27: Hiệu lực hợp đồng</w:t>
      </w:r>
    </w:p>
    <w:p>
      <w:pPr>
        <w:pStyle w:val="ListBullet"/>
      </w:pPr>
      <w:r>
        <w:t>Điều 28. Điều khoản chung</w:t>
      </w:r>
    </w:p>
    <w:p>
      <w:pPr>
        <w:pStyle w:val="ListBullet"/>
      </w:pPr>
      <w:r>
        <w:t>PHẦN 4. ĐIỀU KIỆN CỤ THỂ CỦA HỢP ĐỒNG</w:t>
      </w:r>
    </w:p>
    <w:p>
      <w:pPr>
        <w:pStyle w:val="ListBullet"/>
      </w:pPr>
      <w:r>
        <w:t>Điều 20. Chấm dứt hợp đồng</w:t>
      </w:r>
    </w:p>
    <w:p>
      <w:pPr>
        <w:pStyle w:val="ListBullet"/>
      </w:pPr>
      <w:r>
        <w:t>Điều 22. Nghiệm thu sản phẩm tư vấn</w:t>
      </w:r>
    </w:p>
    <w:p>
      <w:pPr>
        <w:pStyle w:val="ListBullet"/>
      </w:pPr>
      <w:r>
        <w:t>Điều 24. Tạm ứng và thanh toán</w:t>
      </w:r>
    </w:p>
    <w:p>
      <w:pPr>
        <w:pStyle w:val="ListBullet"/>
      </w:pPr>
      <w:r>
        <w:t>Điều 25. Khiếu nại, hòa giải và giải quyết tranh chấp</w:t>
      </w:r>
    </w:p>
    <w:p>
      <w:pPr>
        <w:pStyle w:val="ListBullet"/>
      </w:pPr>
      <w:r>
        <w:t>Điều 26. Thưởng, phạt, bồi thường thiệt hại</w:t>
      </w:r>
    </w:p>
    <w:p>
      <w:pPr>
        <w:pStyle w:val="ListBullet"/>
      </w:pPr>
      <w:r>
        <w:t>Điều 27. Điều khoản chung</w:t>
      </w:r>
    </w:p>
    <w:p>
      <w:pPr>
        <w:pStyle w:val="Heading2"/>
        <w:jc w:val="center"/>
      </w:pPr>
      <w:r>
        <w:rPr>
          <w:rFonts w:ascii="Times New Roman" w:hAnsi="Times New Roman"/>
          <w:color w:val="000000"/>
        </w:rPr>
        <w:t>DANH MỤC CÁC CHỮ VIẾT TẮT</w:t>
      </w:r>
    </w:p>
    <w:tbl>
      <w:tblPr>
        <w:tblStyle w:val="TableGrid"/>
        <w:tblW w:type="auto" w:w="0"/>
        <w:tblLook w:firstColumn="1" w:firstRow="1" w:lastColumn="0" w:lastRow="0" w:noHBand="0" w:noVBand="1" w:val="04A0"/>
      </w:tblPr>
      <w:tblGrid>
        <w:gridCol w:w="4535"/>
        <w:gridCol w:w="4535"/>
      </w:tblGrid>
      <w:tr>
        <w:tc>
          <w:tcPr>
            <w:tcW w:type="dxa" w:w="4535"/>
          </w:tcPr>
          <w:p>
            <w:pPr>
              <w:spacing w:after="0" w:before="0"/>
            </w:pPr>
            <w:r>
              <w:rPr>
                <w:b/>
              </w:rPr>
            </w:r>
            <w:r>
              <w:rPr>
                <w:b/>
              </w:rPr>
              <w:t>ĐKC</w:t>
            </w:r>
          </w:p>
        </w:tc>
        <w:tc>
          <w:tcPr>
            <w:tcW w:type="dxa" w:w="4535"/>
          </w:tcPr>
          <w:p>
            <w:pPr>
              <w:spacing w:after="0" w:before="0"/>
            </w:pPr>
            <w:r>
              <w:rPr>
                <w:b/>
              </w:rPr>
            </w:r>
            <w:r>
              <w:rPr>
                <w:b/>
              </w:rPr>
              <w:t>Điều kiện chung</w:t>
            </w:r>
          </w:p>
        </w:tc>
      </w:tr>
      <w:tr>
        <w:tc>
          <w:tcPr>
            <w:tcW w:type="dxa" w:w="4535"/>
          </w:tcPr>
          <w:p>
            <w:pPr>
              <w:spacing w:after="0" w:before="0"/>
            </w:pPr>
            <w:r/>
            <w:r>
              <w:t>ĐKCT</w:t>
            </w:r>
          </w:p>
        </w:tc>
        <w:tc>
          <w:tcPr>
            <w:tcW w:type="dxa" w:w="4535"/>
          </w:tcPr>
          <w:p>
            <w:pPr>
              <w:spacing w:after="0" w:before="0"/>
            </w:pPr>
            <w:r/>
            <w:r>
              <w:t>Điều kiện cụ thể</w:t>
            </w:r>
          </w:p>
        </w:tc>
      </w:tr>
      <w:tr>
        <w:tc>
          <w:tcPr>
            <w:tcW w:type="dxa" w:w="4535"/>
          </w:tcPr>
          <w:p>
            <w:pPr>
              <w:spacing w:after="0" w:before="0"/>
            </w:pPr>
            <w:r/>
            <w:r>
              <w:t>HSMT</w:t>
            </w:r>
          </w:p>
        </w:tc>
        <w:tc>
          <w:tcPr>
            <w:tcW w:type="dxa" w:w="4535"/>
          </w:tcPr>
          <w:p>
            <w:pPr>
              <w:spacing w:after="0" w:before="0"/>
            </w:pPr>
            <w:r/>
            <w:r>
              <w:t>Hồ sơ mời thầu</w:t>
            </w:r>
          </w:p>
        </w:tc>
      </w:tr>
      <w:tr>
        <w:tc>
          <w:tcPr>
            <w:tcW w:type="dxa" w:w="4535"/>
          </w:tcPr>
          <w:p>
            <w:pPr>
              <w:spacing w:after="0" w:before="0"/>
            </w:pPr>
            <w:r/>
            <w:r>
              <w:t>HSYC</w:t>
            </w:r>
          </w:p>
        </w:tc>
        <w:tc>
          <w:tcPr>
            <w:tcW w:type="dxa" w:w="4535"/>
          </w:tcPr>
          <w:p>
            <w:pPr>
              <w:spacing w:after="0" w:before="0"/>
            </w:pPr>
            <w:r/>
            <w:r>
              <w:t>Hồ sơ yêu cầu</w:t>
            </w:r>
          </w:p>
        </w:tc>
      </w:tr>
      <w:tr>
        <w:tc>
          <w:tcPr>
            <w:tcW w:type="dxa" w:w="4535"/>
          </w:tcPr>
          <w:p>
            <w:pPr>
              <w:spacing w:after="0" w:before="0"/>
            </w:pPr>
            <w:r/>
            <w:r>
              <w:t>HSDT</w:t>
            </w:r>
          </w:p>
        </w:tc>
        <w:tc>
          <w:tcPr>
            <w:tcW w:type="dxa" w:w="4535"/>
          </w:tcPr>
          <w:p>
            <w:pPr>
              <w:spacing w:after="0" w:before="0"/>
            </w:pPr>
            <w:r/>
            <w:r>
              <w:t>Hồ sơ dự thầu</w:t>
            </w:r>
          </w:p>
        </w:tc>
      </w:tr>
      <w:tr>
        <w:tc>
          <w:tcPr>
            <w:tcW w:type="dxa" w:w="4535"/>
          </w:tcPr>
          <w:p>
            <w:pPr>
              <w:spacing w:after="0" w:before="0"/>
            </w:pPr>
            <w:r/>
            <w:r>
              <w:t>HSĐX</w:t>
            </w:r>
          </w:p>
        </w:tc>
        <w:tc>
          <w:tcPr>
            <w:tcW w:type="dxa" w:w="4535"/>
          </w:tcPr>
          <w:p>
            <w:pPr>
              <w:spacing w:after="0" w:before="0"/>
            </w:pPr>
            <w:r/>
            <w:r>
              <w:t>Hồ sơ đề xuất</w:t>
            </w:r>
          </w:p>
        </w:tc>
      </w:tr>
      <w:tr>
        <w:tc>
          <w:tcPr>
            <w:tcW w:type="dxa" w:w="4535"/>
          </w:tcPr>
          <w:p>
            <w:pPr>
              <w:spacing w:after="0" w:before="0"/>
            </w:pPr>
            <w:r/>
            <w:r>
              <w:t>Luật Xây dựng số 50/2014/QH13</w:t>
            </w:r>
          </w:p>
        </w:tc>
        <w:tc>
          <w:tcPr>
            <w:tcW w:type="dxa" w:w="4535"/>
          </w:tcPr>
          <w:p>
            <w:pPr>
              <w:spacing w:after="0" w:before="0"/>
            </w:pPr>
            <w:r/>
            <w:r>
              <w:t>Luật Xây dựng số 50/2014/QH13 ngày 18/6/2014 của Quốc hội.</w:t>
            </w:r>
          </w:p>
        </w:tc>
      </w:tr>
      <w:tr>
        <w:tc>
          <w:tcPr>
            <w:tcW w:type="dxa" w:w="4535"/>
          </w:tcPr>
          <w:p>
            <w:pPr>
              <w:spacing w:after="0" w:before="0"/>
            </w:pPr>
            <w:r/>
            <w:r>
              <w:t>Luật số 62/2020/QH14</w:t>
            </w:r>
          </w:p>
        </w:tc>
        <w:tc>
          <w:tcPr>
            <w:tcW w:type="dxa" w:w="4535"/>
          </w:tcPr>
          <w:p>
            <w:pPr>
              <w:spacing w:after="0" w:before="0"/>
            </w:pPr>
            <w:r/>
            <w:r>
              <w:t>Luật số 62/2020/QH14 ngày 17/6/2020 của Quốc hội sửa đổi, bổ sung một số điều của Luật Xây dựng.</w:t>
            </w:r>
          </w:p>
        </w:tc>
      </w:tr>
      <w:tr>
        <w:tc>
          <w:tcPr>
            <w:tcW w:type="dxa" w:w="4535"/>
          </w:tcPr>
          <w:p>
            <w:pPr>
              <w:spacing w:after="0" w:before="0"/>
            </w:pPr>
            <w:r/>
            <w:r>
              <w:t>Nghị định số 37/2015/NĐ -CP</w:t>
            </w:r>
          </w:p>
        </w:tc>
        <w:tc>
          <w:tcPr>
            <w:tcW w:type="dxa" w:w="4535"/>
          </w:tcPr>
          <w:p>
            <w:pPr>
              <w:spacing w:after="0" w:before="0"/>
            </w:pPr>
            <w:r/>
            <w:r>
              <w:t>Nghị định số 37/2015/NĐ -CP ngày 22 tháng 4 năm 2015 của Chính phủ quy định chi tiết về hợp đồng xây dựng.</w:t>
            </w:r>
          </w:p>
        </w:tc>
      </w:tr>
      <w:tr>
        <w:tc>
          <w:tcPr>
            <w:tcW w:type="dxa" w:w="4535"/>
          </w:tcPr>
          <w:p>
            <w:pPr>
              <w:spacing w:after="0" w:before="0"/>
            </w:pPr>
            <w:r/>
            <w:r>
              <w:t>Nghị định số 50/2021/NĐ -CP</w:t>
            </w:r>
          </w:p>
        </w:tc>
        <w:tc>
          <w:tcPr>
            <w:tcW w:type="dxa" w:w="4535"/>
          </w:tcPr>
          <w:p>
            <w:pPr>
              <w:spacing w:after="0" w:before="0"/>
            </w:pPr>
            <w:r/>
            <w:r>
              <w:t>Nghị định số 50/2021/NĐ -CP sửa đổi, bổ sung một số điều của Nghị định số 37/2015/NĐ -CP ngày 22 tháng 4 năm 2015 của Chính phủ quy định chi tiết về hợp đồng xây dựng.</w:t>
            </w:r>
          </w:p>
        </w:tc>
      </w:tr>
      <w:tr>
        <w:tc>
          <w:tcPr>
            <w:tcW w:type="dxa" w:w="4535"/>
          </w:tcPr>
          <w:p>
            <w:pPr>
              <w:spacing w:after="0" w:before="0"/>
            </w:pPr>
            <w:r/>
            <w:r>
              <w:t>Nghị định số 06/2021/NĐ -CP</w:t>
            </w:r>
          </w:p>
        </w:tc>
        <w:tc>
          <w:tcPr>
            <w:tcW w:type="dxa" w:w="4535"/>
          </w:tcPr>
          <w:p>
            <w:pPr>
              <w:spacing w:after="0" w:before="0"/>
            </w:pPr>
            <w:r/>
            <w:r>
              <w:t>Nghị định số 06/2021/NĐ - CP ngày 21 tháng 01 năm 2021 của Chính phủ quy định chi tiết một số nội dung về quản lý chất lượng, thi công xây dựng và bảo trì công trình xây dựng.</w:t>
            </w:r>
          </w:p>
        </w:tc>
      </w:tr>
      <w:tr>
        <w:tc>
          <w:tcPr>
            <w:tcW w:type="dxa" w:w="4535"/>
          </w:tcPr>
          <w:p>
            <w:pPr>
              <w:spacing w:after="0" w:before="0"/>
            </w:pPr>
            <w:r/>
            <w:r>
              <w:t>Nghị định số 175/2024/NĐ -CP</w:t>
            </w:r>
          </w:p>
        </w:tc>
        <w:tc>
          <w:tcPr>
            <w:tcW w:type="dxa" w:w="4535"/>
          </w:tcPr>
          <w:p>
            <w:pPr>
              <w:spacing w:after="0" w:before="0"/>
            </w:pPr>
            <w:r/>
            <w:r>
              <w:t>Nghị định 175/2024/NĐ - CP hướng dẫn về quản lý dự án đầu tư xây dựng</w:t>
            </w:r>
          </w:p>
        </w:tc>
      </w:tr>
    </w:tbl>
    <w:p>
      <w:pPr>
        <w:pStyle w:val="Heading2"/>
        <w:jc w:val="center"/>
      </w:pPr>
      <w:r>
        <w:rPr>
          <w:rFonts w:ascii="Times New Roman" w:hAnsi="Times New Roman"/>
          <w:color w:val="000000"/>
        </w:rPr>
        <w:t>PHẦN 1. THÔNG TIN GIAO DỊCH</w:t>
      </w:r>
    </w:p>
    <w:p>
      <w:pPr>
        <w:ind w:firstLine="560"/>
      </w:pPr>
      <w:r>
        <w:t>Hôm nay, ngày     tháng năm 2025 tại Văn phòng Sở Xây dựng tỉnh Đồng Nai chúng tôi gồm các bên dưới đây:</w:t>
      </w:r>
    </w:p>
    <w:p>
      <w:pPr>
        <w:pStyle w:val="Heading2"/>
        <w:jc w:val="center"/>
      </w:pPr>
      <w:r>
        <w:rPr>
          <w:rFonts w:ascii="Times New Roman" w:hAnsi="Times New Roman"/>
          <w:color w:val="000000"/>
        </w:rPr>
        <w:t>1. Chủ đầu tư (Bên A): Sở Xây dựng tỉnh Đồng Nai</w:t>
      </w:r>
    </w:p>
    <w:p>
      <w:pPr>
        <w:ind w:firstLine="560"/>
      </w:pPr>
      <w:r>
        <w:t>.</w:t>
      </w:r>
    </w:p>
    <w:p>
      <w:pPr>
        <w:ind w:firstLine="560"/>
      </w:pPr>
      <w:r>
        <w:t>Đại diện là:  Ông ĐỖ THÀNH PHƯƠNG Chức vụ: Phó Giám đốc phụ trách</w:t>
      </w:r>
    </w:p>
    <w:p>
      <w:pPr>
        <w:ind w:firstLine="560"/>
      </w:pPr>
      <w:r>
        <w:t>(Quyết định số 564/QĐ -UBND ngày 27/02/2025 của Chủ tịch UBND Đồng Nai về việc giao phụ trách điều hành Sở Xây dựng)</w:t>
      </w:r>
    </w:p>
    <w:p>
      <w:pPr>
        <w:ind w:firstLine="560"/>
      </w:pPr>
      <w:r>
        <w:t>Đị a ch ỉ : tỉnh Đồng Nai.</w:t>
      </w:r>
    </w:p>
    <w:p>
      <w:pPr>
        <w:ind w:firstLine="560"/>
      </w:pPr>
      <w:r>
        <w:t>số 38 Phan Chu Trinh, phường Quang Vinh, thành phố Biên Hòa,</w:t>
      </w:r>
    </w:p>
    <w:p>
      <w:pPr>
        <w:ind w:firstLine="560"/>
      </w:pPr>
      <w:r>
        <w:t>Số tài khoản: 9527.2.1134760, T ại : Phòng Giao dịch số 13 Kho bạc Nhà</w:t>
      </w:r>
    </w:p>
    <w:p>
      <w:pPr>
        <w:ind w:firstLine="560"/>
      </w:pPr>
      <w:r>
        <w:t>nước khu vực X V.</w:t>
      </w:r>
    </w:p>
    <w:p>
      <w:pPr>
        <w:ind w:firstLine="560"/>
      </w:pPr>
      <w:r>
        <w:t>Mã số thuế:</w:t>
      </w:r>
    </w:p>
    <w:p>
      <w:pPr>
        <w:ind w:firstLine="560"/>
      </w:pPr>
      <w:r>
        <w:t>3600360828.</w:t>
      </w:r>
    </w:p>
    <w:p>
      <w:pPr>
        <w:ind w:firstLine="560"/>
      </w:pPr>
      <w:r>
        <w:t>Điện thoại:</w:t>
      </w:r>
    </w:p>
    <w:p>
      <w:pPr>
        <w:ind w:firstLine="560"/>
      </w:pPr>
      <w:r>
        <w:t>0251.3846283               Fax: 0251.3846795</w:t>
      </w:r>
    </w:p>
    <w:p>
      <w:pPr>
        <w:ind w:firstLine="560"/>
      </w:pPr>
      <w:r>
        <w:t>Và bên kia là:</w:t>
      </w:r>
    </w:p>
    <w:p>
      <w:pPr>
        <w:pStyle w:val="ListBullet"/>
      </w:pPr>
      <w:r>
        <w:t>2.</w:t>
      </w:r>
    </w:p>
    <w:p>
      <w:pPr>
        <w:pStyle w:val="Heading2"/>
        <w:jc w:val="center"/>
      </w:pPr>
      <w:r>
        <w:rPr>
          <w:rFonts w:ascii="Times New Roman" w:hAnsi="Times New Roman"/>
          <w:color w:val="000000"/>
        </w:rPr>
        <w:t>Nhà thầu tư vấn (Bên B): Công ty TNHH Hợp Nhất Bách Việt</w:t>
      </w:r>
    </w:p>
    <w:p>
      <w:pPr>
        <w:ind w:firstLine="560"/>
      </w:pPr>
      <w:r>
        <w:t>Đại diện là: Ông</w:t>
      </w:r>
    </w:p>
    <w:p>
      <w:pPr>
        <w:ind w:firstLine="560"/>
      </w:pPr>
      <w:r>
        <w:t>PHAN VIỆT TUYÊN</w:t>
      </w:r>
    </w:p>
    <w:p>
      <w:pPr>
        <w:ind w:firstLine="560"/>
      </w:pPr>
      <w:r>
        <w:t>C hức vụ:</w:t>
      </w:r>
    </w:p>
    <w:p>
      <w:pPr>
        <w:ind w:firstLine="560"/>
      </w:pPr>
      <w:r>
        <w:t>Giám đốc</w:t>
      </w:r>
    </w:p>
    <w:p>
      <w:pPr>
        <w:ind w:firstLine="560"/>
      </w:pPr>
      <w:r>
        <w:t>Địa chỉ: 369/16 Lò Lu, Phường Trường Thạnh, thành phố Thủ Đức, TP. Hồ</w:t>
      </w:r>
    </w:p>
    <w:p>
      <w:pPr>
        <w:ind w:firstLine="560"/>
      </w:pPr>
      <w:r>
        <w:t>Chí Minh.</w:t>
      </w:r>
    </w:p>
    <w:p>
      <w:pPr>
        <w:ind w:firstLine="560"/>
      </w:pPr>
      <w:r>
        <w:t>Điện thoại: 0283.535.6895.</w:t>
      </w:r>
    </w:p>
    <w:p>
      <w:pPr>
        <w:ind w:firstLine="560"/>
      </w:pPr>
      <w:r>
        <w:t>Mã số thuế: 0315606813.</w:t>
      </w:r>
    </w:p>
    <w:p>
      <w:pPr>
        <w:ind w:firstLine="560"/>
      </w:pPr>
      <w:r>
        <w:t>Số tài khoản: 62636266 Ngân hàng TMCP Kỹ thương Việt Nam - Chi nhánh Hiệp Phú.</w:t>
      </w:r>
    </w:p>
    <w:p>
      <w:pPr>
        <w:ind w:firstLine="560"/>
      </w:pPr>
      <w:r>
        <w:t>Hai bên cùng thống nhất ký hợp đồng Gói thầu số 02 (tư vấn): Khảo sát đo đạc lập bản đồ địa hình, thuộc kế hoạch lựa chọn nhà thầu Lập quy hoạch phân khu xây dựng tỷ lệ 1/2000 khu chức năng khu vực trên đỉnh núi Chứa Chan, thuộc dự toán mua sắm Lập quy hoạch phân khu xây dựng tỷ lệ 1/2000 khu chức năng khu vực trên đỉnh núi Chứa Chan như sau:</w:t>
      </w:r>
    </w:p>
    <w:p>
      <w:pPr>
        <w:pStyle w:val="Heading2"/>
        <w:jc w:val="center"/>
      </w:pPr>
      <w:r>
        <w:rPr>
          <w:rFonts w:ascii="Times New Roman" w:hAnsi="Times New Roman"/>
          <w:color w:val="000000"/>
        </w:rPr>
        <w:t>PHẦN 2. CÁC CĂN CỨ KÝ KẾT HỢP ĐỒNG</w:t>
      </w:r>
    </w:p>
    <w:p>
      <w:pPr>
        <w:ind w:firstLine="560"/>
      </w:pPr>
      <w:r>
        <w:t>-Luật Xây dựng số 50/2014/QH13 ngày 18/6/2014;</w:t>
      </w:r>
    </w:p>
    <w:p>
      <w:pPr>
        <w:ind w:firstLine="560"/>
      </w:pPr>
      <w:r>
        <w:t>-Luật Đấu thầu số 22/2023/QH15 ngày 23 tháng 6 năm 2023;</w:t>
      </w:r>
    </w:p>
    <w:p>
      <w:pPr>
        <w:ind w:firstLine="560"/>
      </w:pPr>
      <w:r>
        <w:t>-Nghị định số 24/2024/NĐ -CP ngày 27 tháng 02 năm 2024 của Chính phủ về Quy định chi tiết một số điều và biện pháp thi hành Luật Đấu thầu về lựa chọn nhà thầu;</w:t>
      </w:r>
    </w:p>
    <w:p>
      <w:pPr>
        <w:ind w:firstLine="560"/>
      </w:pPr>
      <w:r>
        <w:t>-Nghị định số 17/2025/NĐ -CP ngày 06 tháng 2 năm 2025 của Chính phủ về sửa đổi, bổ sung một số điều của các Nghị định quy định chi tiết một số điều và biện pháp thi hành Luật Đấu thầu;</w:t>
      </w:r>
    </w:p>
    <w:p>
      <w:pPr>
        <w:ind w:firstLine="560"/>
      </w:pPr>
      <w:r>
        <w:t>-Thông tư số 22/2024/TT -BKHĐT ngày 17 tháng 11 năm 2024 của Bộ Kế hoạch và Đầu tư h ướng dẫn việc cung cấp, đăng tải thông tin về lựa chọn nhà thầu và mẫu hồ sơ đấu thầu trên Hệ thống mạng đấu thầu quốc gia ;</w:t>
      </w:r>
    </w:p>
    <w:p>
      <w:pPr>
        <w:ind w:firstLine="560"/>
      </w:pPr>
      <w:r>
        <w:t>-Nghị định số 37/2015/NĐ -CP ngày 22/4/2015 của Chính Phủ quy định chi tiết về hợp đồng thi công xây dựng; Nghị định 50/2021/NĐ -CP ngày 01/04/2021 của Chính Phủ Về việc sửa đổi, bổ sung một số điều của Nghị định 37/2015/NĐ -CP ngày 22/4/2015 của Chính Phủ quy định chi tiết về hợp đồng thi công xây dựng;</w:t>
      </w:r>
    </w:p>
    <w:p>
      <w:pPr>
        <w:ind w:firstLine="560"/>
      </w:pPr>
      <w:r>
        <w:t>-Nghị định số 06/2021/NĐ -CP ngày 26/01/2021 của Chính phủ quy định chi tiết một số nội dung về quản lý chất lượng, thi công xây dựng và bảo trì công trình xây dựng;</w:t>
      </w:r>
    </w:p>
    <w:p>
      <w:pPr>
        <w:ind w:firstLine="560"/>
      </w:pPr>
      <w:r>
        <w:t>-Nghị định số 10/2021/NĐ -CP ngày 09/02/2021 của Chính phủ về quản lý chi phí đầu tư xây dựng công trình;</w:t>
      </w:r>
    </w:p>
    <w:p>
      <w:pPr>
        <w:ind w:firstLine="560"/>
      </w:pPr>
      <w:r>
        <w:t>-Quyết định số 197/QĐ -SXD ngày 09/09/2024 của Sở Xây dựng tỉnh Đồng Nai về việc phê duyệt phê duyệt nhiệm vụ khảo sát địa hình và dự toán chi phí khảo sát phục vụ lập quy hoạch phân khu xây dựng tỷ lệ 1/2.000 Khu chức năng khu vực trên đỉnh núi Chứa Chan;</w:t>
      </w:r>
    </w:p>
    <w:p>
      <w:pPr>
        <w:ind w:firstLine="560"/>
      </w:pPr>
      <w:r>
        <w:t>-Quyết định số 2677/QĐ -UBND ngày 12/9/2024 của UBND tỉnh Đồng Nai v ề việc phê duyệt dự toán kinh phí lập quy hoạch phân khu xây dựng tỷ lệ 1/2.000 Khu chức năng khu vực trên đỉnh núi Chứa Chan;</w:t>
      </w:r>
    </w:p>
    <w:p>
      <w:pPr>
        <w:ind w:firstLine="560"/>
      </w:pPr>
      <w:r>
        <w:t>-Quyết định số 3311/QĐ -UBND ngày 06/11/2024 của UBND tỉnh Đồng Nai Về việc phê duyệt kế hoạch lựa chọn nhà thầu Lập quy hoạch phân khu xây dựng tỷ lệ 1/2.000 Khu chức năng khu vực trên đỉnh núi Chứa Chan;</w:t>
      </w:r>
    </w:p>
    <w:p>
      <w:pPr>
        <w:ind w:firstLine="560"/>
      </w:pPr>
      <w:r>
        <w:t>-Quyết định số E2500123839\_2504031548 ngày 21/04/2025 của Sở Xây dựng về việc phê duyệt E -HSMT Gói thầu số 02 (tư vấn): Khảo sát đo đạc lập bản đồ địa hình, thuộc kế hoạch lựa chọn nhà thầu Lập quy hoạch phân khu xây dựng tỷ lệ 1/2.000 Khu chức năng khu vực trên đỉnh núi Chứa Chan;</w:t>
      </w:r>
    </w:p>
    <w:p>
      <w:pPr>
        <w:ind w:firstLine="560"/>
      </w:pPr>
      <w:r>
        <w:t>-Quyết định số 169/QĐ -SoXD ngày 29/04/2025 của Sở Xây dựng tỉnh Đồng Nai về việc phê duyệt danh sách nhà thầu đáp ứng yêu cầu về kỹ thuật Gói thầu số 02 (tư vấn): Khảo sát đo đạc lập bản đồ địa hình, thuộc kế hoạch lựa chọn nhà thầu</w:t>
      </w:r>
    </w:p>
    <w:p>
      <w:pPr>
        <w:ind w:firstLine="560"/>
      </w:pPr>
      <w:r>
        <w:t>Lập quy hoạch phân khu xây dựng tỷ lệ 1/2.000 Khu chức năng khu vực trên đỉnh núi Chứa Chan;</w:t>
      </w:r>
    </w:p>
    <w:p>
      <w:pPr>
        <w:ind w:firstLine="560"/>
      </w:pPr>
      <w:r>
        <w:t>-Quyết định số 181/QĐ -SoXD ngày 08/5/2025 của Sở Xây dựng về việc phê duyệt kết quả lựa chọn nhà thầu qua mạng Gói thầu số 02 (tư vấn): Khảo sát đo đạc lập bản đồ đia hình, thuộc kế hoạch lựa chọn nhà thầu Lập quy hoạch phân khu xây dựng tỷ lệ 1/2000 Khu chức năng khu vực trên đỉnh núi Chứa Chan, thuộc dự toán mua sắm Lập quy hoạch phân khu xây dựng tỷ lệ 1/2000 Khu chức năng khu vực trên đỉnh núi Chứa Chan;</w:t>
      </w:r>
    </w:p>
    <w:p>
      <w:pPr>
        <w:ind w:firstLine="560"/>
      </w:pPr>
      <w:r>
        <w:t>-Quyết  định  số  KQ2500123839\_2505081454  ngày  08/5/2025  của  Sở  Xây dựng về việc phê duyệt kết quả lựa chọn nhà thầu qua mạng Gói thầu số 02 (tư vấn): Khảo sát đo đạc lập bản đồ đia hình, thuộc kế hoạch lựa chọn nhà thầu Lập quy hoạch phân khu xây dựng tỷ lệ 1/2000 Khu chức năng khu vực trên đỉnh núi Chứa Chan, thuộc dự toán mua sắm Lập quy hoạch phân khu xây dựng tỷ lệ 1/2000 Khu chức năng khu vực trên đỉnh núi Chứa Chan;</w:t>
      </w:r>
    </w:p>
    <w:p>
      <w:pPr>
        <w:ind w:firstLine="560"/>
      </w:pPr>
      <w:r>
        <w:t>-Thông tư 24/2018/TT -BTNMT ngày 15/11/2018 của Bộ Tài Nguyên và Môi Trường quy định về kiểm tra, thẩm định và nghiệm thu chất lượng công trình, sản phẩm đo đạc và bản đồ;</w:t>
      </w:r>
    </w:p>
    <w:p>
      <w:pPr>
        <w:ind w:firstLine="560"/>
      </w:pPr>
      <w:r>
        <w:t>-Thông tư số 19/2024/TT -BTNMT ngày 31/10/2024 của Bộ Tài Nguyên và Môi Trường sửa đổi, bổ sung một số điều của Thông tư 24/2018/TT -BTNMT ngày 15/11/2018 của Bộ Tài Nguyên và Môi Trường quy định về kiểm tra, thẩm định và nghiệm thu chất lượng công trình, sản phẩm đo đạc và bản đồ.</w:t>
      </w:r>
    </w:p>
    <w:p>
      <w:pPr>
        <w:pStyle w:val="Heading2"/>
        <w:jc w:val="center"/>
      </w:pPr>
      <w:r>
        <w:rPr>
          <w:rFonts w:ascii="Times New Roman" w:hAnsi="Times New Roman"/>
          <w:color w:val="000000"/>
        </w:rPr>
        <w:t>PHẦN 3. ĐIỀU KIỆN CHUNG CỦA HỢP ĐỒNG</w:t>
      </w:r>
    </w:p>
    <w:p>
      <w:pPr>
        <w:pStyle w:val="Heading2"/>
        <w:jc w:val="center"/>
      </w:pPr>
      <w:r>
        <w:rPr>
          <w:rFonts w:ascii="Times New Roman" w:hAnsi="Times New Roman"/>
          <w:color w:val="000000"/>
        </w:rPr>
        <w:t>Điều 1. Diễn giải</w:t>
      </w:r>
    </w:p>
    <w:p>
      <w:pPr>
        <w:ind w:firstLine="560"/>
      </w:pPr>
      <w:r>
        <w:t>Các từ và cụm từ trong hợp đồng này được hiểu theo các định nghĩa và diễn giải sau đây:</w:t>
      </w:r>
    </w:p>
    <w:p>
      <w:pPr>
        <w:pStyle w:val="ListNumber"/>
      </w:pPr>
      <w:r>
        <w:t>Chủ đầu tư là</w:t>
      </w:r>
    </w:p>
    <w:p>
      <w:pPr>
        <w:pStyle w:val="ListNumber"/>
      </w:pPr>
      <w:r>
        <w:t>Sở Xây dựng tỉnh Đồng Nai</w:t>
      </w:r>
    </w:p>
    <w:p>
      <w:pPr>
        <w:pStyle w:val="ListNumber"/>
      </w:pPr>
      <w:r>
        <w:t>Nhà thầu tư vấn là Công ty TNHH Hợp Nhất Bách Việt</w:t>
      </w:r>
    </w:p>
    <w:p>
      <w:pPr>
        <w:pStyle w:val="ListNumber"/>
      </w:pPr>
      <w:r>
        <w:t>.</w:t>
      </w:r>
    </w:p>
    <w:p>
      <w:pPr>
        <w:pStyle w:val="ListNumber"/>
      </w:pPr>
      <w:r>
        <w:t>Lập quy hoạch phân khu xây dựng tỷ lệ 1/2.000 Khu chức năng</w:t>
      </w:r>
    </w:p>
    <w:p>
      <w:pPr>
        <w:pStyle w:val="ListNumber"/>
      </w:pPr>
      <w:r>
        <w:t>Dự án là khu vực trên đỉnh núi Chứa Chan .</w:t>
      </w:r>
    </w:p>
    <w:p>
      <w:pPr>
        <w:pStyle w:val="ListNumber"/>
      </w:pPr>
      <w:r>
        <w:t>4 . Gói thầu là Gói thầu số 02 (tư vấn): Khảo sát đo đạc lập bản đồ địa hình, thuộc kế hoạch lựa chọn nhà thầu Lập quy hoạch phân khu xây dựng tỷ lệ 1/2.000 Khu chức năng khu vực trên đỉnh núi Chứa Chan.</w:t>
      </w:r>
    </w:p>
    <w:p>
      <w:pPr>
        <w:pStyle w:val="ListNumber"/>
      </w:pPr>
      <w:r>
        <w:t>5 . Đại diện Chủ đầu tư là người được Chủ đầu tư nêu ra trong hợp đồng hoặc được ủy quyền và thay mặt cho Chủ đầu tư điều hành công việc.</w:t>
      </w:r>
    </w:p>
    <w:p>
      <w:pPr>
        <w:pStyle w:val="ListBullet"/>
      </w:pPr>
      <w:r>
        <w:t>6 . Đại diện Nhà thầu tư vấn là người được Nhà thầu tư vấn nêu ra trong hợp đồng hoặc được Nhà thầu tư vấn chỉ định và thay mặt Nhà thầu tư vấn điều hành công việc.</w:t>
      </w:r>
    </w:p>
    <w:p>
      <w:pPr>
        <w:pStyle w:val="ListBullet"/>
      </w:pPr>
      <w:r>
        <w:t>7 . Nhà thầu phụ là tổ chức hay cá nhân ký hợp đồng với Nhà thầu tư vấn để trực tiếp thực hiện công việc.</w:t>
      </w:r>
    </w:p>
    <w:p>
      <w:pPr>
        <w:pStyle w:val="ListBullet"/>
      </w:pPr>
      <w:r>
        <w:t>8 . Hợp đồng là toàn bộ Hồ sơ hợp đồng tư vấn xây dựng theo quy định tại Điều 3 [Hồ sơ hợp đồng tư vấn xây dựng và thứ tự ưu tiên].</w:t>
      </w:r>
    </w:p>
    <w:p>
      <w:pPr>
        <w:pStyle w:val="ListBullet"/>
      </w:pPr>
      <w:r>
        <w:t>9</w:t>
      </w:r>
    </w:p>
    <w:p>
      <w:pPr>
        <w:pStyle w:val="ListBullet"/>
      </w:pPr>
      <w:r>
        <w:t>. Bên là Chủ đầu tư hoặc Nhà thầu tư vấn tùy theo hoàn cảnh cụ thể.</w:t>
      </w:r>
    </w:p>
    <w:p>
      <w:pPr>
        <w:pStyle w:val="ListBullet"/>
      </w:pPr>
      <w:r>
        <w:t>10 . Ngày được hiểu là ngày dương lịch và tháng được hiểu là tháng dương lịch.</w:t>
      </w:r>
    </w:p>
    <w:p>
      <w:pPr>
        <w:pStyle w:val="ListBullet"/>
      </w:pPr>
      <w:r>
        <w:t>. Ngày làm việc được hiểu là các ngày theo dương lịch, trừ ngày chủ nhật,</w:t>
      </w:r>
    </w:p>
    <w:p>
      <w:pPr>
        <w:pStyle w:val="ListBullet"/>
      </w:pPr>
      <w:r>
        <w:t>11 ngày nghỉ lễ, tết theo quy định của pháp luật.</w:t>
      </w:r>
    </w:p>
    <w:p>
      <w:pPr>
        <w:pStyle w:val="ListBullet"/>
      </w:pPr>
      <w:r>
        <w:t>12 . Luật là toàn bộ hệ thống luật pháp của nước Cộng hòa Xã hội Chủ nghĩa Việt Nam.</w:t>
      </w:r>
    </w:p>
    <w:p>
      <w:pPr>
        <w:pStyle w:val="Heading2"/>
        <w:jc w:val="center"/>
      </w:pPr>
      <w:r>
        <w:rPr>
          <w:rFonts w:ascii="Times New Roman" w:hAnsi="Times New Roman"/>
          <w:color w:val="000000"/>
        </w:rPr>
        <w:t>Điều 2. Loại hợp đồng</w:t>
      </w:r>
    </w:p>
    <w:p>
      <w:pPr>
        <w:ind w:firstLine="560"/>
      </w:pPr>
      <w:r>
        <w:t>Loại hợp đồng: Hợp đồng trọn gói</w:t>
      </w:r>
    </w:p>
    <w:p>
      <w:pPr>
        <w:ind w:firstLine="560"/>
      </w:pPr>
      <w:r>
        <w:t>.</w:t>
      </w:r>
    </w:p>
    <w:p>
      <w:pPr>
        <w:pStyle w:val="Heading2"/>
        <w:jc w:val="center"/>
      </w:pPr>
      <w:r>
        <w:rPr>
          <w:rFonts w:ascii="Times New Roman" w:hAnsi="Times New Roman"/>
          <w:color w:val="000000"/>
        </w:rPr>
        <w:t>Điều 3. Hồ sơ hợp đồng tư vấn xây dựng và thứ tự ưu tiên</w:t>
      </w:r>
    </w:p>
    <w:p>
      <w:pPr>
        <w:pStyle w:val="ListNumber"/>
      </w:pPr>
      <w:r>
        <w:t>Hồ sơ hợp đồng bao gồm hợp đồng tư vấn xây dựng và các tài liệu tại khoản 2 dưới đây.</w:t>
      </w:r>
    </w:p>
    <w:p>
      <w:pPr>
        <w:pStyle w:val="ListNumber"/>
      </w:pPr>
      <w:r>
        <w:t>Các tài liệu kèm theo hợp đồng là bộ phận không tách rời của hợp đồng tư vấn xây dựng. Các tài liệu kèm theo hợp đồng và thứ tự ưu tiên để xử lý mâu thuẫn giữa các tài liệu bao gồm:</w:t>
      </w:r>
    </w:p>
    <w:p>
      <w:pPr>
        <w:pStyle w:val="ListBullet"/>
      </w:pPr>
      <w:r>
        <w:t>a) Văn bản thông báo trúng thầu hoặc chỉ định thầu;</w:t>
      </w:r>
    </w:p>
    <w:p>
      <w:pPr>
        <w:pStyle w:val="ListBullet"/>
      </w:pPr>
      <w:r>
        <w:t>b) Điều kiện cụ thể của hợp đồng hoặc Điều khoản tham chiếu đối với hợp đồng tư vấn xây dựng;</w:t>
      </w:r>
    </w:p>
    <w:p>
      <w:pPr>
        <w:pStyle w:val="ListBullet"/>
      </w:pPr>
      <w:r>
        <w:t>c) Điều kiện chung của hợp đồng;</w:t>
      </w:r>
    </w:p>
    <w:p>
      <w:pPr>
        <w:pStyle w:val="ListBullet"/>
      </w:pPr>
      <w:r>
        <w:t>e) Biên bản đàm phán hợp đồng, văn bản sửa đổi, bổ sung hợp đồng;</w:t>
      </w:r>
    </w:p>
    <w:p>
      <w:pPr>
        <w:pStyle w:val="ListBullet"/>
      </w:pPr>
      <w:r>
        <w:t>f) Các phụ lục của hợp đồng;</w:t>
      </w:r>
    </w:p>
    <w:p>
      <w:pPr>
        <w:pStyle w:val="ListBullet"/>
      </w:pPr>
      <w:r>
        <w:t>g) Các tài liệu khác có liên quan.</w:t>
      </w:r>
    </w:p>
    <w:p>
      <w:pPr>
        <w:pStyle w:val="ListNumber"/>
      </w:pPr>
      <w:r>
        <w:t>Thứ tự ưu tiên áp dụng các tài liệu kèm theo hợp đồng xây dựng áp dụng theo thứ tự quy định tại khoản 2 Điều này.</w:t>
      </w:r>
    </w:p>
    <w:p>
      <w:pPr>
        <w:pStyle w:val="Heading2"/>
        <w:jc w:val="center"/>
      </w:pPr>
      <w:r>
        <w:rPr>
          <w:rFonts w:ascii="Times New Roman" w:hAnsi="Times New Roman"/>
          <w:color w:val="000000"/>
        </w:rPr>
        <w:t>Điều 4. Trao đổi thông tin</w:t>
      </w:r>
    </w:p>
    <w:p>
      <w:pPr>
        <w:pStyle w:val="ListNumber"/>
      </w:pPr>
      <w:r>
        <w:t>Các thông báo, chấp thuận, chứng chỉ, quyết định,... đưa ra phải bằng văn bản và được chuyển đến bằng đường bưu điện, bằng fax, hoặc email theo địa chỉ các bên đã quy định trong hợp đồng.</w:t>
      </w:r>
    </w:p>
    <w:p>
      <w:pPr>
        <w:pStyle w:val="ListNumber"/>
      </w:pPr>
      <w:r>
        <w:t>Trường hợp bên nào thay đổi địa chỉ liên lạc thì phải thông báo cho bên kia để đảm bảo việc trao đổi thông tin. Nếu bên thay đổi địa chỉ mà không thông báo cho bên kia thì phải chịu trách nhiệm do việc thay đổi địa chỉ mà không thông báo.</w:t>
      </w:r>
    </w:p>
    <w:p>
      <w:pPr>
        <w:pStyle w:val="Heading2"/>
        <w:jc w:val="center"/>
      </w:pPr>
      <w:r>
        <w:rPr>
          <w:rFonts w:ascii="Times New Roman" w:hAnsi="Times New Roman"/>
          <w:color w:val="000000"/>
        </w:rPr>
        <w:t>Điều 5. Luật áp dụng và ngôn ngữ sử dụng trong hợp đồng</w:t>
      </w:r>
    </w:p>
    <w:p>
      <w:pPr>
        <w:pStyle w:val="ListNumber"/>
      </w:pPr>
      <w:r>
        <w:t>Hợp đồng này chịu sự điều chỉnh của hệ thống pháp luật của Việt Nam.</w:t>
      </w:r>
    </w:p>
    <w:p>
      <w:pPr>
        <w:pStyle w:val="ListNumber"/>
      </w:pPr>
      <w:r>
        <w:t>Ngôn ngữ của Hợp đồng này được thể hiện bằng tiếng Việt.</w:t>
      </w:r>
    </w:p>
    <w:p>
      <w:pPr>
        <w:pStyle w:val="ListNumber"/>
      </w:pPr>
      <w:r>
        <w:t>Điều 6. Bảo đảm thực hiện hợp đồng (nếu có) và bảo lãnh tạm ứng hợp đồng (đối với trường hợp các bên thỏa thuận phải có bảo lãnh tiền tạm ứng): Không áp dụng</w:t>
      </w:r>
    </w:p>
    <w:p>
      <w:pPr>
        <w:pStyle w:val="Heading2"/>
        <w:jc w:val="center"/>
      </w:pPr>
      <w:r>
        <w:rPr>
          <w:rFonts w:ascii="Times New Roman" w:hAnsi="Times New Roman"/>
          <w:color w:val="000000"/>
        </w:rPr>
        <w:t>Điều 7. Nội dung, khối lượng công việc và sản phẩm của hợp đồng tư vấn xây dựng.</w:t>
      </w:r>
    </w:p>
    <w:p>
      <w:pPr>
        <w:pStyle w:val="ListNumber"/>
      </w:pPr>
      <w:r>
        <w:t>Nội dung, khối lượng công việc và sản phẩm của Nhà thầu Tư vấn Khảo sát đo đạc lập bản đồ địa hình phục vụ Lập quy hoạch phân khu xây dựng tỷ lệ 1/2.000 Khu chức năng khu vực trên đỉnh núi Chứa Chan và các thỏa thuận tại các biên bản thương thảo hợp đồng giữa các bên bao gồm các nội dung chủ yếu sau:</w:t>
      </w:r>
    </w:p>
    <w:p>
      <w:pPr>
        <w:pStyle w:val="ListNumber"/>
      </w:pPr>
      <w:r>
        <w:t>-Lập phương án khảo sát địa hình;</w:t>
      </w:r>
    </w:p>
    <w:p>
      <w:pPr>
        <w:pStyle w:val="ListNumber"/>
      </w:pPr>
      <w:r>
        <w:t>-Thực hiện khảo sát, đo vẽ bản đồ địa hình phục vụ lập quy hoạch, cụ thể:</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after="0" w:before="0"/>
            </w:pPr>
            <w:r>
              <w:rPr>
                <w:b/>
              </w:rPr>
            </w:r>
            <w:r>
              <w:rPr>
                <w:b/>
              </w:rPr>
              <w:t>STT</w:t>
            </w:r>
          </w:p>
        </w:tc>
        <w:tc>
          <w:tcPr>
            <w:tcW w:type="dxa" w:w="2268"/>
          </w:tcPr>
          <w:p>
            <w:pPr>
              <w:spacing w:after="0" w:before="0"/>
            </w:pPr>
            <w:r>
              <w:rPr>
                <w:b/>
              </w:rPr>
            </w:r>
            <w:r>
              <w:rPr>
                <w:b/>
              </w:rPr>
              <w:t>Hạng mục công tác</w:t>
            </w:r>
          </w:p>
        </w:tc>
        <w:tc>
          <w:tcPr>
            <w:tcW w:type="dxa" w:w="2268"/>
          </w:tcPr>
          <w:p>
            <w:pPr>
              <w:spacing w:after="0" w:before="0"/>
            </w:pPr>
            <w:r>
              <w:rPr>
                <w:b/>
              </w:rPr>
            </w:r>
            <w:r>
              <w:rPr>
                <w:b/>
              </w:rPr>
              <w:t>Đơn vị</w:t>
            </w:r>
          </w:p>
        </w:tc>
        <w:tc>
          <w:tcPr>
            <w:tcW w:type="dxa" w:w="2268"/>
          </w:tcPr>
          <w:p>
            <w:pPr>
              <w:spacing w:after="0" w:before="0"/>
            </w:pPr>
            <w:r>
              <w:rPr>
                <w:b/>
              </w:rPr>
            </w:r>
            <w:r>
              <w:rPr>
                <w:b/>
              </w:rPr>
              <w:t>Khối lượng</w:t>
            </w:r>
          </w:p>
        </w:tc>
      </w:tr>
      <w:tr>
        <w:tc>
          <w:tcPr>
            <w:tcW w:type="dxa" w:w="2268"/>
          </w:tcPr>
          <w:p>
            <w:pPr>
              <w:spacing w:after="0" w:before="0"/>
            </w:pPr>
            <w:r/>
            <w:r>
              <w:t>1</w:t>
            </w:r>
          </w:p>
        </w:tc>
        <w:tc>
          <w:tcPr>
            <w:tcW w:type="dxa" w:w="2268"/>
          </w:tcPr>
          <w:p>
            <w:pPr>
              <w:spacing w:after="0" w:before="0"/>
            </w:pPr>
            <w:r/>
            <w:r>
              <w:t>Đo lưới khống chế mặt bằng đường chuyền hạng 4, bằng bộ thiết bị GPS (3 máy), địa hình cấp III</w:t>
            </w:r>
          </w:p>
        </w:tc>
        <w:tc>
          <w:tcPr>
            <w:tcW w:type="dxa" w:w="2268"/>
          </w:tcPr>
          <w:p>
            <w:pPr>
              <w:spacing w:after="0" w:before="0"/>
            </w:pPr>
            <w:r/>
            <w:r>
              <w:t>điểm</w:t>
            </w:r>
          </w:p>
        </w:tc>
        <w:tc>
          <w:tcPr>
            <w:tcW w:type="dxa" w:w="2268"/>
          </w:tcPr>
          <w:p>
            <w:pPr>
              <w:spacing w:after="0" w:before="0"/>
            </w:pPr>
            <w:r/>
            <w:r>
              <w:t>2</w:t>
            </w:r>
          </w:p>
        </w:tc>
      </w:tr>
      <w:tr>
        <w:tc>
          <w:tcPr>
            <w:tcW w:type="dxa" w:w="2268"/>
          </w:tcPr>
          <w:p>
            <w:pPr>
              <w:spacing w:after="0" w:before="0"/>
            </w:pPr>
            <w:r/>
            <w:r>
              <w:t>2</w:t>
            </w:r>
          </w:p>
        </w:tc>
        <w:tc>
          <w:tcPr>
            <w:tcW w:type="dxa" w:w="2268"/>
          </w:tcPr>
          <w:p>
            <w:pPr>
              <w:spacing w:after="0" w:before="0"/>
            </w:pPr>
            <w:r/>
            <w:r>
              <w:t>Đo lưới khống chế mặt bằng đường chuyền cấp 1, Bộ thiết bị GPS (3 máy), địa hình cấp III</w:t>
            </w:r>
          </w:p>
        </w:tc>
        <w:tc>
          <w:tcPr>
            <w:tcW w:type="dxa" w:w="2268"/>
          </w:tcPr>
          <w:p>
            <w:pPr>
              <w:spacing w:after="0" w:before="0"/>
            </w:pPr>
            <w:r/>
            <w:r>
              <w:t>điểm</w:t>
            </w:r>
          </w:p>
        </w:tc>
        <w:tc>
          <w:tcPr>
            <w:tcW w:type="dxa" w:w="2268"/>
          </w:tcPr>
          <w:p>
            <w:pPr>
              <w:spacing w:after="0" w:before="0"/>
            </w:pPr>
            <w:r/>
            <w:r>
              <w:t>4</w:t>
            </w:r>
          </w:p>
        </w:tc>
      </w:tr>
      <w:tr>
        <w:tc>
          <w:tcPr>
            <w:tcW w:type="dxa" w:w="2268"/>
          </w:tcPr>
          <w:p>
            <w:pPr>
              <w:spacing w:after="0" w:before="0"/>
            </w:pPr>
            <w:r/>
            <w:r>
              <w:t>3</w:t>
            </w:r>
          </w:p>
        </w:tc>
        <w:tc>
          <w:tcPr>
            <w:tcW w:type="dxa" w:w="2268"/>
          </w:tcPr>
          <w:p>
            <w:pPr>
              <w:spacing w:after="0" w:before="0"/>
            </w:pPr>
            <w:r/>
            <w:r>
              <w:t>Đo lưới khống chế mặt bằng đường chuyền cấp 2, Bộ thiết bị GPS (3 máy), địa hình cấp III</w:t>
            </w:r>
          </w:p>
        </w:tc>
        <w:tc>
          <w:tcPr>
            <w:tcW w:type="dxa" w:w="2268"/>
          </w:tcPr>
          <w:p>
            <w:pPr>
              <w:spacing w:after="0" w:before="0"/>
            </w:pPr>
            <w:r/>
            <w:r>
              <w:t>điểm</w:t>
            </w:r>
          </w:p>
        </w:tc>
        <w:tc>
          <w:tcPr>
            <w:tcW w:type="dxa" w:w="2268"/>
          </w:tcPr>
          <w:p>
            <w:pPr>
              <w:spacing w:after="0" w:before="0"/>
            </w:pPr>
            <w:r/>
            <w:r>
              <w:t>6</w:t>
            </w:r>
          </w:p>
        </w:tc>
      </w:tr>
    </w:tbl>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after="0" w:before="0"/>
            </w:pPr>
            <w:r>
              <w:rPr>
                <w:b/>
              </w:rPr>
            </w:r>
            <w:r>
              <w:rPr>
                <w:b/>
              </w:rPr>
              <w:t>STT</w:t>
            </w:r>
          </w:p>
        </w:tc>
        <w:tc>
          <w:tcPr>
            <w:tcW w:type="dxa" w:w="2268"/>
          </w:tcPr>
          <w:p>
            <w:pPr>
              <w:spacing w:after="0" w:before="0"/>
            </w:pPr>
            <w:r>
              <w:rPr>
                <w:b/>
              </w:rPr>
            </w:r>
            <w:r>
              <w:rPr>
                <w:b/>
              </w:rPr>
              <w:t>Hạng mục công tác</w:t>
            </w:r>
          </w:p>
        </w:tc>
        <w:tc>
          <w:tcPr>
            <w:tcW w:type="dxa" w:w="2268"/>
          </w:tcPr>
          <w:p>
            <w:pPr>
              <w:spacing w:after="0" w:before="0"/>
            </w:pPr>
            <w:r>
              <w:rPr>
                <w:b/>
              </w:rPr>
            </w:r>
            <w:r>
              <w:rPr>
                <w:b/>
              </w:rPr>
              <w:t>Đơn vị</w:t>
            </w:r>
          </w:p>
        </w:tc>
        <w:tc>
          <w:tcPr>
            <w:tcW w:type="dxa" w:w="2268"/>
          </w:tcPr>
          <w:p>
            <w:pPr>
              <w:spacing w:after="0" w:before="0"/>
            </w:pPr>
            <w:r>
              <w:rPr>
                <w:b/>
              </w:rPr>
            </w:r>
            <w:r>
              <w:rPr>
                <w:b/>
              </w:rPr>
              <w:t>Khối lượng</w:t>
            </w:r>
          </w:p>
        </w:tc>
      </w:tr>
      <w:tr>
        <w:tc>
          <w:tcPr>
            <w:tcW w:type="dxa" w:w="2268"/>
          </w:tcPr>
          <w:p>
            <w:pPr>
              <w:spacing w:after="0" w:before="0"/>
            </w:pPr>
            <w:r/>
            <w:r>
              <w:t>4</w:t>
            </w:r>
          </w:p>
        </w:tc>
        <w:tc>
          <w:tcPr>
            <w:tcW w:type="dxa" w:w="2268"/>
          </w:tcPr>
          <w:p>
            <w:pPr>
              <w:spacing w:after="0" w:before="0"/>
            </w:pPr>
            <w:r/>
            <w:r>
              <w:t>Đo lưới khống chế độ cao thủy chuẩn hạng IV, cấp địa hình III</w:t>
            </w:r>
          </w:p>
        </w:tc>
        <w:tc>
          <w:tcPr>
            <w:tcW w:type="dxa" w:w="2268"/>
          </w:tcPr>
          <w:p>
            <w:pPr>
              <w:spacing w:after="0" w:before="0"/>
            </w:pPr>
            <w:r/>
            <w:r>
              <w:t>km</w:t>
            </w:r>
          </w:p>
        </w:tc>
        <w:tc>
          <w:tcPr>
            <w:tcW w:type="dxa" w:w="2268"/>
          </w:tcPr>
          <w:p>
            <w:pPr>
              <w:spacing w:after="0" w:before="0"/>
            </w:pPr>
            <w:r/>
            <w:r>
              <w:t>10</w:t>
            </w:r>
          </w:p>
        </w:tc>
      </w:tr>
      <w:tr>
        <w:tc>
          <w:tcPr>
            <w:tcW w:type="dxa" w:w="2268"/>
          </w:tcPr>
          <w:p>
            <w:pPr>
              <w:spacing w:after="0" w:before="0"/>
            </w:pPr>
            <w:r/>
            <w:r>
              <w:t>5</w:t>
            </w:r>
          </w:p>
        </w:tc>
        <w:tc>
          <w:tcPr>
            <w:tcW w:type="dxa" w:w="2268"/>
          </w:tcPr>
          <w:p>
            <w:pPr>
              <w:spacing w:after="0" w:before="0"/>
            </w:pPr>
            <w:r/>
            <w:r>
              <w:t>Đo lưới khống chế độ cao thủy chuẩn kỹ thuật, cấp địa hình III</w:t>
            </w:r>
          </w:p>
        </w:tc>
        <w:tc>
          <w:tcPr>
            <w:tcW w:type="dxa" w:w="2268"/>
          </w:tcPr>
          <w:p>
            <w:pPr>
              <w:spacing w:after="0" w:before="0"/>
            </w:pPr>
            <w:r/>
            <w:r>
              <w:t>km</w:t>
            </w:r>
          </w:p>
        </w:tc>
        <w:tc>
          <w:tcPr>
            <w:tcW w:type="dxa" w:w="2268"/>
          </w:tcPr>
          <w:p>
            <w:pPr>
              <w:spacing w:after="0" w:before="0"/>
            </w:pPr>
            <w:r/>
            <w:r>
              <w:t>15</w:t>
            </w:r>
          </w:p>
        </w:tc>
      </w:tr>
      <w:tr>
        <w:tc>
          <w:tcPr>
            <w:tcW w:type="dxa" w:w="2268"/>
          </w:tcPr>
          <w:p>
            <w:pPr>
              <w:spacing w:after="0" w:before="0"/>
            </w:pPr>
            <w:r/>
            <w:r>
              <w:t>6</w:t>
            </w:r>
          </w:p>
        </w:tc>
        <w:tc>
          <w:tcPr>
            <w:tcW w:type="dxa" w:w="2268"/>
          </w:tcPr>
          <w:p>
            <w:pPr>
              <w:spacing w:after="0" w:before="0"/>
            </w:pPr>
            <w:r/>
            <w:r>
              <w:t>Đo vẽ chi tiết bản đồ trên cạn, bản đồ tỷ lệ 1/2.000, đường đồng mức 2,0m, cấp địa hình IV</w:t>
            </w:r>
          </w:p>
        </w:tc>
        <w:tc>
          <w:tcPr>
            <w:tcW w:type="dxa" w:w="2268"/>
          </w:tcPr>
          <w:p>
            <w:pPr>
              <w:spacing w:after="0" w:before="0"/>
            </w:pPr>
            <w:r/>
            <w:r>
              <w:t>100ha</w:t>
            </w:r>
          </w:p>
        </w:tc>
        <w:tc>
          <w:tcPr>
            <w:tcW w:type="dxa" w:w="2268"/>
          </w:tcPr>
          <w:p>
            <w:pPr>
              <w:spacing w:after="0" w:before="0"/>
            </w:pPr>
            <w:r/>
            <w:r>
              <w:t>2,50</w:t>
            </w:r>
          </w:p>
        </w:tc>
      </w:tr>
    </w:tbl>
    <w:p>
      <w:pPr>
        <w:pStyle w:val="Heading2"/>
        <w:jc w:val="center"/>
      </w:pPr>
      <w:r>
        <w:rPr>
          <w:rFonts w:ascii="Times New Roman" w:hAnsi="Times New Roman"/>
          <w:color w:val="000000"/>
        </w:rPr>
        <w:t>2 . Sản phẩm của hợp đồng:</w:t>
      </w:r>
    </w:p>
    <w:p>
      <w:pPr>
        <w:ind w:firstLine="560"/>
      </w:pPr>
      <w:r>
        <w:t>S ố lượ ng s ả n ph ẩ m Bên B b àn giao từ thẩm định đến lưu trữ cho Bên A:</w:t>
      </w:r>
    </w:p>
    <w:p>
      <w:pPr>
        <w:ind w:firstLine="560"/>
      </w:pPr>
      <w:r>
        <w:t>-Nhiệm vụ khảo sát địa hình: 07 bộ;</w:t>
      </w:r>
    </w:p>
    <w:p>
      <w:pPr>
        <w:ind w:firstLine="560"/>
      </w:pPr>
      <w:r>
        <w:t>-Phương án khảo sát địa hình: 07 bộ;</w:t>
      </w:r>
    </w:p>
    <w:p>
      <w:pPr>
        <w:ind w:firstLine="560"/>
      </w:pPr>
      <w:r>
        <w:t>-Hồ sơ kết quả khảo sát địa hình của hợp đồng là 07 bộ và 01 USB chứa toàn bộ nội dung sản phẩm của hợp đồng và các tài liệu có liên quan khác (Nếu có).</w:t>
      </w:r>
    </w:p>
    <w:p>
      <w:pPr>
        <w:pStyle w:val="Heading2"/>
        <w:jc w:val="center"/>
      </w:pPr>
      <w:r>
        <w:rPr>
          <w:rFonts w:ascii="Times New Roman" w:hAnsi="Times New Roman"/>
          <w:color w:val="000000"/>
        </w:rPr>
        <w:t>Điều 8. Yêu cầu về chất lượng, số lượng sản phẩm tư vấn xây dựng</w:t>
      </w:r>
    </w:p>
    <w:p>
      <w:pPr>
        <w:pStyle w:val="Heading2"/>
        <w:jc w:val="center"/>
      </w:pPr>
      <w:r>
        <w:rPr>
          <w:rFonts w:ascii="Times New Roman" w:hAnsi="Times New Roman"/>
          <w:color w:val="000000"/>
        </w:rPr>
        <w:t>1. Yêu cầu về chất lượng sản phẩm:</w:t>
      </w:r>
    </w:p>
    <w:p>
      <w:pPr>
        <w:ind w:firstLine="560"/>
      </w:pPr>
      <w:r>
        <w:t>Chất lượng sản phẩm tư vấn xây dựng phải phù hợp với nội dung hợp đồng tư vấn đã ký kết giữa các bên; đảm bảo thực hiện đúng các quy định của pháp luật về đo đạc khảo sát địa hình . Những sai sót trong sản phẩm của hợp đồng tư vấn phải được bên nhận thầu hoàn chỉnh theo đúng các Điều khoản thỏa thuận trong hợp đồng tư vấn.</w:t>
      </w:r>
    </w:p>
    <w:p>
      <w:pPr>
        <w:pStyle w:val="ListNumber"/>
      </w:pPr>
      <w:r>
        <w:t>Số lượng hồ sơ sản phẩm tư vấn xây dựng của hợp đồng [quy định tại Khoản 2 Điều 7 ].</w:t>
      </w:r>
    </w:p>
    <w:p>
      <w:pPr>
        <w:pStyle w:val="Heading2"/>
        <w:jc w:val="center"/>
      </w:pPr>
      <w:r>
        <w:rPr>
          <w:rFonts w:ascii="Times New Roman" w:hAnsi="Times New Roman"/>
          <w:color w:val="000000"/>
        </w:rPr>
        <w:t>Điều 9. Căn cứ nghiệm thu sản phẩm tư vấn xây dựng</w:t>
      </w:r>
    </w:p>
    <w:p>
      <w:pPr>
        <w:pStyle w:val="ListNumber"/>
      </w:pPr>
      <w:r>
        <w:t>Căn cứ nghiệm thu sản phẩm của hợp đồng tư vấn xây dựng:</w:t>
      </w:r>
    </w:p>
    <w:p>
      <w:pPr>
        <w:pStyle w:val="ListBullet"/>
      </w:pPr>
      <w:r>
        <w:t>a) Hợp đồng tư vấn xây dựng đã ký kết giữa các bên;</w:t>
      </w:r>
    </w:p>
    <w:p>
      <w:pPr>
        <w:pStyle w:val="ListBullet"/>
      </w:pPr>
      <w:r>
        <w:t>b) Nhiệm vụ và phương án kỹ thuật khảo sát xây dựng được phê duyệt; Báo cáo kết quả khảo sát;</w:t>
      </w:r>
    </w:p>
    <w:p>
      <w:pPr>
        <w:pStyle w:val="ListBullet"/>
      </w:pPr>
      <w:r>
        <w:t>c) Bản đồ địa hình tỷ lệ 1/2000 ;</w:t>
      </w:r>
    </w:p>
    <w:p>
      <w:pPr>
        <w:pStyle w:val="ListBullet"/>
      </w:pPr>
      <w:r>
        <w:t>d) Kết quả do đơn vị giám sát kiểm tra xác nhận theo quy định tại Thông tư 24/2018/TTBTNMT ngày 15/11/2018 và Thông tư số 19/2024/TT -BTNMT ngày</w:t>
      </w:r>
    </w:p>
    <w:p>
      <w:pPr>
        <w:ind w:firstLine="560"/>
      </w:pPr>
      <w:r>
        <w:t>31/10/2024 của Bộ Tài Nguyên và Môi Trường sửa đổi, bổ sung một số điều của Thông tư 24/2018/TT -BTNMT ngày 15/11/2018 của Bộ Tài Nguyên và Môi Trường quy định về kiểm tra, thẩm định và nghiệm thu chất lượng công trình, sản phẩm đo đạc và bản đồ;</w:t>
      </w:r>
    </w:p>
    <w:p>
      <w:pPr>
        <w:pStyle w:val="ListBullet"/>
      </w:pPr>
      <w:r>
        <w:t>đ) Nhiệm vụ quy hoạch đã được phê duyệt;</w:t>
      </w:r>
    </w:p>
    <w:p>
      <w:pPr>
        <w:pStyle w:val="ListBullet"/>
      </w:pPr>
      <w:r>
        <w:t>e) Quy chuẩn, tiêu chuẩn xây dựng được áp dụng cho hợp đồng tư vấn;</w:t>
      </w:r>
    </w:p>
    <w:p>
      <w:pPr>
        <w:pStyle w:val="ListBullet"/>
      </w:pPr>
      <w:r>
        <w:t>g) Các tài liệu khác có liên quan.</w:t>
      </w:r>
    </w:p>
    <w:p>
      <w:pPr>
        <w:pStyle w:val="ListNumber"/>
      </w:pPr>
      <w:r>
        <w:t>Nghiệm thu sản phẩm</w:t>
      </w:r>
    </w:p>
    <w:p>
      <w:pPr>
        <w:ind w:firstLine="560"/>
      </w:pPr>
      <w:r>
        <w:t>Trên cơ sở khối lượng thực tế hoàn thành, sau khi đã nhận đầy đủ hồ sơ, tài liệu sản phẩm tư vấn xây dựng do nhà thầu cung cấp, chủ đầu tư căn cứ vào Hợp đồng này, các tiêu chuẩn, quy chuẩn để tổ chức nghiệm thu khối lượng công việc. Những sai sót trong sản phẩm tư vấn xây dựng nhà thầu phải hoàn chỉnh theo đúng các Điều khoản thỏa thuận trong Hợp đồng.</w:t>
      </w:r>
    </w:p>
    <w:p>
      <w:pPr>
        <w:pStyle w:val="Heading2"/>
        <w:jc w:val="center"/>
      </w:pPr>
      <w:r>
        <w:rPr>
          <w:rFonts w:ascii="Times New Roman" w:hAnsi="Times New Roman"/>
          <w:color w:val="000000"/>
        </w:rPr>
        <w:t>Điều 10. Giá hợp đồng</w:t>
      </w:r>
    </w:p>
    <w:p>
      <w:pPr>
        <w:pStyle w:val="ListNumber"/>
      </w:pPr>
      <w:r>
        <w:t>Giá hợp đồng</w:t>
      </w:r>
    </w:p>
    <w:p>
      <w:pPr>
        <w:pStyle w:val="ListBullet"/>
      </w:pPr>
      <w:r>
        <w:t>a) Giá hợp đồng (đã bao gồm thuế GTGT 8% ) được xác định với số tiền là 271.600.000 đồng (Bằng chữ: Hai trăm bảy mốt triệu, sáu trăm ngàn đồng chẵn ) .</w:t>
      </w:r>
    </w:p>
    <w:p>
      <w:pPr>
        <w:pStyle w:val="ListBullet"/>
      </w:pPr>
      <w:r>
        <w:t>b) Điều chỉnh giá hợp đồng thực hiện theo Điều 11 [Điều chỉnh đơn giá hợp đồng].</w:t>
      </w:r>
    </w:p>
    <w:p>
      <w:pPr>
        <w:pStyle w:val="ListNumber"/>
      </w:pPr>
      <w:r>
        <w:t>Nội dung của giá Hợp đồng</w:t>
      </w:r>
    </w:p>
    <w:p>
      <w:pPr>
        <w:pStyle w:val="ListBullet"/>
      </w:pPr>
      <w:r>
        <w:t>a) Nội dung của giá hợp đồng tư vấn bao gồm:</w:t>
      </w:r>
    </w:p>
    <w:p>
      <w:pPr>
        <w:pStyle w:val="ListNumber"/>
      </w:pPr>
      <w:r>
        <w:t>Chi phí chuyên gia (tiền lương và các chi phí liên quan), chi phí vật tư vật liệu, máy móc, chi phí quản lý, chi phí bảo hiểm trách nhiệm nghề nghiệp, thu nhập</w:t>
      </w:r>
    </w:p>
    <w:p>
      <w:pPr>
        <w:pStyle w:val="ListNumber"/>
      </w:pPr>
      <w:r>
        <w:t>-chịu thuế tính trước và thuế giá trị gia tăng.</w:t>
      </w:r>
    </w:p>
    <w:p>
      <w:pPr>
        <w:pStyle w:val="ListNumber"/>
      </w:pPr>
      <w:r>
        <w:t>-Chi phí cần thiết cho việc hoàn chỉnh sản phẩm tư vấn xây dựng sau các cuộc họp, báo cáo, kết quả thẩm định, phê duyệt.</w:t>
      </w:r>
    </w:p>
    <w:p>
      <w:pPr>
        <w:pStyle w:val="ListNumber"/>
      </w:pPr>
      <w:r>
        <w:t>-</w:t>
      </w:r>
    </w:p>
    <w:p>
      <w:pPr>
        <w:pStyle w:val="ListNumber"/>
      </w:pPr>
      <w:r>
        <w:t>Chi phí đi thực địa.</w:t>
      </w:r>
    </w:p>
    <w:p>
      <w:pPr>
        <w:pStyle w:val="ListNumber"/>
      </w:pPr>
      <w:r>
        <w:t>Chi phí đi lại khi tham gia vào quá trình nghiệm thu theo yêu cầu của bên</w:t>
      </w:r>
    </w:p>
    <w:p>
      <w:pPr>
        <w:pStyle w:val="ListNumber"/>
      </w:pPr>
      <w:r>
        <w:t>-giao thầu.</w:t>
      </w:r>
    </w:p>
    <w:p>
      <w:pPr>
        <w:pStyle w:val="ListBullet"/>
      </w:pPr>
      <w:r>
        <w:t>Chi phí khác có liên quan.</w:t>
      </w:r>
    </w:p>
    <w:p>
      <w:pPr>
        <w:pStyle w:val="ListBullet"/>
      </w:pPr>
      <w:r>
        <w:t>b) Giá hợp đồng tư vấn xây dựng không bao gồm:</w:t>
      </w:r>
    </w:p>
    <w:p>
      <w:pPr>
        <w:pStyle w:val="ListNumber"/>
      </w:pPr>
      <w:r>
        <w:t>-</w:t>
      </w:r>
    </w:p>
    <w:p>
      <w:pPr>
        <w:pStyle w:val="ListNumber"/>
      </w:pPr>
      <w:r>
        <w:t>Chi phí cho các cuộc họp của bên giao thầu.</w:t>
      </w:r>
    </w:p>
    <w:p>
      <w:pPr>
        <w:pStyle w:val="ListNumber"/>
      </w:pPr>
      <w:r>
        <w:t>-Chi phí thẩm tra, thẩm định, phê duyệt sản phẩm của hợp đồng tư vấn.</w:t>
      </w:r>
    </w:p>
    <w:p>
      <w:pPr>
        <w:pStyle w:val="ListNumber"/>
      </w:pPr>
      <w:r>
        <w:t>-Chi phí khác mà các bên thỏa thuận không bao gồm trong giá hợp đồng.</w:t>
      </w:r>
    </w:p>
    <w:p>
      <w:pPr>
        <w:pStyle w:val="Heading2"/>
        <w:jc w:val="center"/>
      </w:pPr>
      <w:r>
        <w:rPr>
          <w:rFonts w:ascii="Times New Roman" w:hAnsi="Times New Roman"/>
          <w:color w:val="000000"/>
        </w:rPr>
        <w:t>Điều 11. Điều chỉnh đơn giá, khối lượng công việc, một số nội dung khác</w:t>
      </w:r>
    </w:p>
    <w:p>
      <w:pPr>
        <w:ind w:firstLine="560"/>
      </w:pPr>
      <w:r>
        <w:t>trong hợp đồng và giá hợp đồng xây dựng.</w:t>
      </w:r>
    </w:p>
    <w:p>
      <w:pPr>
        <w:pStyle w:val="ListNumber"/>
      </w:pPr>
      <w:r>
        <w:t>Phương pháp điều chỉnh giá hợp đồng</w:t>
      </w:r>
    </w:p>
    <w:p>
      <w:pPr>
        <w:pStyle w:val="ListNumber"/>
      </w:pPr>
      <w:r>
        <w:t>-Phương pháp điều chỉnh giá hợp đồng xây dựng thực hiện theo hướng dẫn tại Phụ lục I kèm theo Thông tư 02/2023/TT -BXD ngày 03/3/2023 của Bộ Xây dựng hướng dẫn một số nội dung về hợp đồng xây dựng. Việc áp dụng các phương pháp điều chỉnh giá phải phù hợp với tính chất công việc, loại giá hợp đồng, đồng tiền thanh toán và phải được thỏa thuận trong hợp đồng.</w:t>
      </w:r>
    </w:p>
    <w:p>
      <w:pPr>
        <w:pStyle w:val="ListNumber"/>
      </w:pPr>
      <w:r>
        <w:t>-Đối với hợp đồng tư vấn xây dựng thực hiện thanh toán theo thời gian (theo tháng, tuần, ngày, giờ) thì việc điều chỉnh mức tiền lương cho chuyên gia thực hiện theo công thức điều chỉnh cho một yếu tố chi phí nhân công tại mục I Phụ lục I kèm theo Thông t ư 02/2023/TT -BXD ngày 03/3/2023 của Bộ Xây dựng hướng dẫn một số nội dung về hợp đồng xây dựng.</w:t>
      </w:r>
    </w:p>
    <w:p>
      <w:pPr>
        <w:pStyle w:val="ListNumber"/>
      </w:pPr>
      <w:r>
        <w:t>Điều chỉnh khối lượng công việc của hợp đồng tư vấn</w:t>
      </w:r>
    </w:p>
    <w:p>
      <w:pPr>
        <w:ind w:firstLine="560"/>
      </w:pPr>
      <w:r>
        <w:t>Việc điều chỉnh khối lượng công việc trong hợp đồng thực hiện theo quy định tại CP được sửa đổi, bổ sung tại khoản 13 Điều 1 Nghị CP và Điều 4 Thông tư hướng dẫn một số nội dung về hợp đồng</w:t>
      </w:r>
    </w:p>
    <w:p>
      <w:pPr>
        <w:ind w:firstLine="560"/>
      </w:pPr>
      <w:r>
        <w:t>Điều 37 Nghị định số 37/2015/NĐ -định số 50/2021/NĐ -xây dựng .</w:t>
      </w:r>
    </w:p>
    <w:p>
      <w:pPr>
        <w:ind w:firstLine="560"/>
      </w:pPr>
      <w:r>
        <w:t>Các trường hợp được điều chỉnh khối lượng của hợp đồng tư vấn là các trường hợp nằm ngoài nhiệm vụ tư vấn phải thực hiện.</w:t>
      </w:r>
    </w:p>
    <w:p>
      <w:pPr>
        <w:pStyle w:val="ListNumber"/>
      </w:pPr>
      <w:r>
        <w:t>Điều chỉnh tiến độ của hợp đồng tư vấn</w:t>
      </w:r>
    </w:p>
    <w:p>
      <w:pPr>
        <w:pStyle w:val="ListNumber"/>
      </w:pPr>
      <w:r>
        <w:t>-Việc điều chỉnh tiến độ thực hiện hợp đồng thực hiện theo quy định tại Điều 39 Nghị định số 37/2015/NĐ -CP.</w:t>
      </w:r>
    </w:p>
    <w:p>
      <w:pPr>
        <w:pStyle w:val="ListNumber"/>
      </w:pPr>
      <w:r>
        <w:t>-Khi điều chỉnh tiến độ hợp đồng xây dựng quy định tại điểm a khoản 2 Điều 39 Nghị định số 37/2015/NĐ -CP, Chủ đầu tư và Nhà thầu tư vấn có trách nhiệm đánh giá tác động của các sự kiện bất khả kháng đến tiến độ thực hiện hợp đồng xây dựng để xác định, quyết định điều chỉnh cho phù hợp.</w:t>
      </w:r>
    </w:p>
    <w:p>
      <w:pPr>
        <w:ind w:firstLine="560"/>
      </w:pPr>
      <w:r>
        <w:t>-Trường hợp tạm dừng thực hiện công việc theo yêu cầu của Cơ quan nhà nước  có  thẩm  quyền  theo  quy  định  tại  điểm  d  khoản  2  Điều  39  Nghị  định  số 37/2015/NĐ -CP cần thực hiện các công việc sau:</w:t>
      </w:r>
    </w:p>
    <w:p>
      <w:pPr>
        <w:ind w:firstLine="560"/>
      </w:pPr>
      <w:r>
        <w:t>+ Chủ đầu tư, Nhà thầu tư vấn căn cứ yêu cầu tạm dừng của Cơ quan nhà nước có thẩm quyền, đánh giá tác động đến tiến độ thực hiện hợp đồng xây dựng làm cơ sở xác định, thỏa thuận điều chỉnh tiến độ thực hiện hợp đồng.</w:t>
      </w:r>
    </w:p>
    <w:p>
      <w:pPr>
        <w:ind w:firstLine="560"/>
      </w:pPr>
      <w:r>
        <w:t>+ Trường hợp phát sinh chi phí do kéo dài thời gian thực hiện hợp đồng thì Chủ đầu tư, Nhà thầu tư vấn căn cứ nội dung hợp đồng, hướng dẫn của Cơ quan nhà nước có thẩm quyền về sự kiện dẫn đến tạm dừng thực hiện hợp đồng xây dựng làm cơ sở xác định, thỏa thuận về các khoản mục chi phí phát sinh hợp lý.</w:t>
      </w:r>
    </w:p>
    <w:p>
      <w:pPr>
        <w:ind w:firstLine="560"/>
      </w:pPr>
      <w:r>
        <w:t>-Các trường hợp được điều chỉnh tiến độ thực hiện hợp đồng tư vấn :</w:t>
      </w:r>
    </w:p>
    <w:p>
      <w:pPr>
        <w:ind w:firstLine="560"/>
      </w:pPr>
      <w:r>
        <w:t>+ Do ảnh hưởng của động đất, bão, lũ, sóng thần, hỏa hoạn, địch họa hoặc các sự kiện bất khả kháng.</w:t>
      </w:r>
    </w:p>
    <w:p>
      <w:pPr>
        <w:ind w:firstLine="560"/>
      </w:pPr>
      <w:r>
        <w:t>+ Tạm dừng thực hiện công việc theo yêu cầu của cơ quan nhà nước có thẩm quyền mà không do lỗi của bên giao thầu gây ra.</w:t>
      </w:r>
    </w:p>
    <w:p>
      <w:pPr>
        <w:ind w:firstLine="560"/>
      </w:pPr>
      <w:r>
        <w:t>+ Điều chỉnh, thay đổi phạm vi, khối lượng công việc tư vấn làm ảnh hưởng đến tiến độ.</w:t>
      </w:r>
    </w:p>
    <w:p>
      <w:pPr>
        <w:pStyle w:val="Heading2"/>
        <w:jc w:val="center"/>
      </w:pPr>
      <w:r>
        <w:rPr>
          <w:rFonts w:ascii="Times New Roman" w:hAnsi="Times New Roman"/>
          <w:color w:val="000000"/>
        </w:rPr>
        <w:t>Điều 12. Quyền và nghĩa vụ của Nhà thầu tư vấn</w:t>
      </w:r>
    </w:p>
    <w:p>
      <w:pPr>
        <w:pStyle w:val="ListNumber"/>
      </w:pPr>
      <w:r>
        <w:t>Quyền của Nhà thầu tư vấn:</w:t>
      </w:r>
    </w:p>
    <w:p>
      <w:pPr>
        <w:pStyle w:val="ListBullet"/>
      </w:pPr>
      <w:r>
        <w:t>a) Yêu cầu Chủ đầu tư cung cấp thông tin, tài liệu liên quan đến nhiệm vụ tư vấn và phương tiện làm việc theo thỏa thuận hợp đồng (nếu có).</w:t>
      </w:r>
    </w:p>
    <w:p>
      <w:pPr>
        <w:pStyle w:val="ListBullet"/>
      </w:pPr>
      <w:r>
        <w:t>b) Được đề xuất thay đổi điều kiện cung cấp dịch vụ tư vấn vì lợi ích của Chủ đầu tư hoặc khi phát hiện các yếu tố ảnh hưởng đến chất lượng sản phẩm tư vấn.</w:t>
      </w:r>
    </w:p>
    <w:p>
      <w:pPr>
        <w:pStyle w:val="ListBullet"/>
      </w:pPr>
      <w:r>
        <w:t>c) Từ chối thực hiện công việc không hợp lý ngoài phạm vi hợp đồng và những yêu cầu trái pháp luật của Chủ đầu tư.</w:t>
      </w:r>
    </w:p>
    <w:p>
      <w:pPr>
        <w:pStyle w:val="ListBullet"/>
      </w:pPr>
      <w:r>
        <w:t>d) Được đảm bảo quyền tác giả theo quy định của pháp luật (đối với sản phẩm tư vấn có quyền tác giả).</w:t>
      </w:r>
    </w:p>
    <w:p>
      <w:pPr>
        <w:pStyle w:val="ListNumber"/>
      </w:pPr>
      <w:r>
        <w:t>đ) Được quyền yêu cầu Chủ đầu tư thanh toán đúng hạn, yêu cầu thanh toán các khoản lãi vay do chậm thanh toán theo quy định.</w:t>
      </w:r>
    </w:p>
    <w:p>
      <w:pPr>
        <w:pStyle w:val="ListNumber"/>
      </w:pPr>
      <w:r>
        <w:t>Nghĩa vụ của Nhà thầu tư vấn:</w:t>
      </w:r>
    </w:p>
    <w:p>
      <w:pPr>
        <w:pStyle w:val="ListBullet"/>
      </w:pPr>
      <w:r>
        <w:t>a) Hoàn thành công việc đúng tiến độ, chất lượng theo thỏa thuận trong hợp đồng.</w:t>
      </w:r>
    </w:p>
    <w:p>
      <w:pPr>
        <w:pStyle w:val="ListBullet"/>
      </w:pPr>
      <w:r>
        <w:t>b) Bảo quản và giao lại cho Chủ đầu tư những tài liệu và phương tiện làm việc do Chủ đầu tư cung cấp theo hợp đồng sau khi hoàn thành công việc (nếu có).</w:t>
      </w:r>
    </w:p>
    <w:p>
      <w:pPr>
        <w:pStyle w:val="ListBullet"/>
      </w:pPr>
      <w:r>
        <w:t>c) Thông báo ngay bằng văn bản cho Chủ đầu tư về những thông tin, tài liệu không đầy đủ, phương tiện làm việc không đảm bảo chất lượng để hoàn thành công việc.</w:t>
      </w:r>
    </w:p>
    <w:p>
      <w:pPr>
        <w:pStyle w:val="ListBullet"/>
      </w:pPr>
      <w:r>
        <w:t>d) Giữ bí mật thông tin liên quan đến dịch vụ tư vấn mà hợp đồng và pháp luật có quy định.</w:t>
      </w:r>
    </w:p>
    <w:p>
      <w:pPr>
        <w:pStyle w:val="ListNumber"/>
      </w:pPr>
      <w:r>
        <w:t>đ) Thu thập các thông tin cần thiết để phục vụ cho công việc của hợp đồng:</w:t>
      </w:r>
    </w:p>
    <w:p>
      <w:pPr>
        <w:ind w:firstLine="560"/>
      </w:pPr>
      <w:r>
        <w:t>Nhà thầu tư vấn phải thu thập các thông tin liên quan đến các vấn đề có thể ảnh hưởng đến tiến độ, giá hợp đồng hoặc trách nhiệm của Nhà thầu tư vấn theo hợp đồng, hoặc các rủi ro có thể phát sinh cho Nhà thầu tư vấn trong việc thực hiện công việc tư vấn xây dựng được quy định trong hợp đồng.</w:t>
      </w:r>
    </w:p>
    <w:p>
      <w:pPr>
        <w:ind w:firstLine="560"/>
      </w:pPr>
      <w:r>
        <w:t>Trường hợp lỗi trong việc thu thập thông tin, hoặc bất kỳ vấn đề nào khác của Nhà thầu tư vấn để hoàn thành công việc tư vấn xây dựng theo các điều khoản được quy định trong hợp đồng thì Nhà thầu tư vấn phải chịu trách nhiệm.</w:t>
      </w:r>
    </w:p>
    <w:p>
      <w:pPr>
        <w:pStyle w:val="ListBullet"/>
      </w:pPr>
      <w:r>
        <w:t>e) Thực hiện công việc đúng pháp luật, quy chuẩn, tiêu chuẩn áp dụng cho hợp đồng và đảm bảo rằng tư vấn phụ (nếu có), nhân lực của tư vấn và tư vấn phụ sẽ luôn tuân thủ luật pháp.</w:t>
      </w:r>
    </w:p>
    <w:p>
      <w:pPr>
        <w:pStyle w:val="ListBullet"/>
      </w:pPr>
      <w:r>
        <w:t>g) Nộp cho Chủ đầu tư các báo cáo và các tài liệu với số lượng và thời gian quy định trong hợp đồng. Nhà thầu tư vấn thông báo đầy đủ và kịp thời tất cả các thông tin liên quan đến công việc tư vấn xây dựng có thể làm chậm trễ hoặc cản trở việc hoàn thành các công việc theo tiến độ và đề xuất giải pháp thực hiện.</w:t>
      </w:r>
    </w:p>
    <w:p>
      <w:pPr>
        <w:pStyle w:val="ListBullet"/>
      </w:pPr>
      <w:r>
        <w:t>h) Nhà thầu tư vấn có trách nhiệm trình bày và bảo vệ các quan điểm về các nội dung của công việc tư vấn xây dựng trong các buổi họp trình duyệt của các cấp có thẩm quyền do Chủ đầu tư tổ chức.</w:t>
      </w:r>
    </w:p>
    <w:p>
      <w:pPr>
        <w:pStyle w:val="ListBullet"/>
      </w:pPr>
      <w:r>
        <w:t>i) Sản phẩm tư vấn xây dựng phải được thực hiện bởi các chuyên gia có đủ điều kiện năng lực hành nghề theo quy định của pháp luật. Nhà thầu tư vấn phải sắp xếp, bố trí nhân lực của mình hoặc của nhà thầu phụ có kinh nghiệm và năng lực cần</w:t>
      </w:r>
    </w:p>
    <w:p>
      <w:pPr>
        <w:ind w:firstLine="560"/>
      </w:pPr>
      <w:r>
        <w:t>thiết như danh sách đã được Chủ đầu tư phê duyệt để thực hiện công việc tư vấn xây dựng.</w:t>
      </w:r>
    </w:p>
    <w:p>
      <w:pPr>
        <w:pStyle w:val="ListBullet"/>
      </w:pPr>
      <w:r>
        <w:t>k) Cử đại diện có đủ thẩm quyền, năng lực để giải quyết các công việc còn vướng mắc tại bất kỳ thời điểm theo yêu cầu của Chủ đầu tư cho tới ngày nghiệm thu sản phẩm tư vấn đối với tư vấn Khảo sát đo đạc lập bản đồ địa hình phục vụ lập quy hoạch phân khu xây dựng tỷ lệ 1/2.000 Khu chức năng khu vực trên đỉnh núi Chứa Chan .</w:t>
      </w:r>
    </w:p>
    <w:p>
      <w:pPr>
        <w:pStyle w:val="ListBullet"/>
      </w:pPr>
      <w:r>
        <w:t>l) Cung cấp hồ sơ, tài liệu phục vụ cho các cuộc họp, báo cáo, thẩm định,... với số lượng và thời gian theo đúng tiến độ được thỏa thuận trong hợp đồng tư vấn xây dựng đã ký kết.</w:t>
      </w:r>
    </w:p>
    <w:p>
      <w:pPr>
        <w:pStyle w:val="ListBullet"/>
      </w:pPr>
      <w:r>
        <w:t>m) Tuân thủ các yêu cầu và hướng dẫn của Chủ đầu tư, trừ những hướng dẫn hoặc yêu cầu trái với luật pháp hoặc không thể thực hiện được.</w:t>
      </w:r>
    </w:p>
    <w:p>
      <w:pPr>
        <w:pStyle w:val="ListBullet"/>
      </w:pPr>
      <w:r>
        <w:t>n) Bồi thường thiệt hại do lỗi của mình gây ra khi thực hiện không đúng nội dung hợp đồng tư vấn xây dựng đã ký kết.</w:t>
      </w:r>
    </w:p>
    <w:p>
      <w:pPr>
        <w:pStyle w:val="Heading2"/>
        <w:jc w:val="center"/>
      </w:pPr>
      <w:r>
        <w:rPr>
          <w:rFonts w:ascii="Times New Roman" w:hAnsi="Times New Roman"/>
          <w:color w:val="000000"/>
        </w:rPr>
        <w:t>Điều 13. Quyền và nghĩa vụ của Chủ đầu tư</w:t>
      </w:r>
    </w:p>
    <w:p>
      <w:pPr>
        <w:pStyle w:val="ListNumber"/>
      </w:pPr>
      <w:r>
        <w:t>Quyền của Chủ đầu tư:</w:t>
      </w:r>
    </w:p>
    <w:p>
      <w:pPr>
        <w:pStyle w:val="ListBullet"/>
      </w:pPr>
      <w:r>
        <w:t>a) Được quyền sở hữu và sử dụng sản phẩm tư vấn xây dựng theo hợp đồng.</w:t>
      </w:r>
    </w:p>
    <w:p>
      <w:pPr>
        <w:pStyle w:val="ListBullet"/>
      </w:pPr>
      <w:r>
        <w:t>b) Từ chối nghiệm thu sản phẩm tư vấn xây dựng không đạt chất lượng theo hợp đồng.</w:t>
      </w:r>
    </w:p>
    <w:p>
      <w:pPr>
        <w:pStyle w:val="ListBullet"/>
      </w:pPr>
      <w:r>
        <w:t>c) Kiểm tra chất lượng công việc của Nhà thầu tư vấn nhưng không làm cản trở hoạt động bình thường của Nhà thầu tư vấn.</w:t>
      </w:r>
    </w:p>
    <w:p>
      <w:pPr>
        <w:pStyle w:val="ListBullet"/>
      </w:pPr>
      <w:r>
        <w:t>d) Yêu cầu sửa đổi, bổ sung sản phẩm tư vấn không đảm bảo chất lượng theo thỏa thuận hợp đồng.</w:t>
      </w:r>
    </w:p>
    <w:p>
      <w:pPr>
        <w:pStyle w:val="ListNumber"/>
      </w:pPr>
      <w:r>
        <w:t>đ) Yêu cầu Nhà thầu tư vấn thay đổi cá nhân tư vấn không đáp ứng được yêu cầu năng lực theo quy định.</w:t>
      </w:r>
    </w:p>
    <w:p>
      <w:pPr>
        <w:pStyle w:val="ListNumber"/>
      </w:pPr>
      <w:r>
        <w:t>Nghĩa vụ của Chủ đầu tư:</w:t>
      </w:r>
    </w:p>
    <w:p>
      <w:pPr>
        <w:pStyle w:val="ListBullet"/>
      </w:pPr>
      <w:r>
        <w:t>a) Cung cấp cho Nhà thầu tư vấn thông tin về yêu cầu công việc, tài liệu, bảo đảm thanh toán và các phương tiện cần thiết để thực hiện công việc theo thỏa thuận trong hợp đồng (nếu có).</w:t>
      </w:r>
    </w:p>
    <w:p>
      <w:pPr>
        <w:pStyle w:val="ListBullet"/>
      </w:pPr>
      <w:r>
        <w:t>b) Bảo đảm quyền tác giả đối với sản phẩm tư vấn có quyền tác giả theo hợp đồng.</w:t>
      </w:r>
    </w:p>
    <w:p>
      <w:pPr>
        <w:pStyle w:val="ListBullet"/>
      </w:pPr>
      <w:r>
        <w:t>c) Giải quyết kiến nghị của Nhà thầu tư vấn theo thẩm quyền trong quá trình thực hiện hợp đồng đúng thời hạn do các bên thỏa thuận trong hợp đồng.</w:t>
      </w:r>
    </w:p>
    <w:p>
      <w:pPr>
        <w:pStyle w:val="ListBullet"/>
      </w:pPr>
      <w:r>
        <w:t>d) Thanh toán đầy đủ cho Nhà thầu tư vấn theo đúng tiến độ thanh toán đã thỏa thuận trong hợp đồng.</w:t>
      </w:r>
    </w:p>
    <w:p>
      <w:pPr>
        <w:pStyle w:val="ListNumber"/>
      </w:pPr>
      <w:r>
        <w:t>đ) Hướng dẫn Nhà thầu tư vấn về những nội dung liên quan đến dự án và HSMT (hoặc HSYC); tạo điều kiện để Nhà thầu tư vấn được tiếp cận với công trình, thực địa.</w:t>
      </w:r>
    </w:p>
    <w:p>
      <w:pPr>
        <w:pStyle w:val="ListBullet"/>
      </w:pPr>
      <w:r>
        <w:t>e) Cử người có năng lực phù hợp để làm việc với Nhà thầu tư vấn.</w:t>
      </w:r>
    </w:p>
    <w:p>
      <w:pPr>
        <w:pStyle w:val="ListBullet"/>
      </w:pPr>
      <w:r>
        <w:t>g) Tạo điều kiện cho Nhà thầu tư vấn thực hiện công việc tư vấn xây dựng, thủ tục hải quan (nếu có).</w:t>
      </w:r>
    </w:p>
    <w:p>
      <w:pPr>
        <w:pStyle w:val="ListBullet"/>
      </w:pPr>
      <w:r>
        <w:t>h) Chịu trách nhiệm về tính chính xác và đầy đủ của các tài liệu do mình cung cấp. Bồi thường thiệt hại cho Nhà thầu tư vấn nếu Chủ đầu tư cung cấp thông tin không chính xác, không đầy đủ theo quy định của hợp đồng.</w:t>
      </w:r>
    </w:p>
    <w:p>
      <w:pPr>
        <w:pStyle w:val="Heading2"/>
        <w:jc w:val="center"/>
      </w:pPr>
      <w:r>
        <w:rPr>
          <w:rFonts w:ascii="Times New Roman" w:hAnsi="Times New Roman"/>
          <w:color w:val="000000"/>
        </w:rPr>
        <w:t>Điều 14. Nhà thầu phụ (nếu có): Không áp dụng</w:t>
      </w:r>
    </w:p>
    <w:p>
      <w:pPr>
        <w:pStyle w:val="Heading2"/>
        <w:jc w:val="center"/>
      </w:pPr>
      <w:r>
        <w:rPr>
          <w:rFonts w:ascii="Times New Roman" w:hAnsi="Times New Roman"/>
          <w:color w:val="000000"/>
        </w:rPr>
        <w:t>Điều 15. Nhân lực của Nhà thầu tư vấn</w:t>
      </w:r>
    </w:p>
    <w:p>
      <w:pPr>
        <w:pStyle w:val="ListNumber"/>
      </w:pPr>
      <w:r>
        <w:t>Nhân lực của Nhà thầu tư vấn và nhà thầu phụ phải đủ điều kiện năng lực, trình độ chuyên môn, kinh nghiệm phù hợp về nghề nghiệp, công việc của họ và phù hợp với quy định về điều kiện năng lực trong pháp luật xây dựng.</w:t>
      </w:r>
    </w:p>
    <w:p>
      <w:pPr>
        <w:pStyle w:val="ListNumber"/>
      </w:pPr>
      <w:r>
        <w:t>Trường hợp thay đổi nhân sự, nhà thầu phải trình bày lý do, đồng thời cung cấp lý lịch của người thay thế cho chủ đầu tư, người thay thế phải có trình độ tương đương hoặc cao hơn người bị thay thế. Nếu chủ đầu tư không có ý kiến về nhân sự thay thế trong vòng 07 ngày kể từ ngày nhận được đề nghị của nhà thầu thì nhân sự đó coi như được chủ đầu tư chấp thuận.</w:t>
      </w:r>
    </w:p>
    <w:p>
      <w:pPr>
        <w:pStyle w:val="ListNumber"/>
      </w:pPr>
      <w:r>
        <w:t>Chủ đầu tư có quyền yêu cầu Nhà thầu tư vấn thay thế nhân sự nếu người đó không đáp ứng được yêu cầu của Chủ đầu tư hoặc không đúng với hồ sơ nhân sự trong hợp đồng. Trong trường hợp này, Nhà thầu tư vấn phải gửi văn bản thông báo cho Chủ đầu tư trong vòng 05 ngày kể từ ngày nhận được yêu cầu của Chủ đầu tư về việc thay đổi nhân sự. Trừ trường hợp có thỏa thuận khác, mọi chi phí phát sinh do thay đổi nhân sự do Nhà thầu tư vấn chịu. Mức thù lao cho nhân sự thay thế không vượt mức thù lao cho người bị thay thế.</w:t>
      </w:r>
    </w:p>
    <w:p>
      <w:pPr>
        <w:pStyle w:val="ListNumber"/>
      </w:pPr>
      <w:r>
        <w:t>Nhà thầu tư vấn có thể điều chỉnh thời gian làm việc của nhân sự nếu cần thiết nhưng không làm tăng giá hợp đồng. Những điều chỉnh khác chỉ được thực hiện khi được Chủ đầu tư chấp thuận.</w:t>
      </w:r>
    </w:p>
    <w:p>
      <w:pPr>
        <w:pStyle w:val="ListNumber"/>
      </w:pPr>
      <w:r>
        <w:t>Trường hợp thời gian làm việc của nhân sự phải kéo dài hoặc bổ sung nhân sự vì lý do tăng khối lượng công việc đã được thỏa thuận giữa chủ đầu tư và nhà thầu thì chi phí phát sinh cần thiết này sẽ được thanh toán trên cơ sở nhân công và thời gian thực hiện phát sinh thực tế.</w:t>
      </w:r>
    </w:p>
    <w:p>
      <w:pPr>
        <w:pStyle w:val="ListNumber"/>
      </w:pPr>
      <w:r>
        <w:t>Nhà thầu tư vấn tổ chức thực hiện công việc theo tiến độ đã thỏa thuận. Giờ làm việc, làm việc ngoài giờ, thời gian làm việc, ngày nghỉ,... thực hiện theo Bộ Luật Lao động. Nhà thầu tư vấn không được tính thêm chi phí làm ngoài giờ (giá hợp đồng đã bao gồm chi phí làm ngoài giờ).</w:t>
      </w:r>
    </w:p>
    <w:p>
      <w:pPr>
        <w:pStyle w:val="Heading2"/>
        <w:jc w:val="center"/>
      </w:pPr>
      <w:r>
        <w:rPr>
          <w:rFonts w:ascii="Times New Roman" w:hAnsi="Times New Roman"/>
          <w:color w:val="000000"/>
        </w:rPr>
        <w:t>Điều 16. Bản quyền và quyền sử dụng tài liệu</w:t>
      </w:r>
    </w:p>
    <w:p>
      <w:pPr>
        <w:ind w:firstLine="560"/>
      </w:pPr>
      <w:r>
        <w:t>Nhà thầu tư vấn sẽ giữ bản quyền công việc tư vấn do mình thực hiện. Chủ đầu tư được toàn quyền sử dụng các tài liệu này để phục vụ công việc quy định trong hợp đồng mà không cần phải xin phép Nhà thầu tư vấn.</w:t>
      </w:r>
    </w:p>
    <w:p>
      <w:pPr>
        <w:ind w:firstLine="560"/>
      </w:pPr>
      <w:r>
        <w:t>Nhà thầu tư vấn phải cam kết rằng sản phẩm tư vấn do Nhà thầu tư vấn thực hiện và cung cấp cho Chủ đầu tư không vi phạm bản quyền hoặc quyền sở hữu trí tuệ của bất cứ cá nhân hoặc bên thứ ba nào.</w:t>
      </w:r>
    </w:p>
    <w:p>
      <w:pPr>
        <w:ind w:firstLine="560"/>
      </w:pPr>
      <w:r>
        <w:t>Chủ đầu tư sẽ không chịu trách nhiệm hoặc hậu quả nào từ việc khiếu nại sản phẩm tư vấn theo hợp đồng này đã vi phạm bản quyền hay quyền sở hữu trí tuệ của một cá nhân hay bên thứ ba nào khác.</w:t>
      </w:r>
    </w:p>
    <w:p>
      <w:pPr>
        <w:pStyle w:val="Heading2"/>
        <w:jc w:val="center"/>
      </w:pPr>
      <w:r>
        <w:rPr>
          <w:rFonts w:ascii="Times New Roman" w:hAnsi="Times New Roman"/>
          <w:color w:val="000000"/>
        </w:rPr>
        <w:t>Điều 17. Bảo hiểm</w:t>
      </w:r>
    </w:p>
    <w:p>
      <w:pPr>
        <w:ind w:firstLine="560"/>
      </w:pPr>
      <w:r>
        <w:t>Không áp dụng.</w:t>
      </w:r>
    </w:p>
    <w:p>
      <w:pPr>
        <w:pStyle w:val="Heading2"/>
        <w:jc w:val="center"/>
      </w:pPr>
      <w:r>
        <w:rPr>
          <w:rFonts w:ascii="Times New Roman" w:hAnsi="Times New Roman"/>
          <w:color w:val="000000"/>
        </w:rPr>
        <w:t>Điều 18. Rủi ro và bất khả kháng</w:t>
      </w:r>
    </w:p>
    <w:p>
      <w:pPr>
        <w:pStyle w:val="ListNumber"/>
      </w:pPr>
      <w:r>
        <w:t>Rủi ro là nguy cơ ảnh hưởng tiêu cực đến việc thực hiện hợp đồng xây dựng trong tương lai. Trong hợp đồng xây dựng các bên phải quy định trách nhiệm của mỗi bên về quản lý và xử lý rủi ro của mình; trách nhiệm khắc phục hậu quả của mỗi bên trong trường hợp gặp rủi ro.</w:t>
      </w:r>
    </w:p>
    <w:p>
      <w:pPr>
        <w:pStyle w:val="ListNumber"/>
      </w:pPr>
      <w:r>
        <w:t>Bất khả kháng là một sự kiện rủi ro xảy ra một cách khách quan không thể lường trước khi ký kết hợp đồng xây dựng và không thể khắc phục được khi nó xảy ra mặc dù đã áp dụng mọi biện pháp cần thiết và khả năng cho phép, phù hợp với</w:t>
      </w:r>
    </w:p>
    <w:p>
      <w:pPr>
        <w:ind w:firstLine="560"/>
      </w:pPr>
      <w:r>
        <w:t>tiêu chí được quy định tại khoản 2 Điều 51 Nghị định số 37/2015/NĐ -CP và khoản 1 Điều 156 Luật Dân sự.</w:t>
      </w:r>
    </w:p>
    <w:p>
      <w:pPr>
        <w:pStyle w:val="ListNumber"/>
      </w:pPr>
      <w:r>
        <w:t>Thông báo về bất khả kháng:</w:t>
      </w:r>
    </w:p>
    <w:p>
      <w:pPr>
        <w:pStyle w:val="ListBullet"/>
      </w:pPr>
      <w:r>
        <w:t>a) Khi một bên gặp tình trạng bất khả kháng thì phải thông báo bằng văn bản cho bên kia trong thời gian sớm nhất, trong thông báo phải nêu rõ các nghĩa vụ, công việc liên quan đến hậu quả của bất khả kháng.</w:t>
      </w:r>
    </w:p>
    <w:p>
      <w:pPr>
        <w:pStyle w:val="ListBullet"/>
      </w:pPr>
      <w:r>
        <w:t>b) Bên thông báo được miễn thực hiện công việc thuộc trách nhiệm của mình trong thời gian xảy ra bất khả kháng ảnh hưởng đến công việc theo nghĩa vụ hợp đồng.</w:t>
      </w:r>
    </w:p>
    <w:p>
      <w:pPr>
        <w:pStyle w:val="ListNumber"/>
      </w:pPr>
      <w:r>
        <w:t>Trách nhiệm của các bên đối với rủi ro:</w:t>
      </w:r>
    </w:p>
    <w:p>
      <w:pPr>
        <w:pStyle w:val="ListBullet"/>
      </w:pPr>
      <w:r>
        <w:t>a) Đối với những rủi ro đã tính trong giá hợp đồng thì khi rủi ro xảy ra Nhà thầu tư vấn phải chịu trách nhiệm bằng kinh phí của mình.</w:t>
      </w:r>
    </w:p>
    <w:p>
      <w:pPr>
        <w:pStyle w:val="ListBullet"/>
      </w:pPr>
      <w:r>
        <w:t>b) Đối với những rủi ro đã được mua bảo hiểm thì chi phí khắc phục hậu quả các rủi ro này do đơn vị bảo hiểm chi trả và không được tính vào giá hợp đồng.</w:t>
      </w:r>
    </w:p>
    <w:p>
      <w:pPr>
        <w:pStyle w:val="ListBullet"/>
      </w:pPr>
      <w:r>
        <w:t>c) Nhà thầu tư vấn phải bồi thường và gánh chịu những tổn hại cho Chủ đầu tư đối với các hỏng hóc, mất mát và các chi phí (bao gồm phí và các chi phí pháp lý) có liên quan do lỗi của mình gây ra.</w:t>
      </w:r>
    </w:p>
    <w:p>
      <w:pPr>
        <w:pStyle w:val="ListBullet"/>
      </w:pPr>
      <w:r>
        <w:t>d) Chủ đầu tư phải bồi thường những tổn hại cho Nhà thầu tư vấn đối với các thiệt hại, mất mát và chi phí (bao gồm phí và các chi phí pháp lý) liên quan do lỗi của mình gây ra.</w:t>
      </w:r>
    </w:p>
    <w:p>
      <w:pPr>
        <w:pStyle w:val="ListNumber"/>
      </w:pPr>
      <w:r>
        <w:t>Trách nhiệm của các bên đối với bất khả kháng:</w:t>
      </w:r>
    </w:p>
    <w:p>
      <w:pPr>
        <w:pStyle w:val="ListBullet"/>
      </w:pPr>
      <w:r>
        <w:t>a) Nếu Nhà thầu tư vấn bị cản trở thực hiện nhiệm vụ của mình theo hợp đồng do bất khả kháng mà đã thông báo theo các điều khoản của hợp đồng dẫn đến chậm thực hiện công việc và phát sinh chi phí do bất khả kháng, Nhà thầu tư vấn sẽ có quyền đề nghị xử lý như sau:</w:t>
      </w:r>
    </w:p>
    <w:p>
      <w:pPr>
        <w:pStyle w:val="ListNumber"/>
      </w:pPr>
      <w:r>
        <w:t>-Được kéo dài thời gian do sự chậm trễ theo quy định của hợp đồng (gia hạn thời gian hoàn thành).</w:t>
      </w:r>
    </w:p>
    <w:p>
      <w:pPr>
        <w:pStyle w:val="ListNumber"/>
      </w:pPr>
      <w:r>
        <w:t>-Được thanh toán các chi phí phát sinh theo các điều khoản quy định trong hợp đồng.</w:t>
      </w:r>
    </w:p>
    <w:p>
      <w:pPr>
        <w:pStyle w:val="ListBullet"/>
      </w:pPr>
      <w:r>
        <w:t>b) Chủ đầu tư phải xem xét quyết định các đề nghị của Nhà thầu tư vấn.</w:t>
      </w:r>
    </w:p>
    <w:p>
      <w:pPr>
        <w:pStyle w:val="ListBullet"/>
      </w:pPr>
      <w:r>
        <w:t>c) Việc xử lý hậu quả bất khả kháng không áp dụng đối với các nghĩa vụ thanh toán tiền của bất cứ bên nào cho bên kia theo hợp đồng.</w:t>
      </w:r>
    </w:p>
    <w:p>
      <w:pPr>
        <w:pStyle w:val="ListNumber"/>
      </w:pPr>
      <w:r>
        <w:t>Chấm dứt và thanh toán hợp đồng trong trường hợp bất khả kháng (nếu có):</w:t>
      </w:r>
    </w:p>
    <w:p>
      <w:pPr>
        <w:pStyle w:val="ListBullet"/>
      </w:pPr>
      <w:r>
        <w:t>a) Nếu việc thực hiện các công việc của hợp đồng bị dừng do bất khả kháng đã được thông báo theo quy định của hợp đồng trong khoảng thời gian mà tổng số ngày bị dừng lớn hơn số ngày do bất khả kháng đã được thông báo, thì một trong hai bên có quyền gửi thông báo chấm dứt hợp đồng cho bên kia.</w:t>
      </w:r>
    </w:p>
    <w:p>
      <w:pPr>
        <w:pStyle w:val="ListBullet"/>
      </w:pPr>
      <w:r>
        <w:t>b) Đối với trường hợp chấm dứt này, Chủ đầu tư sẽ phải thanh toán cho Nhà thầu tư vấn:</w:t>
      </w:r>
    </w:p>
    <w:p>
      <w:pPr>
        <w:pStyle w:val="ListNumber"/>
      </w:pPr>
      <w:r>
        <w:t>-Các khoản thanh toán cho bất kỳ công việc nào đã được hoàn thành theo giá đã được nêu trong hợp đồng.</w:t>
      </w:r>
    </w:p>
    <w:p>
      <w:pPr>
        <w:pStyle w:val="ListNumber"/>
      </w:pPr>
      <w:r>
        <w:t>-Chi phí cho thiết bị và vật tư được đặt hàng cho công trình đã được chuyển tới cho Nhà thầu tư vấn, hoặc những thứ Nhà thầu tư vấn có trách nhiệm chấp nhận giao hàng: Thiết bị và vật tư này sẽ trở thành tài sản (và là rủi ro) của Chủ đầu tư khi đã được Chủ đầu tư thanh toán và Nhà thầu tư vấn sẽ để cho Chủ đầu tư sử dụng.</w:t>
      </w:r>
    </w:p>
    <w:p>
      <w:pPr>
        <w:pStyle w:val="Heading2"/>
        <w:jc w:val="center"/>
      </w:pPr>
      <w:r>
        <w:rPr>
          <w:rFonts w:ascii="Times New Roman" w:hAnsi="Times New Roman"/>
          <w:color w:val="000000"/>
        </w:rPr>
        <w:t>Điều 19. Tạm ngừng công việc trong hợp đồng</w:t>
      </w:r>
    </w:p>
    <w:p>
      <w:pPr>
        <w:pStyle w:val="ListNumber"/>
      </w:pPr>
      <w:r>
        <w:t>Tạm ngừng công việc bởi Chủ đầu tư</w:t>
      </w:r>
    </w:p>
    <w:p>
      <w:pPr>
        <w:pStyle w:val="ListNumber"/>
      </w:pPr>
      <w:r>
        <w:t>-Nếu nhà thầu không thực hiện nghĩa vụ theo hợp đồng, Chủ đầu tư có thể tạm ngừng toàn bộ hoặc một phần công việc của nhà thầu bằng văn bản thông báo. Trong nội dung văn bản, Chủ đầu tư phải nêu rõ phần lỗi của nhà thầu và yêu cầu nhà thầu phải thực hiện và sửa chữa các sai sót trong khoảng thời gian hợp lý cụ thể, đồng thời nhà thầu phải bồi thường thiệt hại cho Chủ đầu tư do tạm ngừng công việc.</w:t>
      </w:r>
    </w:p>
    <w:p>
      <w:pPr>
        <w:pStyle w:val="ListNumber"/>
      </w:pPr>
      <w:r>
        <w:t>Tạm ngừng công việc bởi Nhà thầu tư vấn</w:t>
      </w:r>
    </w:p>
    <w:p>
      <w:pPr>
        <w:pStyle w:val="ListBullet"/>
      </w:pPr>
      <w:r>
        <w:t>a) Nếu Chủ đầu tư không thực hiện nghĩa vụ theo hợp đồng, không thanh toán theo các điều khoản đã thỏa thuận trong hợp đồng này quá 28 ngày kể từ ngày hết hạn thanh toán, sau khi thông báo cho Chủ đầu tư, Nhà thầu tư vấn có thể sẽ tạm ngừng công việc (hoặc giảm tỷ lệ công việc).</w:t>
      </w:r>
    </w:p>
    <w:p>
      <w:pPr>
        <w:pStyle w:val="ListBullet"/>
      </w:pPr>
      <w:r>
        <w:t>b) Sau khi Chủ đầu tư thực hiện các nghĩa vụ của mình theo hợp đồng, Nhà thầu tư vấn phải tiếp tục tiến hành công việc bình thường ngay khi có thể được.</w:t>
      </w:r>
    </w:p>
    <w:p>
      <w:pPr>
        <w:pStyle w:val="ListBullet"/>
      </w:pPr>
      <w:r>
        <w:t>c) Nếu các chi phí phát sinh là hậu quả của việc tạm ngừng công việc (hoặc do giảm tỷ lệ công việc) theo khoản này, Nhà thầu tư vấn phải thông báo cho Chủ</w:t>
      </w:r>
    </w:p>
    <w:p>
      <w:pPr>
        <w:ind w:firstLine="560"/>
      </w:pPr>
      <w:r>
        <w:t>đầu tư để xem xét. Sau khi nhận được thông báo, Chủ đầu tư xem xét và có ý kiến về các vấn đề đã nêu.</w:t>
      </w:r>
    </w:p>
    <w:p>
      <w:pPr>
        <w:pStyle w:val="ListNumber"/>
      </w:pPr>
      <w:r>
        <w:t>Trước khi tạm ngừng thực hiện công việc trong hợp đồng thì một bên phải thông báo cho bên kia biết bằng văn bản trong đó nêu rõ lý do tạm ngừng công việc thực hiện. Hai bên cùng nhau thương lượng giải quyết để tiếp tục thực hiện hợp đồng.</w:t>
      </w:r>
    </w:p>
    <w:p>
      <w:pPr>
        <w:pStyle w:val="Heading2"/>
        <w:jc w:val="center"/>
      </w:pPr>
      <w:r>
        <w:rPr>
          <w:rFonts w:ascii="Times New Roman" w:hAnsi="Times New Roman"/>
          <w:color w:val="000000"/>
        </w:rPr>
        <w:t>Điều 20. Chấm dứt hợp đồng</w:t>
      </w:r>
    </w:p>
    <w:p>
      <w:pPr>
        <w:pStyle w:val="ListNumber"/>
      </w:pPr>
      <w:r>
        <w:t>Chấm dứt hợp đồng bởi Chủ đầu tư</w:t>
      </w:r>
    </w:p>
    <w:p>
      <w:pPr>
        <w:ind w:firstLine="560"/>
      </w:pPr>
      <w:r>
        <w:t>Chủ đầu tư có thể chấm dứt hợp đồng sau [quy định tại ĐKCT ] kể từ ngày gửi văn bản kết thúc hợp đồng đến Nhà thầu tư vấn. Chủ đầu tư sẽ được quyền chấm dứt hợp đồng khi:</w:t>
      </w:r>
    </w:p>
    <w:p>
      <w:pPr>
        <w:pStyle w:val="ListBullet"/>
      </w:pPr>
      <w:r>
        <w:t>a) Nhà thầu tư vấn không sửa chữa được sai sót nghiêm trọng mà Nhà thầu tư vấn không thể khắc phục được trong việc thực hiện nhiệm vụ của mình trong vòng 15 ngày mà Chủ đầu tư có thể chấp nhận được kể từ ngày nhận được thông báo của Chủ đầu tư về sai sót đ ó.</w:t>
      </w:r>
    </w:p>
    <w:p>
      <w:pPr>
        <w:pStyle w:val="ListBullet"/>
      </w:pPr>
      <w:r>
        <w:t>b) Nhà thầu không có lý do chính đáng mà không tiếp tục thực hiện công việc theo Điều 23[Thời gian và tiến độ thực hiện hợp đồng tư vấn xây dựng], hoặc trong [quy định tại ĐKCT ] liên tục không thực hiện công việc theo hợp đồng.</w:t>
      </w:r>
    </w:p>
    <w:p>
      <w:pPr>
        <w:pStyle w:val="ListBullet"/>
      </w:pPr>
      <w:r>
        <w:t>c) Chuyển nhượng hợp đồng mà không có sự thỏa thuận của Chủ đầu tư.</w:t>
      </w:r>
    </w:p>
    <w:p>
      <w:pPr>
        <w:pStyle w:val="ListBullet"/>
      </w:pPr>
      <w:r>
        <w:t>d) Nhà thầu tư vấn bị phá sản hoặc vỡ nợ, bị đóng cửa, bị quản lý tài sản, phải thương lượng với chủ nợ hoặc tiếp tục kinh doanh dưới sự giám sát của người quản lý tài sản, người được ủy quyền hoặc người quản lý vì lợi ích của chủ nợ hoặc đã có hành động hoặc sự kiện nào xảy ra (theo các Luật được áp dụng) có ảnh hưởng tương tự tới các hoạt động hoặc sự kiện này.</w:t>
      </w:r>
    </w:p>
    <w:p>
      <w:pPr>
        <w:pStyle w:val="ListBullet"/>
      </w:pPr>
      <w:r>
        <w:t>e) Nhà thầu tư vấn từ chối không tuân theo quyết định cuối cùng đã đạt được thông qua trọng tài phân xử tại Điều 25[Khiếu nại, hòa giải và giải quyết tranh chấp].</w:t>
      </w:r>
    </w:p>
    <w:p>
      <w:pPr>
        <w:pStyle w:val="ListBullet"/>
      </w:pPr>
      <w:r>
        <w:t>g) Nhà thầu tư vấn cố ý trình Chủ đầu tư các tài liệu không đúng sự thật gây ảnh hưởng đến quyền lợi, nghĩa vụ và lợi ích của Chủ đầu tư.</w:t>
      </w:r>
    </w:p>
    <w:p>
      <w:pPr>
        <w:pStyle w:val="ListBullet"/>
      </w:pPr>
      <w:r>
        <w:t>h) Trường hợp bất khả kháng quy định tại Điều 18[Rủi ro và bất khả kháng].</w:t>
      </w:r>
    </w:p>
    <w:p>
      <w:pPr>
        <w:ind w:firstLine="560"/>
      </w:pPr>
      <w:r>
        <w:t>Sau khi chấm dứt hợp đồng, Chủ đầu tư có thể thuê các Nhà thầu tư vấn khác thực hiện tiếp công việc tư vấn. Chủ đầu tư và các Nhà thầu tư vấn này có thể sử dụng bất cứ tài liệu nào đã có.</w:t>
      </w:r>
    </w:p>
    <w:p>
      <w:pPr>
        <w:pStyle w:val="Heading2"/>
        <w:jc w:val="center"/>
      </w:pPr>
      <w:r>
        <w:rPr>
          <w:rFonts w:ascii="Times New Roman" w:hAnsi="Times New Roman"/>
          <w:color w:val="000000"/>
        </w:rPr>
        <w:t>2. Chấm dứt hợp đồng bởi Nhà thầu tư vấn</w:t>
      </w:r>
    </w:p>
    <w:p>
      <w:pPr>
        <w:ind w:firstLine="560"/>
      </w:pPr>
      <w:r>
        <w:t>Nhà thầu tư vấn có thể chấm dứt hợp đồng nhưng phải thông báo bằng văn bản trước cho Chủ đầu tư tối thiểu là [quy định tại ĐKCT ] trong các trường hợp sau đây:</w:t>
      </w:r>
    </w:p>
    <w:p>
      <w:pPr>
        <w:pStyle w:val="ListBullet"/>
      </w:pPr>
      <w:r>
        <w:t>a) Công việc bị ngừng do lỗi của Chủ đầu tư trong khoảng thời gian là 28 ngày.</w:t>
      </w:r>
    </w:p>
    <w:p>
      <w:pPr>
        <w:pStyle w:val="ListBullet"/>
      </w:pPr>
      <w:r>
        <w:t>b) Chủ đầu tư không thanh toán cho Nhà thầu tư vấn theo hợp đồng và không thuộc đối tượng tranh chấp theo Điều 25[Khiếu nại, hòa giải và giải quyết tranh chấp] sau khoảng thời gian [quy định tại ĐKCT ] kể từ ngày Chủ đầu tư nhận đủ hồ sơ thanh toán hợp lệ.</w:t>
      </w:r>
    </w:p>
    <w:p>
      <w:pPr>
        <w:pStyle w:val="ListBullet"/>
      </w:pPr>
      <w:r>
        <w:t>c) Chủ đầu tư không tuân theo quyết định cuối cùng đã đạt được thông qua trọng tài phân xử tại Điều 25[Khiếu nại và giải quyết tranh chấp].</w:t>
      </w:r>
    </w:p>
    <w:p>
      <w:pPr>
        <w:pStyle w:val="ListBullet"/>
      </w:pPr>
      <w:r>
        <w:t>d) Do hậu quả của sự kiện bất khả kháng mà Nhà thầu tư vấn không thể thực hiện một phần quan trọng công việc trong thời gian [quy định tại ĐKCT ].</w:t>
      </w:r>
    </w:p>
    <w:p>
      <w:pPr>
        <w:pStyle w:val="ListNumber"/>
      </w:pPr>
      <w:r>
        <w:t>đ) Chủ đầu tư bị phá sản, vỡ nợ, bị đóng cửa, bị quản lý tài sản phải điều đình với chủ nợ hoặc tiếp tục kinh doanh dưới sự điều hành của người được ủy thác hoặc người đại diện cho quyền lợi của chủ nợ hoặc nếu đã có hành động hoặc sự kiện nào đó xảy ra (theo các Luật hiện hành) có tác dụng tương tự tới các hành động hoặc sự kiện đó.</w:t>
      </w:r>
    </w:p>
    <w:p>
      <w:pPr>
        <w:pStyle w:val="ListNumber"/>
      </w:pPr>
      <w:r>
        <w:t>Khi chấm dứt hợp đồng, thì các quyền và nghĩa vụ của các bên sẽ chấm dứt trừ điều khoản về giải quyết tranh chấp.</w:t>
      </w:r>
    </w:p>
    <w:p>
      <w:pPr>
        <w:pStyle w:val="ListNumber"/>
      </w:pPr>
      <w:r>
        <w:t>Khi một trong hai bên chấm dứt hợp đồng thì ngay khi gửi hay nhận văn bản chấm dứt hợp đồng, Nhà thầu tư vấn sẽ thực hiện các bước cần thiết để kết thúc công việc tư vấn một cách nhanh chóng và cố gắng để giảm tối đa mức chi phí.</w:t>
      </w:r>
    </w:p>
    <w:p>
      <w:pPr>
        <w:pStyle w:val="ListNumber"/>
      </w:pPr>
      <w:r>
        <w:t>Thanh toán khi chấm dứt hợp đồng: Việc thanh toán thực hiện theo Điều 10[Giá hợp đồng] và Điều 24[Tạm ứng và thanh toán] cho các công việc đã thực hiện trước ngày chấm dứt có hiệu lực (bao gồm chi phí chuyên gia, chi phí mua sắm thiết bị, các chi phí kh ác,...).</w:t>
      </w:r>
    </w:p>
    <w:p>
      <w:pPr>
        <w:pStyle w:val="Heading2"/>
        <w:jc w:val="center"/>
      </w:pPr>
      <w:r>
        <w:rPr>
          <w:rFonts w:ascii="Times New Roman" w:hAnsi="Times New Roman"/>
          <w:color w:val="000000"/>
        </w:rPr>
        <w:t>Điều 21. Quyết toán và thanh lý hợp đồng</w:t>
      </w:r>
    </w:p>
    <w:p>
      <w:pPr>
        <w:pStyle w:val="ListBullet"/>
      </w:pPr>
      <w:r>
        <w:t>a) Việc quyết toán hợp đồng xây dựng thực hiện theo quy định tại Điều 22 Nghị định số 37/2015/NĐ -CP được sửa đổi, bổ sung tại khoản 7 Điều 1 Nghị định số 50/2021/NĐ -CP.</w:t>
      </w:r>
    </w:p>
    <w:p>
      <w:pPr>
        <w:pStyle w:val="ListBullet"/>
      </w:pPr>
      <w:r>
        <w:t>b) Trong vòng 30 ngày kể từ ngày nghiệm thu hoàn thành toàn bộ nội dung công việc tư vấn theo hợp đồng, khi nhận được Biên bản nghiệm thu và xác nhận của Chủ đầu tư rằng Nhà thầu tư vấn đã hoàn thành tất cả các nghĩa vụ theo quy định của hợp đồng, Nhà thầu tư vấn sẽ trình cho Chủ đầu tư 05 bộ tài liệu quyết toán hợp đồng, hồ sơ quyết toán bao gồm:</w:t>
      </w:r>
    </w:p>
    <w:p>
      <w:pPr>
        <w:pStyle w:val="ListNumber"/>
      </w:pPr>
      <w:r>
        <w:t>-Biên bản nghiệm thu hoàn thành toàn bộ nội dung công việc tư vấn.</w:t>
      </w:r>
    </w:p>
    <w:p>
      <w:pPr>
        <w:pStyle w:val="ListNumber"/>
      </w:pPr>
      <w:r>
        <w:t>-</w:t>
      </w:r>
    </w:p>
    <w:p>
      <w:pPr>
        <w:pStyle w:val="ListNumber"/>
      </w:pPr>
      <w:r>
        <w:t>Bản xác nhận giá trị khối lượng công việc phát sinh (nếu có).</w:t>
      </w:r>
    </w:p>
    <w:p>
      <w:pPr>
        <w:pStyle w:val="ListNumber"/>
      </w:pPr>
      <w:r>
        <w:t>-Bảng tính giá trị quyết toán hợp đồng trong đó nêu rõ phần đã thanh toán và giá trị còn lại mà Chủ đầu tư phải thanh toán cho Nhà thầu tư vấn.</w:t>
      </w:r>
    </w:p>
    <w:p>
      <w:pPr>
        <w:pStyle w:val="ListBullet"/>
      </w:pPr>
      <w:r>
        <w:t>c) Nếu Chủ đầu tư không đồng ý hoặc cho rằng Nhà thầu tư vấn chưa cung cấp đủ cơ sở để xác nhận một phần nào đó của tài liệu quyết toán hợp đồng, Nhà thầu tư vấn sẽ cung cấp thêm thông tin khi Chủ đầu tư có yêu cầu hợp lý và sẽ thay đổi theo sự thống nhất của hai bên. Nhà thầu tư vấn sẽ chuẩn bị và trình cho Chủ đầu tư quyết toán hợp đồng như hai bên đã thống nhất.</w:t>
      </w:r>
    </w:p>
    <w:p>
      <w:pPr>
        <w:pStyle w:val="ListBullet"/>
      </w:pPr>
      <w:r>
        <w:t>d) Sau khi hợp đồng được quyết toán theo quy định, Chủ đầu tư sẽ thanh toán toàn bộ giá trị còn lại của hợp đồng cho nhà thầu.</w:t>
      </w:r>
    </w:p>
    <w:p>
      <w:pPr>
        <w:pStyle w:val="ListNumber"/>
      </w:pPr>
      <w:r>
        <w:t>đ) Việc thanh lý hợp đồng phải được hoàn tất trong thời hạn 30 ngày kể từ ngày các bên hoàn thành các nghĩa vụ theo hợp đồng hoặc bị chấm dứt theo Điều 20 [Chấm dứt hợp đồng].</w:t>
      </w:r>
    </w:p>
    <w:p>
      <w:pPr>
        <w:pStyle w:val="Heading2"/>
        <w:jc w:val="center"/>
      </w:pPr>
      <w:r>
        <w:rPr>
          <w:rFonts w:ascii="Times New Roman" w:hAnsi="Times New Roman"/>
          <w:color w:val="000000"/>
        </w:rPr>
        <w:t>Điều 22. Nghiệm thu sản phẩm tư vấn</w:t>
      </w:r>
    </w:p>
    <w:p>
      <w:pPr>
        <w:ind w:firstLine="560"/>
      </w:pPr>
      <w:r>
        <w:t>Nghiệm thu sản phẩm được tiến hành [quy định tại ĐKCT ]:</w:t>
      </w:r>
    </w:p>
    <w:p>
      <w:pPr>
        <w:ind w:firstLine="560"/>
      </w:pPr>
      <w:r>
        <w:t>Lần 01: Sau khi Nhà thầu tư vấn hoàn thành [quy định tại ĐKCT ].</w:t>
      </w:r>
    </w:p>
    <w:p>
      <w:pPr>
        <w:ind w:firstLine="560"/>
      </w:pPr>
      <w:r>
        <w:t>Lần 02: Sau khi Nhà thầu tư vấn hoàn thành [quy định tại ĐKCT</w:t>
      </w:r>
    </w:p>
    <w:p>
      <w:pPr>
        <w:ind w:firstLine="560"/>
      </w:pPr>
      <w:r>
        <w:t>].</w:t>
      </w:r>
    </w:p>
    <w:p>
      <w:pPr>
        <w:ind w:firstLine="560"/>
      </w:pPr>
      <w:r>
        <w:t>Chủ đầu tư căn cứ vào Hợp đồng này, các tiêu chuẩn, quy chuẩn liên quan, quyết định phê duyệt để tổ chức nghiệm thu sản phẩm tư vấn. Những sai sót trong sản phẩm tư ợp vấn (nếu có) Nhà thầu phải hoàn chỉnh theo đúng các điều khoản thỏa thuận trong H đồng.</w:t>
      </w:r>
    </w:p>
    <w:p>
      <w:pPr>
        <w:pStyle w:val="Heading2"/>
        <w:jc w:val="center"/>
      </w:pPr>
      <w:r>
        <w:rPr>
          <w:rFonts w:ascii="Times New Roman" w:hAnsi="Times New Roman"/>
          <w:color w:val="000000"/>
        </w:rPr>
        <w:t>Điều 23. Thời gian và tiến độ thực hiện hợp đồng tư vấn xây dựng</w:t>
      </w:r>
    </w:p>
    <w:p>
      <w:pPr>
        <w:pStyle w:val="ListNumber"/>
      </w:pPr>
      <w:r>
        <w:t>Thời gian, tiến độ thực hiện Hợp đồng: là 2 0 ngày làm việc (thời gian trên không bao gồm: thời gian nghỉ lễ, tết, ngày nghỉ, thời gian Chủ đầu tư xem xét, thẩm định, phê duyệt hồ sơ và các trường hợp bất khả kháng), cụ thể:</w:t>
      </w:r>
    </w:p>
    <w:p>
      <w:pPr>
        <w:pStyle w:val="ListNumber"/>
      </w:pPr>
      <w:r>
        <w:t>-</w:t>
      </w:r>
    </w:p>
    <w:p>
      <w:pPr>
        <w:pStyle w:val="ListNumber"/>
      </w:pPr>
      <w:r>
        <w:t>Ngày bắt đầu: Ngày      tháng      năm 2025;</w:t>
      </w:r>
    </w:p>
    <w:p>
      <w:pPr>
        <w:pStyle w:val="ListNumber"/>
      </w:pPr>
      <w:r>
        <w:t>-Ngày kết thúc: Ngày     tháng      năm 2025.</w:t>
      </w:r>
    </w:p>
    <w:p>
      <w:pPr>
        <w:pStyle w:val="ListNumber"/>
      </w:pPr>
      <w:r>
        <w:t>Trong thời gian thực hiện hợp đồng, trường hợp nhà thầu hoặc chủ đầu tư gặp khó khăn dẫn đến chậm trễ thời gian thực hiện Hợp đồng thì một bên phải thông báo cho bên kia biết, đồng thời nêu rõ lý do cùng thời gian dự tính kéo dài. Sau khi nhận được thông báo kéo dài thời gian của một bên, bên kia sẽ nghiên cứu xem xét. Trường hợp chấp thuận gia hạn hợp đồng, các bên sẽ thương thảo và ký kết phụ lục bổ sung Hợp đồng.</w:t>
      </w:r>
    </w:p>
    <w:p>
      <w:pPr>
        <w:pStyle w:val="ListNumber"/>
      </w:pPr>
      <w:r>
        <w:t>Việc gia hạn thời gian thực hiện hợp đồng không được phép làm tăng giá hợp đồng nếu việc chậm trễ do lỗi của nhà thầu.</w:t>
      </w:r>
    </w:p>
    <w:p>
      <w:pPr>
        <w:pStyle w:val="Heading2"/>
        <w:jc w:val="center"/>
      </w:pPr>
      <w:r>
        <w:rPr>
          <w:rFonts w:ascii="Times New Roman" w:hAnsi="Times New Roman"/>
          <w:color w:val="000000"/>
        </w:rPr>
        <w:t>Điều 24. Tạm ứng và thanh toán</w:t>
      </w:r>
    </w:p>
    <w:p>
      <w:pPr>
        <w:pStyle w:val="ListNumber"/>
      </w:pPr>
      <w:r>
        <w:t>Tạm ứng và tiến độ thanh toán</w:t>
      </w:r>
    </w:p>
    <w:p>
      <w:pPr>
        <w:pStyle w:val="ListBullet"/>
      </w:pPr>
      <w:r>
        <w:t>a) Tạm ứng: [quy định tại ĐKCT ]</w:t>
      </w:r>
    </w:p>
    <w:p>
      <w:pPr>
        <w:pStyle w:val="ListBullet"/>
      </w:pPr>
      <w:r>
        <w:t>b) Tiến độ thanh toán:</w:t>
      </w:r>
    </w:p>
    <w:p>
      <w:pPr>
        <w:ind w:firstLine="560"/>
      </w:pPr>
      <w:r>
        <w:t>Số lần thanh toán là [quy định tại ĐKCT ]. Trong vòng [quy định tại ĐKCT ] sau khi hồ sơ khảo sát địa hình được phê duyệt, Chủ đầu tư sẽ thanh toán cho Nhà thầu 100% giá trị Hợp đồng kể từ ngày nhận đủ hồ sơ thanh toán hợp lệ của Nhà thầu (chủ đầu tư thanh toán cho nhà thầu phù hợp với kế hoạch vốn được giao).</w:t>
      </w:r>
    </w:p>
    <w:p>
      <w:pPr>
        <w:pStyle w:val="ListNumber"/>
      </w:pPr>
      <w:r>
        <w:t>Hồ sơ thanh toán gồm:</w:t>
      </w:r>
    </w:p>
    <w:p>
      <w:pPr>
        <w:pStyle w:val="ListNumber"/>
      </w:pPr>
      <w:r>
        <w:t>-Bảng xác định giá trị khối lượng công việc hoàn thành.</w:t>
      </w:r>
    </w:p>
    <w:p>
      <w:pPr>
        <w:pStyle w:val="ListNumber"/>
      </w:pPr>
      <w:r>
        <w:t>-</w:t>
      </w:r>
    </w:p>
    <w:p>
      <w:pPr>
        <w:pStyle w:val="ListNumber"/>
      </w:pPr>
      <w:r>
        <w:t>Biên bản nghiệm thu khối lượng hoàn thành.</w:t>
      </w:r>
    </w:p>
    <w:p>
      <w:pPr>
        <w:pStyle w:val="ListNumber"/>
      </w:pPr>
      <w:r>
        <w:t>-Bảng tính giá trị khối lượng phát sinh (nếu có) ngoài phạm vi Hợp đồng</w:t>
      </w:r>
    </w:p>
    <w:p>
      <w:pPr>
        <w:pStyle w:val="ListNumber"/>
      </w:pPr>
      <w:r>
        <w:t>Đề nghị thanh toán của nhà thầu bao gồm: Giá trị hoàn thành theo Hợp đồng,</w:t>
      </w:r>
    </w:p>
    <w:p>
      <w:pPr>
        <w:pStyle w:val="ListNumber"/>
      </w:pPr>
      <w:r>
        <w:t>-giá trị cho những công việc phát sinh (nếu có).</w:t>
      </w:r>
    </w:p>
    <w:p>
      <w:pPr>
        <w:pStyle w:val="ListNumber"/>
      </w:pPr>
      <w:r>
        <w:t>-Hóa đơn GTGT.</w:t>
      </w:r>
    </w:p>
    <w:p>
      <w:pPr>
        <w:pStyle w:val="ListNumber"/>
      </w:pPr>
      <w:r>
        <w:t>Tài khoản thanh toán:</w:t>
      </w:r>
    </w:p>
    <w:p>
      <w:pPr>
        <w:ind w:firstLine="560"/>
      </w:pPr>
      <w:r>
        <w:t>Trên cơ sở đề xuất của Nhà thầu, các bên thống nhất Chủ đầu tư sẽ thanh toán trực tiếp cho nhà thầu theo tài khoản như sau:</w:t>
      </w:r>
    </w:p>
    <w:p>
      <w:pPr>
        <w:pStyle w:val="Heading2"/>
        <w:jc w:val="center"/>
      </w:pPr>
      <w:r>
        <w:rPr>
          <w:rFonts w:ascii="Times New Roman" w:hAnsi="Times New Roman"/>
          <w:color w:val="000000"/>
        </w:rPr>
        <w:t>Tên đơn vị thụ hưởng: Công ty TNHH Hợp N hất Bách Việt</w:t>
      </w:r>
    </w:p>
    <w:p>
      <w:pPr>
        <w:ind w:firstLine="560"/>
      </w:pPr>
      <w:r>
        <w:t>Số tài khoản: 62636266 Ngân hàng TMCP Kỹ thương Việt Nam Hiệp Phú</w:t>
      </w:r>
    </w:p>
    <w:p>
      <w:pPr>
        <w:pStyle w:val="ListBullet"/>
      </w:pPr>
      <w:r>
        <w:t>4</w:t>
      </w:r>
    </w:p>
    <w:p>
      <w:pPr>
        <w:pStyle w:val="ListBullet"/>
      </w:pPr>
      <w:r>
        <w:t>. Đồng tiền thanh toán là đồng tiền Việt Nam.</w:t>
      </w:r>
    </w:p>
    <w:p>
      <w:pPr>
        <w:pStyle w:val="Heading2"/>
        <w:jc w:val="center"/>
      </w:pPr>
      <w:r>
        <w:rPr>
          <w:rFonts w:ascii="Times New Roman" w:hAnsi="Times New Roman"/>
          <w:color w:val="000000"/>
        </w:rPr>
        <w:t>Điều 25. Khiếu nại, hòa giải và giải quyết tranh chấp</w:t>
      </w:r>
    </w:p>
    <w:p>
      <w:pPr>
        <w:pStyle w:val="ListNumber"/>
      </w:pPr>
      <w:r>
        <w:t>Khi một bên phát hiện bên kia thực hiện không đúng hoặc không thực hiện nghĩa vụ theo đúng hợp đồng thì có quyền yêu cầu bên kia thực hiện theo đúng nội dung hợp đồng đã ký kết. Khi đó bên phát hiện có quyền khiếu nại bên kia về nội dung này. Bên kia ph ải đưa ra các căn cứ, dẫn chứng cụ thể để làm sáng tỏ nội dung khiếu nại trong vòng [quy định tại ĐKCT ]. Nếu những các căn cứ, dẫn chứng không hợp lý thì phải chấp thuận những khiếu nại của bên kia.</w:t>
      </w:r>
    </w:p>
    <w:p>
      <w:pPr>
        <w:pStyle w:val="ListNumber"/>
      </w:pPr>
      <w:r>
        <w:t>-Trong vòng 30 ngày kể từ ngày phát hiện những nội dung không phù hợp với hợp đồng đã ký, bên phát hiện phải thông báo ngay cho bên kia về những nội dung đó và khiếu nại về các nội dung này. Ngoài khoảng thời gian này nếu không bên nào có khiếu nại thì các bên phải thực hiện theo đúng những thỏa thuận đã ký.</w:t>
      </w:r>
    </w:p>
    <w:p>
      <w:pPr>
        <w:pStyle w:val="ListNumber"/>
      </w:pPr>
      <w:r>
        <w:t>-Trong vòng 30 ngày kể từ ngày nhận được khiếu nại, bên nhận được khiếu nại phải chấp thuận với những khiếu nại đó hoặc phải đưa ra những căn cứ, dẫn chứng về những nội dung cho rằng việc khiếu nại của bên kia là không phù hợp với hợp đồng đã ký. Ngoài khoảng thời gian này nếu bên nhận được khiếu nại không có ý kiến thì coi như đã chấp thuận với những nội dung khiếu nại do bên kia đưa ra.</w:t>
      </w:r>
    </w:p>
    <w:p>
      <w:pPr>
        <w:pStyle w:val="ListNumber"/>
      </w:pPr>
      <w:r>
        <w:t>Khi có tranh chấp phát sinh trong quá trình thực hiện hợp đồng, các bên sẽ cố gắng thương lượng để giải quyết bằng biện pháp hòa giải.</w:t>
      </w:r>
    </w:p>
    <w:p>
      <w:pPr>
        <w:ind w:firstLine="560"/>
      </w:pPr>
      <w:r>
        <w:t>Thời gian để tiến hành hòa giải: [quy định tại ĐKCT ]</w:t>
      </w:r>
    </w:p>
    <w:p>
      <w:pPr>
        <w:ind w:firstLine="560"/>
      </w:pPr>
      <w:r>
        <w:t>Trường hợp thương lượng không có kết quả thì khoảng thời gian các bên được quyền gửi vấn đề lên Trọng tài để xử lý tranh chấp theo các quy tắc của Việt Nam (hoặc Tòa án Nhân dân) theo quy định của pháp luật kể từ ngày phát sinh tranh chấp hợp đồng không thể hòa giải. Quyết định của Trọng tài (hoặc Tòa án Nhân dân) là quyết định cuối cùng và có tính chất bắt buộc với các bên.</w:t>
      </w:r>
    </w:p>
    <w:p>
      <w:pPr>
        <w:pStyle w:val="ListNumber"/>
      </w:pPr>
      <w:r>
        <w:t>Hợp đồng bị vô hiệu, chấm dứt không ảnh hưởng đến hiệu lực của các điều khoản về giải quyết tranh chấp.</w:t>
      </w:r>
    </w:p>
    <w:p>
      <w:pPr>
        <w:ind w:firstLine="560"/>
      </w:pPr>
      <w:r>
        <w:t>Chi nhánh</w:t>
      </w:r>
    </w:p>
    <w:p>
      <w:pPr>
        <w:pStyle w:val="Heading2"/>
        <w:jc w:val="center"/>
      </w:pPr>
      <w:r>
        <w:rPr>
          <w:rFonts w:ascii="Times New Roman" w:hAnsi="Times New Roman"/>
          <w:color w:val="000000"/>
        </w:rPr>
        <w:t>Điều 26. Thưởng, phạt, bồi thường thiệt hại</w:t>
      </w:r>
    </w:p>
    <w:p>
      <w:pPr>
        <w:pStyle w:val="ListNumber"/>
      </w:pPr>
      <w:r>
        <w:t>Thưởng hợp đồng: không áp dụng.</w:t>
      </w:r>
    </w:p>
    <w:p>
      <w:pPr>
        <w:pStyle w:val="ListNumber"/>
      </w:pPr>
      <w:r>
        <w:t>Phạt vi phạm hợp đồng: [quy định tại ĐKCT ]</w:t>
      </w:r>
    </w:p>
    <w:p>
      <w:pPr>
        <w:pStyle w:val="ListNumber"/>
      </w:pPr>
      <w:r>
        <w:t>Bồi thường thiệt hại:</w:t>
      </w:r>
    </w:p>
    <w:p>
      <w:pPr>
        <w:pStyle w:val="ListNumber"/>
      </w:pPr>
      <w:r>
        <w:t>-Về chất lượng của sản phẩm tư vấn: Trong trường hợp sản phẩm tư vấn, vì thiếu sót dẫn đến việc sản phẩm tư vấn không đúng gây thiệt hại thì Nhà thầu tư vấn phải hoàn toàn chịu trách nhiệm bồi thường và khắc phục thiệt hại cho Chủ đầu tư.</w:t>
      </w:r>
    </w:p>
    <w:p>
      <w:pPr>
        <w:pStyle w:val="ListNumber"/>
      </w:pPr>
      <w:r>
        <w:t>-Đối với từng trường hợp cụ thể, trong quá trình thực hiện Nhà thầu phải báo cáo Chủ đầu tư xem xét giải quyết.</w:t>
      </w:r>
    </w:p>
    <w:p>
      <w:pPr>
        <w:pStyle w:val="Heading2"/>
        <w:jc w:val="center"/>
      </w:pPr>
      <w:r>
        <w:rPr>
          <w:rFonts w:ascii="Times New Roman" w:hAnsi="Times New Roman"/>
          <w:color w:val="000000"/>
        </w:rPr>
        <w:t>Điều 27. Điều khoản chung</w:t>
      </w:r>
    </w:p>
    <w:p>
      <w:pPr>
        <w:ind w:firstLine="560"/>
      </w:pPr>
      <w:r>
        <w:t>Các bên đồng ý với tất cả các điều khoản, quy định và điều kiện của hợp đồng này. Không có cơ quan nào hoặc đại diện của bên nào có quyền đưa ra tuyên bố, trình bày, hứa hẹn hoặc thỏa thuận nào mà không được nêu ra trong hợp đồng; Không bên nào bị ràng buộc hoặc có trách nhiệm trước các điều đó.</w:t>
      </w:r>
    </w:p>
    <w:p>
      <w:pPr>
        <w:ind w:firstLine="560"/>
      </w:pPr>
      <w:r>
        <w:t>Các bên cam kết thực hiện một cách trung thực, công bằng và đảm bảo để thực hiện theo mục tiêu của hợp đồng.</w:t>
      </w:r>
    </w:p>
    <w:p>
      <w:pPr>
        <w:ind w:firstLine="560"/>
      </w:pPr>
      <w:r>
        <w:t>Hợp đồng này có hiệu lực kể từ thời điểm [quy định tại ĐKCT</w:t>
      </w:r>
    </w:p>
    <w:p>
      <w:pPr>
        <w:ind w:firstLine="560"/>
      </w:pPr>
      <w:r>
        <w:t>].</w:t>
      </w:r>
    </w:p>
    <w:p>
      <w:pPr>
        <w:ind w:firstLine="560"/>
      </w:pPr>
      <w:r>
        <w:t>(Trường hợp thời gian hiệu lực của hợp đồng khác do các bên thỏa thuận)</w:t>
      </w:r>
    </w:p>
    <w:p>
      <w:pPr>
        <w:ind w:firstLine="560"/>
      </w:pPr>
      <w:r>
        <w:t>Số lượng trang, số lượng phụ lục, số bản được thành lập, ngôn ngữ hợp đồng, giá trị pháp lý, số bản Chủ đầu tư sẽ giữ, số bản Nhà thầu tư vấn sẽ giữ [quy định tại ĐKCT ].</w:t>
      </w:r>
    </w:p>
    <w:p>
      <w:pPr>
        <w:pStyle w:val="Heading2"/>
        <w:jc w:val="center"/>
      </w:pPr>
      <w:r>
        <w:rPr>
          <w:rFonts w:ascii="Times New Roman" w:hAnsi="Times New Roman"/>
          <w:color w:val="000000"/>
        </w:rPr>
        <w:t>PHẦN 4. ĐIỀU KIỆN CỤ THỂ CỦA HỢP ĐỒNG</w:t>
      </w:r>
    </w:p>
    <w:p>
      <w:pPr>
        <w:pStyle w:val="Heading2"/>
        <w:jc w:val="center"/>
      </w:pPr>
      <w:r>
        <w:rPr>
          <w:rFonts w:ascii="Times New Roman" w:hAnsi="Times New Roman"/>
          <w:color w:val="000000"/>
        </w:rPr>
        <w:t>Điều 20. Chấm dứt hợp đồng</w:t>
      </w:r>
    </w:p>
    <w:p>
      <w:pPr>
        <w:pStyle w:val="ListNumber"/>
      </w:pPr>
      <w:r>
        <w:t>Chấm dứt hợp đồng bởi Chủ đầu tư</w:t>
      </w:r>
    </w:p>
    <w:p>
      <w:pPr>
        <w:ind w:firstLine="560"/>
      </w:pPr>
      <w:r>
        <w:t>kể từ ngày gửi văn bản kết thúc hợp đồng đến Nhà thầu tư vấn. Chủ đầu tư sẽ được quyền chấm dứt hợp đồng</w:t>
      </w:r>
    </w:p>
    <w:p>
      <w:pPr>
        <w:ind w:firstLine="560"/>
      </w:pPr>
      <w:r>
        <w:t>Chủ đầu tư có thể chấm dứt hợp đồng sau 30 ngày khi:</w:t>
      </w:r>
    </w:p>
    <w:p>
      <w:pPr>
        <w:pStyle w:val="ListBullet"/>
      </w:pPr>
      <w:r>
        <w:t>b) Nhà thầu không có lý do chính đáng mà không tiếp tục thực hiện công việc theo Điều 23 [Thời gian và tiến độ thực hiện hợp đồng tư vấn xây dựng], hoặc trong 20 ngày liên tục không thực hiện công việc theo hợp đồng.</w:t>
      </w:r>
    </w:p>
    <w:p>
      <w:pPr>
        <w:pStyle w:val="Heading2"/>
        <w:jc w:val="center"/>
      </w:pPr>
      <w:r>
        <w:rPr>
          <w:rFonts w:ascii="Times New Roman" w:hAnsi="Times New Roman"/>
          <w:color w:val="000000"/>
        </w:rPr>
        <w:t>2. Chấm dứt hợp đồng bởi Nhà thầu tư vấn</w:t>
      </w:r>
    </w:p>
    <w:p>
      <w:pPr>
        <w:ind w:firstLine="560"/>
      </w:pPr>
      <w:r>
        <w:t>Nhà thầu tư vấn có thể chấm dứt hợp đồng nhưng phải thông báo bằng văn bản trước cho Chủ đầu tư tối thiểu là 30 ngày trong các trường hợp sau đây:</w:t>
      </w:r>
    </w:p>
    <w:p>
      <w:pPr>
        <w:pStyle w:val="ListBullet"/>
      </w:pPr>
      <w:r>
        <w:t>b) Chủ đầu tư không thanh toán cho Nhà thầu tư vấn theo hợp đồng và không thuộc đối tượng tranh chấp theo Điều 25[Khiếu nại, hòa giải và giải quyết tranh chấp] sau khoảng thời gian 30 ngày kể từ ngày Chủ đầu tư nhận đủ hồ sơ thanh toán hợp lệ.</w:t>
      </w:r>
    </w:p>
    <w:p>
      <w:pPr>
        <w:pStyle w:val="ListBullet"/>
      </w:pPr>
      <w:r>
        <w:t>d) Do hậu quả của sự kiện bất khả kháng mà Nhà thầu tư vấn không thể thực hiện một phần quan trọng công việc trong thời gian 30 ngày.</w:t>
      </w:r>
    </w:p>
    <w:p>
      <w:pPr>
        <w:pStyle w:val="Heading2"/>
        <w:jc w:val="center"/>
      </w:pPr>
      <w:r>
        <w:rPr>
          <w:rFonts w:ascii="Times New Roman" w:hAnsi="Times New Roman"/>
          <w:color w:val="000000"/>
        </w:rPr>
        <w:t>Điều 22. Nghiệm thu sản phẩm tư vấn</w:t>
      </w:r>
    </w:p>
    <w:p>
      <w:pPr>
        <w:ind w:firstLine="560"/>
      </w:pPr>
      <w:r>
        <w:t>Nghiệm thu sản phẩm được tiến hành 01 lần: Sau khi Nhà thầu tư vấn hoàn thành công việc khảo sát địa hình, hai bên tiến hành nghiệm thu khảo sát địa hình.</w:t>
      </w:r>
    </w:p>
    <w:p>
      <w:pPr>
        <w:pStyle w:val="Heading2"/>
        <w:jc w:val="center"/>
      </w:pPr>
      <w:r>
        <w:rPr>
          <w:rFonts w:ascii="Times New Roman" w:hAnsi="Times New Roman"/>
          <w:color w:val="000000"/>
        </w:rPr>
        <w:t>Điều 24. Tạm ứng và thanh toán</w:t>
      </w:r>
    </w:p>
    <w:p>
      <w:pPr>
        <w:pStyle w:val="ListNumber"/>
      </w:pPr>
      <w:r>
        <w:t>Tạm ứng và tiến độ thanh toán</w:t>
      </w:r>
    </w:p>
    <w:p>
      <w:pPr>
        <w:pStyle w:val="ListBullet"/>
      </w:pPr>
      <w:r>
        <w:t>a) Tạm ứng:</w:t>
      </w:r>
    </w:p>
    <w:p>
      <w:pPr>
        <w:pStyle w:val="ListNumber"/>
      </w:pPr>
      <w:r>
        <w:t>Không</w:t>
      </w:r>
    </w:p>
    <w:p>
      <w:pPr>
        <w:pStyle w:val="ListBullet"/>
      </w:pPr>
      <w:r>
        <w:t>b) Tiến độ thanh toán:</w:t>
      </w:r>
    </w:p>
    <w:p>
      <w:pPr>
        <w:ind w:firstLine="560"/>
      </w:pPr>
      <w:r>
        <w:t>Số lần thanh toán là 1 lần . Trong vòng 10 ngày sau khi hồ sơ khảo sát địa hình được nghiệm thu, Chủ đầu tư sẽ thanh toán cho Nhà thầu 100% giá trị Hợp đồng kể từ ngày nhận đủ hồ sơ thanh toán hợp lệ của Nhà thầu (chủ đầu tư thanh toán cho nhà thầu phù hợp với kế hoạch vốn được giao).</w:t>
      </w:r>
    </w:p>
    <w:p>
      <w:pPr>
        <w:pStyle w:val="Heading2"/>
        <w:jc w:val="center"/>
      </w:pPr>
      <w:r>
        <w:rPr>
          <w:rFonts w:ascii="Times New Roman" w:hAnsi="Times New Roman"/>
          <w:color w:val="000000"/>
        </w:rPr>
        <w:t>Điều 25. Khiếu nại, hòa giải và giải quyết tranh chấp</w:t>
      </w:r>
    </w:p>
    <w:p>
      <w:pPr>
        <w:pStyle w:val="ListNumber"/>
      </w:pPr>
      <w:r>
        <w:t>Khi một bên phát hiện bên kia thực hiện không đúng hoặc không thực hiện nghĩa vụ theo đúng hợp đồng thì có quyền yêu cầu bên kia thực hiện theo đúng nội dung hợp đồng đã ký kết. Khi đó bên phát hiện có quyền khiếu nại bên kia về nội dung này. Bên kia ph ải đưa ra các căn cứ, dẫn chứng cụ thể để làm sáng tỏ nội dung khiếu nại trong vòng 10 ngày. Nếu những các căn cứ, dẫn chứng không hợp lý thì phải chấp thuận những khiếu nại của bên kia.</w:t>
      </w:r>
    </w:p>
    <w:p>
      <w:pPr>
        <w:pStyle w:val="ListNumber"/>
      </w:pPr>
      <w:r>
        <w:t>Khi có tranh chấp phát sinh trong quá trình thực hiện hợp đồng, các bên sẽ cố gắng thương lượng để giải quyết bằng biện pháp hòa giải.</w:t>
      </w:r>
    </w:p>
    <w:p>
      <w:pPr>
        <w:ind w:firstLine="560"/>
      </w:pPr>
      <w:r>
        <w:t>Thời gian để tiến hành hòa giải:</w:t>
      </w:r>
    </w:p>
    <w:p>
      <w:pPr>
        <w:ind w:firstLine="560"/>
      </w:pPr>
      <w:r>
        <w:t>20 ngày.</w:t>
      </w:r>
    </w:p>
    <w:p>
      <w:pPr>
        <w:ind w:firstLine="560"/>
      </w:pPr>
      <w:r>
        <w:t>Trường hợp thương lượng không có kết quả thì khoảng thời gian các bên được quyền gửi vấn đề lên Trọng tài để xử lý tranh chấp theo các quy tắc của Việt Nam (hoặc Tòa án Nhân dân) theo quy định của pháp luật kể từ ngày phát sinh tranh chấp hợp đồng không thể hòa giải. Quyết định của Trọng tài (hoặc Tòa án Nhân dân) là quyết định cuối cùng và có tính chất bắt buộc với các bên.</w:t>
      </w:r>
    </w:p>
    <w:p>
      <w:pPr>
        <w:pStyle w:val="Heading2"/>
        <w:jc w:val="center"/>
      </w:pPr>
      <w:r>
        <w:rPr>
          <w:rFonts w:ascii="Times New Roman" w:hAnsi="Times New Roman"/>
          <w:color w:val="000000"/>
        </w:rPr>
        <w:t>Điều 26. Thưởng, phạt, bồi thường thiệt hại</w:t>
      </w:r>
    </w:p>
    <w:p>
      <w:pPr>
        <w:pStyle w:val="ListNumber"/>
      </w:pPr>
      <w:r>
        <w:t>Phạt vi phạm hợp đồng:</w:t>
      </w:r>
    </w:p>
    <w:p>
      <w:pPr>
        <w:pStyle w:val="ListNumber"/>
      </w:pPr>
      <w:r>
        <w:t>-Thời gian chậm tiến độ thực hiện hợp đồng là 30 ngày</w:t>
      </w:r>
    </w:p>
    <w:p>
      <w:pPr>
        <w:pStyle w:val="ListNumber"/>
      </w:pPr>
      <w:r>
        <w:t>-</w:t>
      </w:r>
    </w:p>
    <w:p>
      <w:pPr>
        <w:pStyle w:val="ListNumber"/>
      </w:pPr>
      <w:r>
        <w:t>Tỷ lệ phạt là không quá 1% giá trị hợp đồng.</w:t>
      </w:r>
    </w:p>
    <w:p>
      <w:pPr>
        <w:pStyle w:val="ListNumber"/>
      </w:pPr>
      <w:r>
        <w:t>-Số tiền phạt tối đa nhà thầu tư vấn phải chịu là 2.716.000 đồng Hai triệu, bảy trăm mười sáu ngàn đồng chẵn).</w:t>
      </w:r>
    </w:p>
    <w:p>
      <w:pPr>
        <w:pStyle w:val="Heading2"/>
        <w:jc w:val="center"/>
      </w:pPr>
      <w:r>
        <w:rPr>
          <w:rFonts w:ascii="Times New Roman" w:hAnsi="Times New Roman"/>
          <w:color w:val="000000"/>
        </w:rPr>
        <w:t>Điều 27. Điều khoản chung</w:t>
      </w:r>
    </w:p>
    <w:p>
      <w:pPr>
        <w:ind w:firstLine="560"/>
      </w:pPr>
      <w:r>
        <w:t>Hợp đồng này có hiệu lực kể từ ngày     tháng     năm 2025</w:t>
      </w:r>
    </w:p>
    <w:p>
      <w:pPr>
        <w:ind w:firstLine="560"/>
      </w:pPr>
      <w:r>
        <w:t>.</w:t>
      </w:r>
    </w:p>
    <w:p>
      <w:pPr>
        <w:ind w:firstLine="560"/>
      </w:pPr>
      <w:r>
        <w:t>(Trường hợp thời gian hiệu lực của hợp đồng khác do các bên thỏa thuận)</w:t>
      </w:r>
    </w:p>
    <w:p>
      <w:pPr>
        <w:ind w:firstLine="560"/>
      </w:pPr>
      <w:r>
        <w:t>-Hợp đồng này bao gồm 2 6 trang và 02 phụ lục, được lập thành 10 bản bằng tiếng Việt có giá trị pháp lý như nhau. Chủ đầu tư giữ 06 bản, Nhà thầu tư vấn giữ 04 bản./.</w:t>
      </w:r>
    </w:p>
    <w:p>
      <w:pPr>
        <w:pStyle w:val="Heading2"/>
        <w:jc w:val="center"/>
      </w:pPr>
      <w:r>
        <w:rPr>
          <w:rFonts w:ascii="Times New Roman" w:hAnsi="Times New Roman"/>
          <w:color w:val="000000"/>
        </w:rPr>
        <w:t>ĐẠI DIỆN CHỦ ĐẦU TƯ SỞ XÂY DỰNG TỈNH ĐỒNG NAI ĐẠI DIỆN TƯ VẤN KHẢO SÁT CÔNG TY TNHH HỢP NHẤT BÁCH VIỆT</w:t>
      </w:r>
    </w:p>
    <w:p>
      <w:pPr>
        <w:pStyle w:val="ListBullet"/>
      </w:pPr>
      <w:r>
        <w:t>(Bằng chữ:</w:t>
      </w:r>
    </w:p>
    <w:p>
      <w:pPr>
        <w:pStyle w:val="Heading2"/>
        <w:jc w:val="center"/>
      </w:pPr>
      <w:r>
        <w:rPr>
          <w:rFonts w:ascii="Times New Roman" w:hAnsi="Times New Roman"/>
          <w:color w:val="000000"/>
        </w:rPr>
        <w:t>PHỤ LỤC 1: KHỐI LƯỢNG VÀ GIÁ TRỊ HỢP ĐỒNG</w:t>
      </w:r>
    </w:p>
    <w:p>
      <w:pPr>
        <w:ind w:firstLine="560"/>
      </w:pPr>
      <w:r>
        <w:t>Gói thầu:</w:t>
      </w:r>
    </w:p>
    <w:p>
      <w:pPr>
        <w:ind w:firstLine="560"/>
      </w:pPr>
      <w:r>
        <w:t>Gói thầu số 02 (tư vấn): Khảo sát đo đạc lập bản đồ địa hình</w:t>
      </w:r>
    </w:p>
    <w:p>
      <w:pPr>
        <w:ind w:firstLine="560"/>
      </w:pPr>
      <w:r>
        <w:t>(Kèm theo hợp đồng số</w:t>
      </w:r>
    </w:p>
    <w:p>
      <w:pPr>
        <w:ind w:firstLine="560"/>
      </w:pPr>
      <w:r>
        <w:t>/2025 /HĐTV ngày</w:t>
      </w:r>
    </w:p>
    <w:p>
      <w:pPr>
        <w:ind w:firstLine="560"/>
      </w:pPr>
      <w:r>
        <w:t>/     /2025)</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after="0" w:before="0"/>
            </w:pPr>
            <w:r>
              <w:rPr>
                <w:b/>
              </w:rPr>
            </w:r>
            <w:r>
              <w:rPr>
                <w:b/>
              </w:rPr>
              <w:t>STT</w:t>
            </w:r>
          </w:p>
        </w:tc>
        <w:tc>
          <w:tcPr>
            <w:tcW w:type="dxa" w:w="1512"/>
          </w:tcPr>
          <w:p>
            <w:pPr>
              <w:spacing w:after="0" w:before="0"/>
            </w:pPr>
            <w:r>
              <w:rPr>
                <w:b/>
              </w:rPr>
            </w:r>
            <w:r>
              <w:rPr>
                <w:b/>
              </w:rPr>
              <w:t>Mô tả công việc</w:t>
            </w:r>
          </w:p>
        </w:tc>
        <w:tc>
          <w:tcPr>
            <w:tcW w:type="dxa" w:w="1512"/>
          </w:tcPr>
          <w:p>
            <w:pPr>
              <w:spacing w:after="0" w:before="0"/>
            </w:pPr>
            <w:r>
              <w:rPr>
                <w:b/>
              </w:rPr>
            </w:r>
            <w:r>
              <w:rPr>
                <w:b/>
              </w:rPr>
              <w:t>Đơn vị tính</w:t>
            </w:r>
          </w:p>
        </w:tc>
        <w:tc>
          <w:tcPr>
            <w:tcW w:type="dxa" w:w="1512"/>
          </w:tcPr>
          <w:p>
            <w:pPr>
              <w:spacing w:after="0" w:before="0"/>
            </w:pPr>
            <w:r>
              <w:rPr>
                <w:b/>
              </w:rPr>
            </w:r>
            <w:r>
              <w:rPr>
                <w:b/>
              </w:rPr>
              <w:t>Khối lượng</w:t>
            </w:r>
          </w:p>
        </w:tc>
        <w:tc>
          <w:tcPr>
            <w:tcW w:type="dxa" w:w="1512"/>
          </w:tcPr>
          <w:p>
            <w:pPr>
              <w:spacing w:after="0" w:before="0"/>
            </w:pPr>
            <w:r>
              <w:rPr>
                <w:b/>
              </w:rPr>
            </w:r>
            <w:r>
              <w:rPr>
                <w:b/>
              </w:rPr>
              <w:t>Đơn giá (bao gồm VAT)</w:t>
            </w:r>
          </w:p>
        </w:tc>
        <w:tc>
          <w:tcPr>
            <w:tcW w:type="dxa" w:w="1512"/>
          </w:tcPr>
          <w:p>
            <w:pPr>
              <w:spacing w:after="0" w:before="0"/>
            </w:pPr>
            <w:r>
              <w:rPr>
                <w:b/>
              </w:rPr>
            </w:r>
            <w:r>
              <w:rPr>
                <w:b/>
              </w:rPr>
              <w:t>Thành tiền (bao gồm VAT)</w:t>
            </w:r>
          </w:p>
        </w:tc>
      </w:tr>
      <w:tr>
        <w:tc>
          <w:tcPr>
            <w:tcW w:type="dxa" w:w="1512"/>
          </w:tcPr>
          <w:p>
            <w:pPr>
              <w:spacing w:after="0" w:before="0"/>
            </w:pPr>
            <w:r/>
            <w:r>
              <w:t>1</w:t>
            </w:r>
          </w:p>
        </w:tc>
        <w:tc>
          <w:tcPr>
            <w:tcW w:type="dxa" w:w="1512"/>
          </w:tcPr>
          <w:p>
            <w:pPr>
              <w:spacing w:after="0" w:before="0"/>
            </w:pPr>
            <w:r/>
            <w:r>
              <w:t>Đo lưới khống chế mặt bằng đường chuyền hạng 4, bằng bộ thiết bị GPS (3 máy), địa hình cấp III</w:t>
            </w:r>
          </w:p>
        </w:tc>
        <w:tc>
          <w:tcPr>
            <w:tcW w:type="dxa" w:w="1512"/>
          </w:tcPr>
          <w:p>
            <w:pPr>
              <w:spacing w:after="0" w:before="0"/>
            </w:pPr>
            <w:r/>
            <w:r>
              <w:t>điểm</w:t>
            </w:r>
          </w:p>
        </w:tc>
        <w:tc>
          <w:tcPr>
            <w:tcW w:type="dxa" w:w="1512"/>
          </w:tcPr>
          <w:p>
            <w:pPr>
              <w:spacing w:after="0" w:before="0"/>
            </w:pPr>
            <w:r/>
            <w:r>
              <w:t>2</w:t>
            </w:r>
          </w:p>
        </w:tc>
        <w:tc>
          <w:tcPr>
            <w:tcW w:type="dxa" w:w="1512"/>
          </w:tcPr>
          <w:p>
            <w:pPr>
              <w:spacing w:after="0" w:before="0"/>
            </w:pPr>
            <w:r/>
            <w:r>
              <w:t>7.760.000</w:t>
            </w:r>
          </w:p>
        </w:tc>
        <w:tc>
          <w:tcPr>
            <w:tcW w:type="dxa" w:w="1512"/>
          </w:tcPr>
          <w:p>
            <w:pPr>
              <w:spacing w:after="0" w:before="0"/>
            </w:pPr>
            <w:r/>
            <w:r>
              <w:t>15.520.000</w:t>
            </w:r>
          </w:p>
        </w:tc>
      </w:tr>
      <w:tr>
        <w:tc>
          <w:tcPr>
            <w:tcW w:type="dxa" w:w="1512"/>
          </w:tcPr>
          <w:p>
            <w:pPr>
              <w:spacing w:after="0" w:before="0"/>
            </w:pPr>
            <w:r/>
            <w:r>
              <w:t>2</w:t>
            </w:r>
          </w:p>
        </w:tc>
        <w:tc>
          <w:tcPr>
            <w:tcW w:type="dxa" w:w="1512"/>
          </w:tcPr>
          <w:p>
            <w:pPr>
              <w:spacing w:after="0" w:before="0"/>
            </w:pPr>
            <w:r/>
            <w:r>
              <w:t>Đo lưới khống chế mặt bằng đường chuyền cấp 1, Bộ thiết bị GPS (3 máy), địa hình cấp III</w:t>
            </w:r>
          </w:p>
        </w:tc>
        <w:tc>
          <w:tcPr>
            <w:tcW w:type="dxa" w:w="1512"/>
          </w:tcPr>
          <w:p>
            <w:pPr>
              <w:spacing w:after="0" w:before="0"/>
            </w:pPr>
            <w:r/>
            <w:r>
              <w:t>điểm</w:t>
            </w:r>
          </w:p>
        </w:tc>
        <w:tc>
          <w:tcPr>
            <w:tcW w:type="dxa" w:w="1512"/>
          </w:tcPr>
          <w:p>
            <w:pPr>
              <w:spacing w:after="0" w:before="0"/>
            </w:pPr>
            <w:r/>
            <w:r>
              <w:t>4</w:t>
            </w:r>
          </w:p>
        </w:tc>
        <w:tc>
          <w:tcPr>
            <w:tcW w:type="dxa" w:w="1512"/>
          </w:tcPr>
          <w:p>
            <w:pPr>
              <w:spacing w:after="0" w:before="0"/>
            </w:pPr>
            <w:r/>
            <w:r>
              <w:t>3.880.000</w:t>
            </w:r>
          </w:p>
        </w:tc>
        <w:tc>
          <w:tcPr>
            <w:tcW w:type="dxa" w:w="1512"/>
          </w:tcPr>
          <w:p>
            <w:pPr>
              <w:spacing w:after="0" w:before="0"/>
            </w:pPr>
            <w:r/>
            <w:r>
              <w:t>15.520.000</w:t>
            </w:r>
          </w:p>
        </w:tc>
      </w:tr>
      <w:tr>
        <w:tc>
          <w:tcPr>
            <w:tcW w:type="dxa" w:w="1512"/>
          </w:tcPr>
          <w:p>
            <w:pPr>
              <w:spacing w:after="0" w:before="0"/>
            </w:pPr>
            <w:r/>
            <w:r>
              <w:t>3</w:t>
            </w:r>
          </w:p>
        </w:tc>
        <w:tc>
          <w:tcPr>
            <w:tcW w:type="dxa" w:w="1512"/>
          </w:tcPr>
          <w:p>
            <w:pPr>
              <w:spacing w:after="0" w:before="0"/>
            </w:pPr>
            <w:r/>
            <w:r>
              <w:t>Đo lưới khống chế mặt bằng đường chuyền cấp 2, Bộ thiết bị GPS (3 máy), địa hình cấp III</w:t>
            </w:r>
          </w:p>
        </w:tc>
        <w:tc>
          <w:tcPr>
            <w:tcW w:type="dxa" w:w="1512"/>
          </w:tcPr>
          <w:p>
            <w:pPr>
              <w:spacing w:after="0" w:before="0"/>
            </w:pPr>
            <w:r/>
            <w:r>
              <w:t>điểm</w:t>
            </w:r>
          </w:p>
        </w:tc>
        <w:tc>
          <w:tcPr>
            <w:tcW w:type="dxa" w:w="1512"/>
          </w:tcPr>
          <w:p>
            <w:pPr>
              <w:spacing w:after="0" w:before="0"/>
            </w:pPr>
            <w:r/>
            <w:r>
              <w:t>6</w:t>
            </w:r>
          </w:p>
        </w:tc>
        <w:tc>
          <w:tcPr>
            <w:tcW w:type="dxa" w:w="1512"/>
          </w:tcPr>
          <w:p>
            <w:pPr>
              <w:spacing w:after="0" w:before="0"/>
            </w:pPr>
            <w:r/>
            <w:r>
              <w:t>2.910.000</w:t>
            </w:r>
          </w:p>
        </w:tc>
        <w:tc>
          <w:tcPr>
            <w:tcW w:type="dxa" w:w="1512"/>
          </w:tcPr>
          <w:p>
            <w:pPr>
              <w:spacing w:after="0" w:before="0"/>
            </w:pPr>
            <w:r/>
            <w:r>
              <w:t>17.460.000</w:t>
            </w:r>
          </w:p>
        </w:tc>
      </w:tr>
      <w:tr>
        <w:tc>
          <w:tcPr>
            <w:tcW w:type="dxa" w:w="1512"/>
          </w:tcPr>
          <w:p>
            <w:pPr>
              <w:spacing w:after="0" w:before="0"/>
            </w:pPr>
            <w:r/>
            <w:r>
              <w:t>4</w:t>
            </w:r>
          </w:p>
        </w:tc>
        <w:tc>
          <w:tcPr>
            <w:tcW w:type="dxa" w:w="1512"/>
          </w:tcPr>
          <w:p>
            <w:pPr>
              <w:spacing w:after="0" w:before="0"/>
            </w:pPr>
            <w:r/>
            <w:r>
              <w:t>Đo lưới khống chế độ cao thủy chuẩn hạng IV, cấp địa hình III</w:t>
            </w:r>
          </w:p>
        </w:tc>
        <w:tc>
          <w:tcPr>
            <w:tcW w:type="dxa" w:w="1512"/>
          </w:tcPr>
          <w:p>
            <w:pPr>
              <w:spacing w:after="0" w:before="0"/>
            </w:pPr>
            <w:r/>
            <w:r>
              <w:t>km</w:t>
            </w:r>
          </w:p>
        </w:tc>
        <w:tc>
          <w:tcPr>
            <w:tcW w:type="dxa" w:w="1512"/>
          </w:tcPr>
          <w:p>
            <w:pPr>
              <w:spacing w:after="0" w:before="0"/>
            </w:pPr>
            <w:r/>
            <w:r>
              <w:t>10</w:t>
            </w:r>
          </w:p>
        </w:tc>
        <w:tc>
          <w:tcPr>
            <w:tcW w:type="dxa" w:w="1512"/>
          </w:tcPr>
          <w:p>
            <w:pPr>
              <w:spacing w:after="0" w:before="0"/>
            </w:pPr>
            <w:r/>
            <w:r>
              <w:t>2.425.000</w:t>
            </w:r>
          </w:p>
        </w:tc>
        <w:tc>
          <w:tcPr>
            <w:tcW w:type="dxa" w:w="1512"/>
          </w:tcPr>
          <w:p>
            <w:pPr>
              <w:spacing w:after="0" w:before="0"/>
            </w:pPr>
            <w:r/>
            <w:r>
              <w:t>24.250.000</w:t>
            </w:r>
          </w:p>
        </w:tc>
      </w:tr>
      <w:tr>
        <w:tc>
          <w:tcPr>
            <w:tcW w:type="dxa" w:w="1512"/>
          </w:tcPr>
          <w:p>
            <w:pPr>
              <w:spacing w:after="0" w:before="0"/>
            </w:pPr>
            <w:r/>
            <w:r>
              <w:t>5</w:t>
            </w:r>
          </w:p>
        </w:tc>
        <w:tc>
          <w:tcPr>
            <w:tcW w:type="dxa" w:w="1512"/>
          </w:tcPr>
          <w:p>
            <w:pPr>
              <w:spacing w:after="0" w:before="0"/>
            </w:pPr>
            <w:r/>
            <w:r>
              <w:t>Đo lưới khống chế độ cao thủy chuẩn kỹ thuật, cấp địa hình III</w:t>
            </w:r>
          </w:p>
        </w:tc>
        <w:tc>
          <w:tcPr>
            <w:tcW w:type="dxa" w:w="1512"/>
          </w:tcPr>
          <w:p>
            <w:pPr>
              <w:spacing w:after="0" w:before="0"/>
            </w:pPr>
            <w:r/>
            <w:r>
              <w:t>km</w:t>
            </w:r>
          </w:p>
        </w:tc>
        <w:tc>
          <w:tcPr>
            <w:tcW w:type="dxa" w:w="1512"/>
          </w:tcPr>
          <w:p>
            <w:pPr>
              <w:spacing w:after="0" w:before="0"/>
            </w:pPr>
            <w:r/>
            <w:r>
              <w:t>15</w:t>
            </w:r>
          </w:p>
        </w:tc>
        <w:tc>
          <w:tcPr>
            <w:tcW w:type="dxa" w:w="1512"/>
          </w:tcPr>
          <w:p>
            <w:pPr>
              <w:spacing w:after="0" w:before="0"/>
            </w:pPr>
            <w:r/>
            <w:r>
              <w:t>1.940.000</w:t>
            </w:r>
          </w:p>
        </w:tc>
        <w:tc>
          <w:tcPr>
            <w:tcW w:type="dxa" w:w="1512"/>
          </w:tcPr>
          <w:p>
            <w:pPr>
              <w:spacing w:after="0" w:before="0"/>
            </w:pPr>
            <w:r/>
            <w:r>
              <w:t>29.100.000</w:t>
            </w:r>
          </w:p>
        </w:tc>
      </w:tr>
      <w:tr>
        <w:tc>
          <w:tcPr>
            <w:tcW w:type="dxa" w:w="1512"/>
          </w:tcPr>
          <w:p>
            <w:pPr>
              <w:spacing w:after="0" w:before="0"/>
            </w:pPr>
            <w:r/>
            <w:r>
              <w:t>6</w:t>
            </w:r>
          </w:p>
        </w:tc>
        <w:tc>
          <w:tcPr>
            <w:tcW w:type="dxa" w:w="1512"/>
          </w:tcPr>
          <w:p>
            <w:pPr>
              <w:spacing w:after="0" w:before="0"/>
            </w:pPr>
            <w:r/>
            <w:r>
              <w:t>Đo vẽ chi tiết bản đồ trên cạn, bản đồ tỷ lệ 1/2.000, đường đồng mức 2,0m, cấp địa hình IV</w:t>
            </w:r>
          </w:p>
        </w:tc>
        <w:tc>
          <w:tcPr>
            <w:tcW w:type="dxa" w:w="1512"/>
          </w:tcPr>
          <w:p>
            <w:pPr>
              <w:spacing w:after="0" w:before="0"/>
            </w:pPr>
            <w:r/>
            <w:r>
              <w:t>100ha</w:t>
            </w:r>
          </w:p>
        </w:tc>
        <w:tc>
          <w:tcPr>
            <w:tcW w:type="dxa" w:w="1512"/>
          </w:tcPr>
          <w:p>
            <w:pPr>
              <w:spacing w:after="0" w:before="0"/>
            </w:pPr>
            <w:r/>
            <w:r>
              <w:t>2,5</w:t>
            </w:r>
          </w:p>
        </w:tc>
        <w:tc>
          <w:tcPr>
            <w:tcW w:type="dxa" w:w="1512"/>
          </w:tcPr>
          <w:p>
            <w:pPr>
              <w:spacing w:after="0" w:before="0"/>
            </w:pPr>
            <w:r/>
            <w:r>
              <w:t>67.900.000</w:t>
            </w:r>
          </w:p>
        </w:tc>
        <w:tc>
          <w:tcPr>
            <w:tcW w:type="dxa" w:w="1512"/>
          </w:tcPr>
          <w:p>
            <w:pPr>
              <w:spacing w:after="0" w:before="0"/>
            </w:pPr>
            <w:r/>
            <w:r>
              <w:t>169.750.000</w:t>
            </w:r>
          </w:p>
        </w:tc>
      </w:tr>
      <w:tr>
        <w:tc>
          <w:tcPr>
            <w:tcW w:type="dxa" w:w="1512"/>
          </w:tcPr>
          <w:p>
            <w:pPr>
              <w:spacing w:after="0" w:before="0"/>
            </w:pPr>
            <w:r/>
            <w:r>
              <w:t>Tổng cộng</w:t>
            </w:r>
          </w:p>
        </w:tc>
        <w:tc>
          <w:tcPr>
            <w:tcW w:type="dxa" w:w="1512"/>
          </w:tcPr>
          <w:p>
            <w:pPr>
              <w:spacing w:after="0" w:before="0"/>
            </w:pPr>
            <w:r/>
            <w:r>
              <w:t>Tổng cộng</w:t>
            </w:r>
          </w:p>
        </w:tc>
        <w:tc>
          <w:tcPr>
            <w:tcW w:type="dxa" w:w="1512"/>
          </w:tcPr>
          <w:p>
            <w:pPr>
              <w:spacing w:after="0" w:before="0"/>
            </w:pPr>
            <w:r/>
            <w:r>
              <w:t>Tổng cộng</w:t>
            </w:r>
          </w:p>
        </w:tc>
        <w:tc>
          <w:tcPr>
            <w:tcW w:type="dxa" w:w="1512"/>
          </w:tcPr>
          <w:p>
            <w:pPr>
              <w:spacing w:after="0" w:before="0"/>
            </w:pPr>
            <w:r/>
            <w:r>
              <w:t>Tổng cộng</w:t>
            </w:r>
          </w:p>
        </w:tc>
        <w:tc>
          <w:tcPr>
            <w:tcW w:type="dxa" w:w="1512"/>
          </w:tcPr>
          <w:p>
            <w:pPr>
              <w:spacing w:after="0" w:before="0"/>
            </w:pPr>
            <w:r/>
            <w:r>
              <w:t>Tổng cộng</w:t>
            </w:r>
          </w:p>
        </w:tc>
        <w:tc>
          <w:tcPr>
            <w:tcW w:type="dxa" w:w="1512"/>
          </w:tcPr>
          <w:p>
            <w:pPr>
              <w:spacing w:after="0" w:before="0"/>
            </w:pPr>
            <w:r/>
            <w:r>
              <w:t>271.600.000</w:t>
            </w:r>
          </w:p>
        </w:tc>
      </w:tr>
    </w:tbl>
    <w:p>
      <w:pPr>
        <w:pStyle w:val="Heading2"/>
        <w:jc w:val="center"/>
      </w:pPr>
      <w:r>
        <w:rPr>
          <w:rFonts w:ascii="Times New Roman" w:hAnsi="Times New Roman"/>
          <w:color w:val="000000"/>
        </w:rPr>
        <w:t>PHỤ LỤC 2: DANH SÁCH NHÂN SỰ THỰC HIỆN</w:t>
      </w:r>
    </w:p>
    <w:p>
      <w:pPr>
        <w:pStyle w:val="Heading2"/>
        <w:jc w:val="center"/>
      </w:pPr>
      <w:r>
        <w:rPr>
          <w:rFonts w:ascii="Times New Roman" w:hAnsi="Times New Roman"/>
          <w:color w:val="000000"/>
        </w:rPr>
        <w:t>Gói thầu: Gói thầu số 02 (tư vấn): Khảo sát đo đạc lập bản đồ địa hình</w:t>
      </w:r>
    </w:p>
    <w:p>
      <w:pPr>
        <w:ind w:firstLine="560"/>
      </w:pPr>
      <w:r>
        <w:t>(Kèm theo hợp đồng số             /202</w:t>
      </w:r>
    </w:p>
    <w:p>
      <w:pPr>
        <w:ind w:firstLine="560"/>
      </w:pPr>
      <w:r>
        <w:t>5 /HĐTV ngày     /     /202 5)</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after="0" w:before="0"/>
            </w:pPr>
            <w:r>
              <w:rPr>
                <w:b/>
              </w:rPr>
            </w:r>
            <w:r>
              <w:rPr>
                <w:b/>
              </w:rPr>
              <w:t>STT</w:t>
            </w:r>
          </w:p>
        </w:tc>
        <w:tc>
          <w:tcPr>
            <w:tcW w:type="dxa" w:w="2268"/>
          </w:tcPr>
          <w:p>
            <w:pPr>
              <w:spacing w:after="0" w:before="0"/>
            </w:pPr>
            <w:r>
              <w:rPr>
                <w:b/>
              </w:rPr>
            </w:r>
            <w:r>
              <w:rPr>
                <w:b/>
              </w:rPr>
              <w:t>Họ và tên</w:t>
            </w:r>
          </w:p>
        </w:tc>
        <w:tc>
          <w:tcPr>
            <w:tcW w:type="dxa" w:w="2268"/>
          </w:tcPr>
          <w:p>
            <w:pPr>
              <w:spacing w:after="0" w:before="0"/>
            </w:pPr>
            <w:r>
              <w:rPr>
                <w:b/>
              </w:rPr>
            </w:r>
            <w:r>
              <w:rPr>
                <w:b/>
              </w:rPr>
              <w:t>Chức vụ</w:t>
            </w:r>
          </w:p>
        </w:tc>
        <w:tc>
          <w:tcPr>
            <w:tcW w:type="dxa" w:w="2268"/>
          </w:tcPr>
          <w:p>
            <w:pPr>
              <w:spacing w:after="0" w:before="0"/>
            </w:pPr>
            <w:r>
              <w:rPr>
                <w:b/>
              </w:rPr>
            </w:r>
            <w:r>
              <w:rPr>
                <w:b/>
              </w:rPr>
              <w:t>Bằng cấp</w:t>
            </w:r>
          </w:p>
        </w:tc>
      </w:tr>
      <w:tr>
        <w:tc>
          <w:tcPr>
            <w:tcW w:type="dxa" w:w="2268"/>
          </w:tcPr>
          <w:p>
            <w:pPr>
              <w:spacing w:after="0" w:before="0"/>
            </w:pPr>
            <w:r/>
            <w:r>
              <w:t>1</w:t>
            </w:r>
          </w:p>
        </w:tc>
        <w:tc>
          <w:tcPr>
            <w:tcW w:type="dxa" w:w="2268"/>
          </w:tcPr>
          <w:p>
            <w:pPr>
              <w:spacing w:after="0" w:before="0"/>
            </w:pPr>
            <w:r/>
            <w:r>
              <w:t>Phan Nguyên Việt</w:t>
            </w:r>
          </w:p>
        </w:tc>
        <w:tc>
          <w:tcPr>
            <w:tcW w:type="dxa" w:w="2268"/>
          </w:tcPr>
          <w:p>
            <w:pPr>
              <w:spacing w:after="0" w:before="0"/>
            </w:pPr>
            <w:r/>
            <w:r>
              <w:t>Chủ nhiệm khảo sát</w:t>
            </w:r>
          </w:p>
        </w:tc>
        <w:tc>
          <w:tcPr>
            <w:tcW w:type="dxa" w:w="2268"/>
          </w:tcPr>
          <w:p>
            <w:pPr>
              <w:spacing w:after="0" w:before="0"/>
            </w:pPr>
            <w:r/>
            <w:r>
              <w:t>Kỹ sư Trắc địa Bản đồ Chứng chỉ Khảo sát địa hình hạng I Chứng chỉ hành nghề Đo đạc và Bản đồ hạng I</w:t>
            </w:r>
          </w:p>
        </w:tc>
      </w:tr>
      <w:tr>
        <w:tc>
          <w:tcPr>
            <w:tcW w:type="dxa" w:w="2268"/>
          </w:tcPr>
          <w:p>
            <w:pPr>
              <w:spacing w:after="0" w:before="0"/>
            </w:pPr>
            <w:r/>
            <w:r>
              <w:t>2</w:t>
            </w:r>
          </w:p>
        </w:tc>
        <w:tc>
          <w:tcPr>
            <w:tcW w:type="dxa" w:w="2268"/>
          </w:tcPr>
          <w:p>
            <w:pPr>
              <w:spacing w:after="0" w:before="0"/>
            </w:pPr>
            <w:r/>
            <w:r>
              <w:t>Nguyễn Trọng Nghĩa</w:t>
            </w:r>
          </w:p>
        </w:tc>
        <w:tc>
          <w:tcPr>
            <w:tcW w:type="dxa" w:w="2268"/>
          </w:tcPr>
          <w:p>
            <w:pPr>
              <w:spacing w:after="0" w:before="0"/>
            </w:pPr>
            <w:r/>
            <w:r>
              <w:t>Cán bộ khảo sát</w:t>
            </w:r>
          </w:p>
        </w:tc>
        <w:tc>
          <w:tcPr>
            <w:tcW w:type="dxa" w:w="2268"/>
          </w:tcPr>
          <w:p>
            <w:pPr>
              <w:spacing w:after="0" w:before="0"/>
            </w:pPr>
            <w:r/>
            <w:r>
              <w:t>Kỹ sư Trắc địa Bản đồ Chứng chỉ Khảo sát địa hình hạng II</w:t>
            </w:r>
          </w:p>
        </w:tc>
      </w:tr>
      <w:tr>
        <w:tc>
          <w:tcPr>
            <w:tcW w:type="dxa" w:w="2268"/>
          </w:tcPr>
          <w:p>
            <w:pPr>
              <w:spacing w:after="0" w:before="0"/>
            </w:pPr>
            <w:r/>
            <w:r>
              <w:t>3</w:t>
            </w:r>
          </w:p>
        </w:tc>
        <w:tc>
          <w:tcPr>
            <w:tcW w:type="dxa" w:w="2268"/>
          </w:tcPr>
          <w:p>
            <w:pPr>
              <w:spacing w:after="0" w:before="0"/>
            </w:pPr>
            <w:r/>
            <w:r>
              <w:t>Nguyễn Văn Bảo</w:t>
            </w:r>
          </w:p>
        </w:tc>
        <w:tc>
          <w:tcPr>
            <w:tcW w:type="dxa" w:w="2268"/>
          </w:tcPr>
          <w:p>
            <w:pPr>
              <w:spacing w:after="0" w:before="0"/>
            </w:pPr>
            <w:r/>
            <w:r>
              <w:t>Cán bộ khảo sát, đo vẽ địa hình</w:t>
            </w:r>
          </w:p>
        </w:tc>
        <w:tc>
          <w:tcPr>
            <w:tcW w:type="dxa" w:w="2268"/>
          </w:tcPr>
          <w:p>
            <w:pPr>
              <w:spacing w:after="0" w:before="0"/>
            </w:pPr>
            <w:r/>
            <w:r>
              <w:t>Kỹ sư Trắc địa Bản đồ</w:t>
            </w:r>
          </w:p>
        </w:tc>
      </w:tr>
      <w:tr>
        <w:tc>
          <w:tcPr>
            <w:tcW w:type="dxa" w:w="2268"/>
          </w:tcPr>
          <w:p>
            <w:pPr>
              <w:spacing w:after="0" w:before="0"/>
            </w:pPr>
            <w:r/>
            <w:r>
              <w:t>4</w:t>
            </w:r>
          </w:p>
        </w:tc>
        <w:tc>
          <w:tcPr>
            <w:tcW w:type="dxa" w:w="2268"/>
          </w:tcPr>
          <w:p>
            <w:pPr>
              <w:spacing w:after="0" w:before="0"/>
            </w:pPr>
            <w:r/>
            <w:r>
              <w:t>Trần Văn Nu</w:t>
            </w:r>
          </w:p>
        </w:tc>
        <w:tc>
          <w:tcPr>
            <w:tcW w:type="dxa" w:w="2268"/>
          </w:tcPr>
          <w:p>
            <w:pPr>
              <w:spacing w:after="0" w:before="0"/>
            </w:pPr>
            <w:r/>
            <w:r>
              <w:t>Cán bộ khảo sát, đo vẽ địa hình</w:t>
            </w:r>
          </w:p>
        </w:tc>
        <w:tc>
          <w:tcPr>
            <w:tcW w:type="dxa" w:w="2268"/>
          </w:tcPr>
          <w:p>
            <w:pPr>
              <w:spacing w:after="0" w:before="0"/>
            </w:pPr>
            <w:r/>
            <w:r>
              <w:t>Kỹ sư Quản lý đất đai. Chứng chỉ Khảo sát địa hình hạng II</w:t>
            </w:r>
          </w:p>
        </w:tc>
      </w:tr>
      <w:tr>
        <w:tc>
          <w:tcPr>
            <w:tcW w:type="dxa" w:w="2268"/>
          </w:tcPr>
          <w:p>
            <w:pPr>
              <w:spacing w:after="0" w:before="0"/>
            </w:pPr>
            <w:r/>
            <w:r>
              <w:t>5</w:t>
            </w:r>
          </w:p>
        </w:tc>
        <w:tc>
          <w:tcPr>
            <w:tcW w:type="dxa" w:w="2268"/>
          </w:tcPr>
          <w:p>
            <w:pPr>
              <w:spacing w:after="0" w:before="0"/>
            </w:pPr>
            <w:r/>
            <w:r>
              <w:t>Đào Minh Luân</w:t>
            </w:r>
          </w:p>
        </w:tc>
        <w:tc>
          <w:tcPr>
            <w:tcW w:type="dxa" w:w="2268"/>
          </w:tcPr>
          <w:p>
            <w:pPr>
              <w:spacing w:after="0" w:before="0"/>
            </w:pPr>
            <w:r/>
            <w:r>
              <w:t>Cán bộ khảo sát, đo vẽ địa hình</w:t>
            </w:r>
          </w:p>
        </w:tc>
        <w:tc>
          <w:tcPr>
            <w:tcW w:type="dxa" w:w="2268"/>
          </w:tcPr>
          <w:p>
            <w:pPr>
              <w:spacing w:after="0" w:before="0"/>
            </w:pPr>
            <w:r/>
            <w:r>
              <w:t>Kỹ sư Trắc địa Bản đồ</w:t>
            </w:r>
          </w:p>
        </w:tc>
      </w:tr>
      <w:tr>
        <w:tc>
          <w:tcPr>
            <w:tcW w:type="dxa" w:w="2268"/>
          </w:tcPr>
          <w:p>
            <w:pPr>
              <w:spacing w:after="0" w:before="0"/>
            </w:pPr>
            <w:r/>
            <w:r>
              <w:t>6</w:t>
            </w:r>
          </w:p>
        </w:tc>
        <w:tc>
          <w:tcPr>
            <w:tcW w:type="dxa" w:w="2268"/>
          </w:tcPr>
          <w:p>
            <w:pPr>
              <w:spacing w:after="0" w:before="0"/>
            </w:pPr>
            <w:r/>
            <w:r>
              <w:t>Huỳnh Thị Kim Hồng</w:t>
            </w:r>
          </w:p>
        </w:tc>
        <w:tc>
          <w:tcPr>
            <w:tcW w:type="dxa" w:w="2268"/>
          </w:tcPr>
          <w:p>
            <w:pPr>
              <w:spacing w:after="0" w:before="0"/>
            </w:pPr>
            <w:r/>
            <w:r>
              <w:t>Cán bộ phụ trách kỹ thuật</w:t>
            </w:r>
          </w:p>
        </w:tc>
        <w:tc>
          <w:tcPr>
            <w:tcW w:type="dxa" w:w="2268"/>
          </w:tcPr>
          <w:p>
            <w:pPr>
              <w:spacing w:after="0" w:before="0"/>
            </w:pPr>
            <w:r/>
            <w:r>
              <w:t>Kỹ sư Trắc địa Bản đồ. Chứng chỉ Khảo sát địa hình hạng III</w:t>
            </w:r>
          </w:p>
        </w:tc>
      </w:tr>
      <w:tr>
        <w:tc>
          <w:tcPr>
            <w:tcW w:type="dxa" w:w="2268"/>
          </w:tcPr>
          <w:p>
            <w:pPr>
              <w:spacing w:after="0" w:before="0"/>
            </w:pPr>
            <w:r/>
            <w:r>
              <w:t>7</w:t>
            </w:r>
          </w:p>
        </w:tc>
        <w:tc>
          <w:tcPr>
            <w:tcW w:type="dxa" w:w="2268"/>
          </w:tcPr>
          <w:p>
            <w:pPr>
              <w:spacing w:after="0" w:before="0"/>
            </w:pPr>
            <w:r/>
            <w:r>
              <w:t>Trịnh Hồ Quốc Anh</w:t>
            </w:r>
          </w:p>
        </w:tc>
        <w:tc>
          <w:tcPr>
            <w:tcW w:type="dxa" w:w="2268"/>
          </w:tcPr>
          <w:p>
            <w:pPr>
              <w:spacing w:after="0" w:before="0"/>
            </w:pPr>
            <w:r/>
            <w:r>
              <w:t>Cán bộ khảo sát, đo vẽ địa hình, quản lý chất lượng</w:t>
            </w:r>
          </w:p>
        </w:tc>
        <w:tc>
          <w:tcPr>
            <w:tcW w:type="dxa" w:w="2268"/>
          </w:tcPr>
          <w:p>
            <w:pPr>
              <w:spacing w:after="0" w:before="0"/>
            </w:pPr>
            <w:r/>
            <w:r>
              <w:t>Kỹ sư Quản lý đất đai. Chứng chỉ Khảo sát địa hình hạng I</w:t>
            </w:r>
          </w:p>
        </w:tc>
      </w:tr>
      <w:tr>
        <w:tc>
          <w:tcPr>
            <w:tcW w:type="dxa" w:w="2268"/>
          </w:tcPr>
          <w:p>
            <w:pPr>
              <w:spacing w:after="0" w:before="0"/>
            </w:pPr>
            <w:r/>
            <w:r>
              <w:t>8</w:t>
            </w:r>
          </w:p>
        </w:tc>
        <w:tc>
          <w:tcPr>
            <w:tcW w:type="dxa" w:w="2268"/>
          </w:tcPr>
          <w:p>
            <w:pPr>
              <w:spacing w:after="0" w:before="0"/>
            </w:pPr>
            <w:r/>
            <w:r>
              <w:t>Ngô Phước Khải</w:t>
            </w:r>
          </w:p>
        </w:tc>
        <w:tc>
          <w:tcPr>
            <w:tcW w:type="dxa" w:w="2268"/>
          </w:tcPr>
          <w:p>
            <w:pPr>
              <w:spacing w:after="0" w:before="0"/>
            </w:pPr>
            <w:r/>
            <w:r>
              <w:t>Cán bộ khảo sát, đo vẽ địa hình</w:t>
            </w:r>
          </w:p>
        </w:tc>
        <w:tc>
          <w:tcPr>
            <w:tcW w:type="dxa" w:w="2268"/>
          </w:tcPr>
          <w:p>
            <w:pPr>
              <w:spacing w:after="0" w:before="0"/>
            </w:pPr>
            <w:r/>
            <w:r>
              <w:t>Trung cấp Q uản lý đất đai</w:t>
            </w:r>
          </w:p>
        </w:tc>
      </w:tr>
      <w:tr>
        <w:tc>
          <w:tcPr>
            <w:tcW w:type="dxa" w:w="2268"/>
          </w:tcPr>
          <w:p>
            <w:pPr>
              <w:spacing w:after="0" w:before="0"/>
            </w:pPr>
            <w:r/>
            <w:r>
              <w:t>9</w:t>
            </w:r>
          </w:p>
        </w:tc>
        <w:tc>
          <w:tcPr>
            <w:tcW w:type="dxa" w:w="2268"/>
          </w:tcPr>
          <w:p>
            <w:pPr>
              <w:spacing w:after="0" w:before="0"/>
            </w:pPr>
            <w:r/>
            <w:r>
              <w:t>Đoàn Văn Hà</w:t>
            </w:r>
          </w:p>
        </w:tc>
        <w:tc>
          <w:tcPr>
            <w:tcW w:type="dxa" w:w="2268"/>
          </w:tcPr>
          <w:p>
            <w:pPr>
              <w:spacing w:after="0" w:before="0"/>
            </w:pPr>
            <w:r/>
            <w:r>
              <w:t>Cán bộ khảo sát, đo vẽ địa hình</w:t>
            </w:r>
          </w:p>
        </w:tc>
        <w:tc>
          <w:tcPr>
            <w:tcW w:type="dxa" w:w="2268"/>
          </w:tcPr>
          <w:p>
            <w:pPr>
              <w:spacing w:after="0" w:before="0"/>
            </w:pPr>
            <w:r/>
            <w:r>
              <w:t>Kỹ sư Trắc địa Bản đồ . Chứng chỉ Khảo sát địa hình hạng II</w:t>
            </w:r>
          </w:p>
        </w:tc>
      </w:tr>
      <w:tr>
        <w:tc>
          <w:tcPr>
            <w:tcW w:type="dxa" w:w="2268"/>
          </w:tcPr>
          <w:p>
            <w:pPr>
              <w:spacing w:after="0" w:before="0"/>
            </w:pPr>
            <w:r/>
            <w:r>
              <w:t>10</w:t>
            </w:r>
          </w:p>
        </w:tc>
        <w:tc>
          <w:tcPr>
            <w:tcW w:type="dxa" w:w="2268"/>
          </w:tcPr>
          <w:p>
            <w:pPr>
              <w:spacing w:after="0" w:before="0"/>
            </w:pPr>
            <w:r/>
            <w:r>
              <w:t>Phan Tiên Đoan</w:t>
            </w:r>
          </w:p>
        </w:tc>
        <w:tc>
          <w:tcPr>
            <w:tcW w:type="dxa" w:w="2268"/>
          </w:tcPr>
          <w:p>
            <w:pPr>
              <w:spacing w:after="0" w:before="0"/>
            </w:pPr>
            <w:r/>
            <w:r>
              <w:t>Cán bộ lập hồ sơ nghiệm thu, quyết toán</w:t>
            </w:r>
          </w:p>
        </w:tc>
        <w:tc>
          <w:tcPr>
            <w:tcW w:type="dxa" w:w="2268"/>
          </w:tcPr>
          <w:p>
            <w:pPr>
              <w:spacing w:after="0" w:before="0"/>
            </w:pPr>
            <w:r/>
            <w:r>
              <w:t>Kỹ sư Kỹ thuật xây dựng</w:t>
            </w:r>
          </w:p>
        </w:tc>
      </w:tr>
      <w:tr>
        <w:tc>
          <w:tcPr>
            <w:tcW w:type="dxa" w:w="2268"/>
          </w:tcPr>
          <w:p>
            <w:pPr>
              <w:spacing w:after="0" w:before="0"/>
            </w:pPr>
            <w:r/>
            <w:r>
              <w:t>11</w:t>
            </w:r>
          </w:p>
        </w:tc>
        <w:tc>
          <w:tcPr>
            <w:tcW w:type="dxa" w:w="2268"/>
          </w:tcPr>
          <w:p>
            <w:pPr>
              <w:spacing w:after="0" w:before="0"/>
            </w:pPr>
            <w:r/>
            <w:r>
              <w:t>Hoàng Trọng Trung</w:t>
            </w:r>
          </w:p>
        </w:tc>
        <w:tc>
          <w:tcPr>
            <w:tcW w:type="dxa" w:w="2268"/>
          </w:tcPr>
          <w:p>
            <w:pPr>
              <w:spacing w:after="0" w:before="0"/>
            </w:pPr>
            <w:r/>
            <w:r>
              <w:t>Cán bộ khảo sát, đo vẽ địa hình</w:t>
            </w:r>
          </w:p>
        </w:tc>
        <w:tc>
          <w:tcPr>
            <w:tcW w:type="dxa" w:w="2268"/>
          </w:tcPr>
          <w:p>
            <w:pPr>
              <w:spacing w:after="0" w:before="0"/>
            </w:pPr>
            <w:r/>
            <w:r>
              <w:t>Kỹ sư Quản lý đất đai . Chứng chỉ Khảo sát địa hình hạng III</w:t>
            </w:r>
          </w:p>
        </w:tc>
      </w:tr>
      <w:tr>
        <w:tc>
          <w:tcPr>
            <w:tcW w:type="dxa" w:w="2268"/>
          </w:tcPr>
          <w:p>
            <w:pPr>
              <w:spacing w:after="0" w:before="0"/>
            </w:pPr>
            <w:r/>
            <w:r>
              <w:t>12</w:t>
            </w:r>
          </w:p>
        </w:tc>
        <w:tc>
          <w:tcPr>
            <w:tcW w:type="dxa" w:w="2268"/>
          </w:tcPr>
          <w:p>
            <w:pPr>
              <w:spacing w:after="0" w:before="0"/>
            </w:pPr>
            <w:r/>
            <w:r>
              <w:t>Đào Khánh Ngọc</w:t>
            </w:r>
          </w:p>
        </w:tc>
        <w:tc>
          <w:tcPr>
            <w:tcW w:type="dxa" w:w="2268"/>
          </w:tcPr>
          <w:p>
            <w:pPr>
              <w:spacing w:after="0" w:before="0"/>
            </w:pPr>
            <w:r/>
            <w:r>
              <w:t>Cán bộ khảo sát</w:t>
            </w:r>
          </w:p>
        </w:tc>
        <w:tc>
          <w:tcPr>
            <w:tcW w:type="dxa" w:w="2268"/>
          </w:tcPr>
          <w:p>
            <w:pPr>
              <w:spacing w:after="0" w:before="0"/>
            </w:pPr>
            <w:r/>
            <w:r>
              <w:t>Kỹ sư Trắc địa bản đồ. Chứng chỉ Khảo sát địa hình hạng I</w:t>
            </w:r>
          </w:p>
        </w:tc>
      </w:tr>
      <w:tr>
        <w:tc>
          <w:tcPr>
            <w:tcW w:type="dxa" w:w="2268"/>
          </w:tcPr>
          <w:p>
            <w:pPr>
              <w:spacing w:after="0" w:before="0"/>
            </w:pPr>
            <w:r/>
            <w:r>
              <w:t>13</w:t>
            </w:r>
          </w:p>
        </w:tc>
        <w:tc>
          <w:tcPr>
            <w:tcW w:type="dxa" w:w="2268"/>
          </w:tcPr>
          <w:p>
            <w:pPr>
              <w:spacing w:after="0" w:before="0"/>
            </w:pPr>
            <w:r/>
            <w:r>
              <w:t>Nguyễn Đức Anh Dũng</w:t>
            </w:r>
          </w:p>
        </w:tc>
        <w:tc>
          <w:tcPr>
            <w:tcW w:type="dxa" w:w="2268"/>
          </w:tcPr>
          <w:p>
            <w:pPr>
              <w:spacing w:after="0" w:before="0"/>
            </w:pPr>
            <w:r/>
            <w:r>
              <w:t>Cán bộ khảo sát</w:t>
            </w:r>
          </w:p>
        </w:tc>
        <w:tc>
          <w:tcPr>
            <w:tcW w:type="dxa" w:w="2268"/>
          </w:tcPr>
          <w:p>
            <w:pPr>
              <w:spacing w:after="0" w:before="0"/>
            </w:pPr>
            <w:r/>
            <w:r>
              <w:t>Kỹ sư Trắc địa bản đồ.</w:t>
            </w:r>
          </w:p>
        </w:tc>
      </w:tr>
      <w:tr>
        <w:tc>
          <w:tcPr>
            <w:tcW w:type="dxa" w:w="2268"/>
          </w:tcPr>
          <w:p>
            <w:pPr>
              <w:spacing w:after="0" w:before="0"/>
            </w:pPr>
            <w:r/>
            <w:r>
              <w:t>14</w:t>
            </w:r>
          </w:p>
        </w:tc>
        <w:tc>
          <w:tcPr>
            <w:tcW w:type="dxa" w:w="2268"/>
          </w:tcPr>
          <w:p>
            <w:pPr>
              <w:spacing w:after="0" w:before="0"/>
            </w:pPr>
            <w:r/>
            <w:r>
              <w:t>Bùi Duy Thanh</w:t>
            </w:r>
          </w:p>
        </w:tc>
        <w:tc>
          <w:tcPr>
            <w:tcW w:type="dxa" w:w="2268"/>
          </w:tcPr>
          <w:p>
            <w:pPr>
              <w:spacing w:after="0" w:before="0"/>
            </w:pPr>
            <w:r/>
            <w:r>
              <w:t>Cán bộ khảo sát</w:t>
            </w:r>
          </w:p>
        </w:tc>
        <w:tc>
          <w:tcPr>
            <w:tcW w:type="dxa" w:w="2268"/>
          </w:tcPr>
          <w:p>
            <w:pPr>
              <w:spacing w:after="0" w:before="0"/>
            </w:pPr>
            <w:r/>
            <w:r>
              <w:t>Kỹ sư Trắc địa bản đồ.</w:t>
            </w:r>
          </w:p>
        </w:tc>
      </w:tr>
      <w:tr>
        <w:tc>
          <w:tcPr>
            <w:tcW w:type="dxa" w:w="2268"/>
          </w:tcPr>
          <w:p>
            <w:pPr>
              <w:spacing w:after="0" w:before="0"/>
            </w:pPr>
            <w:r/>
            <w:r>
              <w:t>15</w:t>
            </w:r>
          </w:p>
        </w:tc>
        <w:tc>
          <w:tcPr>
            <w:tcW w:type="dxa" w:w="2268"/>
          </w:tcPr>
          <w:p>
            <w:pPr>
              <w:spacing w:after="0" w:before="0"/>
            </w:pPr>
            <w:r/>
            <w:r>
              <w:t>Phạm Thị Thúy</w:t>
            </w:r>
          </w:p>
        </w:tc>
        <w:tc>
          <w:tcPr>
            <w:tcW w:type="dxa" w:w="2268"/>
          </w:tcPr>
          <w:p>
            <w:pPr>
              <w:spacing w:after="0" w:before="0"/>
            </w:pPr>
            <w:r/>
            <w:r>
              <w:t>Cán bộ phụ trách kỹ thuật</w:t>
            </w:r>
          </w:p>
        </w:tc>
        <w:tc>
          <w:tcPr>
            <w:tcW w:type="dxa" w:w="2268"/>
          </w:tcPr>
          <w:p>
            <w:pPr>
              <w:spacing w:after="0" w:before="0"/>
            </w:pPr>
            <w:r/>
            <w:r>
              <w:t>Kỹ sư Trắc địa Bản đồ. Chứng chỉ Khảo sát địa hình hạng III</w:t>
            </w:r>
          </w:p>
        </w:tc>
      </w:tr>
      <w:tr>
        <w:tc>
          <w:tcPr>
            <w:tcW w:type="dxa" w:w="2268"/>
          </w:tcPr>
          <w:p>
            <w:pPr>
              <w:spacing w:after="0" w:before="0"/>
            </w:pPr>
            <w:r/>
            <w:r>
              <w:t>16</w:t>
            </w:r>
          </w:p>
        </w:tc>
        <w:tc>
          <w:tcPr>
            <w:tcW w:type="dxa" w:w="2268"/>
          </w:tcPr>
          <w:p>
            <w:pPr>
              <w:spacing w:after="0" w:before="0"/>
            </w:pPr>
            <w:r/>
            <w:r>
              <w:t>Quách Mạnh Tuấn</w:t>
            </w:r>
          </w:p>
        </w:tc>
        <w:tc>
          <w:tcPr>
            <w:tcW w:type="dxa" w:w="2268"/>
          </w:tcPr>
          <w:p>
            <w:pPr>
              <w:spacing w:after="0" w:before="0"/>
            </w:pPr>
            <w:r/>
            <w:r>
              <w:t>Cán bộ khảo sát</w:t>
            </w:r>
          </w:p>
        </w:tc>
        <w:tc>
          <w:tcPr>
            <w:tcW w:type="dxa" w:w="2268"/>
          </w:tcPr>
          <w:p>
            <w:pPr>
              <w:spacing w:after="0" w:before="0"/>
            </w:pPr>
            <w:r/>
            <w:r>
              <w:t>Kỹ sư T in học trắc địa. Chứng chỉ Khảo sát địa hình hạng I</w:t>
            </w:r>
          </w:p>
        </w:tc>
      </w:tr>
    </w:tbl>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360" w:lineRule="auto"/>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