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CỘNG HÒA XÃ HỘI CHỦ NGHĨA VIỆT NAM</w:t>
      </w:r>
    </w:p>
    <w:p>
      <w:pPr>
        <w:pStyle w:val="Heading2"/>
        <w:jc w:val="center"/>
      </w:pPr>
      <w:r>
        <w:rPr>
          <w:rFonts w:ascii="Times New Roman" w:hAnsi="Times New Roman"/>
          <w:color w:val="000000"/>
        </w:rPr>
        <w:t>Độc lập – Tự do – Hạnh phúc</w:t>
      </w:r>
    </w:p>
    <w:p>
      <w:pPr>
        <w:pStyle w:val="Heading2"/>
        <w:jc w:val="center"/>
      </w:pPr>
      <w:r>
        <w:rPr>
          <w:rFonts w:ascii="Times New Roman" w:hAnsi="Times New Roman"/>
          <w:color w:val="000000"/>
        </w:rPr>
        <w:t>HỢP ĐỒNG VỀ [LOẠI HỢP ĐỒNG – VUI LÒNG KHẲNG ĐỊNH]</w:t>
      </w:r>
    </w:p>
    <w:p>
      <w:pPr>
        <w:ind w:firstLine="560"/>
      </w:pPr>
      <w:r>
        <w:t>Số: …/HD-…/…</w:t>
      </w:r>
    </w:p>
    <w:p>
      <w:pPr>
        <w:ind w:firstLine="560"/>
      </w:pPr>
      <w:r>
        <w:rPr>
          <w:b/>
        </w:rPr>
        <w:t>Căn cứ</w:t>
      </w:r>
      <w:r>
        <w:t xml:space="preserve"> Luật Thương mại năm 2005, Luật Hợp đồng dân sự năm 2015, và các quy định pháp luật có liên quan;</w:t>
      </w:r>
    </w:p>
    <w:p>
      <w:pPr>
        <w:ind w:firstLine="560"/>
      </w:pPr>
      <w:r>
        <w:rPr>
          <w:b/>
        </w:rPr>
        <w:t>Căn cứ</w:t>
      </w:r>
      <w:r>
        <w:t xml:space="preserve"> yêu cầu và nguyện vọng của các bên;</w:t>
      </w:r>
    </w:p>
    <w:p>
      <w:pPr>
        <w:ind w:firstLine="560"/>
      </w:pPr>
      <w:r>
        <w:rPr>
          <w:b/>
        </w:rPr>
        <w:t>Các bên</w:t>
      </w:r>
      <w:r>
        <w:t xml:space="preserve"> thỏa thuận lập hợp đồng như sau:</w:t>
      </w:r>
    </w:p>
    <w:p>
      <w:pPr>
        <w:spacing w:before="120" w:after="120"/>
      </w:pPr>
      <w:r>
        <w:rPr>
          <w:color w:val="808080"/>
          <w:sz w:val="16"/>
        </w:rPr>
        <w:t>────────────────────────────────────────────────────────────</w:t>
      </w:r>
    </w:p>
    <w:p>
      <w:pPr>
        <w:pStyle w:val="Heading3"/>
      </w:pPr>
      <w:r>
        <w:rPr>
          <w:rFonts w:ascii="Times New Roman" w:hAnsi="Times New Roman"/>
          <w:color w:val="000000"/>
        </w:rPr>
        <w:t>**ĐIỀU 1: TÊN VÀ THÔNG TIN CÁC BÊN**</w:t>
      </w:r>
    </w:p>
    <w:p>
      <w:pPr>
        <w:ind w:firstLine="560"/>
      </w:pPr>
      <w:r>
        <w:rPr>
          <w:b/>
        </w:rPr>
        <w:t>BÊN BÁN (BÊN 1):</w:t>
      </w:r>
    </w:p>
    <w:p>
      <w:pPr>
        <w:ind w:firstLine="560"/>
      </w:pPr>
      <w:r>
        <w:t>Tên đầy đủ: …</w:t>
      </w:r>
    </w:p>
    <w:p>
      <w:pPr>
        <w:ind w:firstLine="560"/>
      </w:pPr>
      <w:r>
        <w:t>Địa chỉ: …</w:t>
      </w:r>
    </w:p>
    <w:p>
      <w:pPr>
        <w:ind w:firstLine="560"/>
      </w:pPr>
      <w:r>
        <w:t>Đại diện theo pháp luật: …</w:t>
      </w:r>
    </w:p>
    <w:p>
      <w:pPr>
        <w:ind w:firstLine="560"/>
      </w:pPr>
      <w:r>
        <w:t>Chức vụ: …</w:t>
      </w:r>
    </w:p>
    <w:p>
      <w:pPr>
        <w:ind w:firstLine="560"/>
      </w:pPr>
      <w:r>
        <w:t>Số điện thoại: …</w:t>
      </w:r>
    </w:p>
    <w:p>
      <w:pPr>
        <w:ind w:firstLine="560"/>
      </w:pPr>
      <w:r>
        <w:t>Email: …</w:t>
      </w:r>
    </w:p>
    <w:p>
      <w:pPr>
        <w:ind w:firstLine="560"/>
      </w:pPr>
      <w:r>
        <w:t>Mã số thuế: …</w:t>
      </w:r>
    </w:p>
    <w:p>
      <w:pPr>
        <w:ind w:firstLine="560"/>
      </w:pPr>
      <w:r>
        <w:rPr>
          <w:b/>
        </w:rPr>
        <w:t>BÊN MUA (BÊN 2):</w:t>
      </w:r>
    </w:p>
    <w:p>
      <w:pPr>
        <w:ind w:firstLine="560"/>
      </w:pPr>
      <w:r>
        <w:t>Tên đầy đủ: …</w:t>
      </w:r>
    </w:p>
    <w:p>
      <w:pPr>
        <w:ind w:firstLine="560"/>
      </w:pPr>
      <w:r>
        <w:t>Địa chỉ: …</w:t>
      </w:r>
    </w:p>
    <w:p>
      <w:pPr>
        <w:ind w:firstLine="560"/>
      </w:pPr>
      <w:r>
        <w:t>Đại diện theo pháp luật: …</w:t>
      </w:r>
    </w:p>
    <w:p>
      <w:pPr>
        <w:ind w:firstLine="560"/>
      </w:pPr>
      <w:r>
        <w:t>Chức vụ: …</w:t>
      </w:r>
    </w:p>
    <w:p>
      <w:pPr>
        <w:ind w:firstLine="560"/>
      </w:pPr>
      <w:r>
        <w:t>Số điện thoại: …</w:t>
      </w:r>
    </w:p>
    <w:p>
      <w:pPr>
        <w:ind w:firstLine="560"/>
      </w:pPr>
      <w:r>
        <w:t>Email: …</w:t>
      </w:r>
    </w:p>
    <w:p>
      <w:pPr>
        <w:ind w:firstLine="560"/>
      </w:pPr>
      <w:r>
        <w:t>Mã số thuế: …</w:t>
      </w:r>
    </w:p>
    <w:p>
      <w:pPr>
        <w:spacing w:before="120" w:after="120"/>
      </w:pPr>
      <w:r>
        <w:rPr>
          <w:color w:val="808080"/>
          <w:sz w:val="16"/>
        </w:rPr>
        <w:t>────────────────────────────────────────────────────────────</w:t>
      </w:r>
    </w:p>
    <w:p>
      <w:pPr>
        <w:pStyle w:val="Heading3"/>
      </w:pPr>
      <w:r>
        <w:rPr>
          <w:rFonts w:ascii="Times New Roman" w:hAnsi="Times New Roman"/>
          <w:color w:val="000000"/>
        </w:rPr>
        <w:t>**ĐIỀU 2: MÔ TẢ HÀNG HÓA/DỊCH VỤ**</w:t>
      </w:r>
    </w:p>
    <w:p>
      <w:pPr>
        <w:pStyle w:val="ListNumber"/>
      </w:pPr>
      <w:r>
        <w:rPr>
          <w:b/>
        </w:rPr>
        <w:t>Tên hàng hóa/dịch vụ:</w:t>
      </w:r>
      <w:r>
        <w:t xml:space="preserve"> …</w:t>
      </w:r>
    </w:p>
    <w:p>
      <w:pPr>
        <w:pStyle w:val="ListNumber"/>
      </w:pPr>
      <w:r>
        <w:rPr>
          <w:b/>
        </w:rPr>
        <w:t>Số lượng:</w:t>
      </w:r>
      <w:r>
        <w:t xml:space="preserve"> …</w:t>
      </w:r>
    </w:p>
    <w:p>
      <w:pPr>
        <w:pStyle w:val="ListNumber"/>
      </w:pPr>
      <w:r>
        <w:rPr>
          <w:b/>
        </w:rPr>
        <w:t>Đơn giá:</w:t>
      </w:r>
      <w:r>
        <w:t xml:space="preserve"> …</w:t>
      </w:r>
    </w:p>
    <w:p>
      <w:pPr>
        <w:pStyle w:val="ListNumber"/>
      </w:pPr>
      <w:r>
        <w:rPr>
          <w:b/>
        </w:rPr>
        <w:t>Thành tiền (VNĐ):</w:t>
      </w:r>
      <w:r>
        <w:t xml:space="preserve"> …</w:t>
      </w:r>
    </w:p>
    <w:p>
      <w:pPr>
        <w:pStyle w:val="ListNumber"/>
      </w:pPr>
      <w:r>
        <w:rPr>
          <w:b/>
        </w:rPr>
        <w:t>Tổng giá trị hợp đồng (VNĐ):</w:t>
      </w:r>
      <w:r>
        <w:t xml:space="preserve"> </w:t>
      </w:r>
      <w:r>
        <w:rPr>
          <w:b/>
        </w:rPr>
        <w:t>…</w:t>
      </w:r>
    </w:p>
    <w:p>
      <w:pPr>
        <w:pStyle w:val="ListNumber"/>
      </w:pPr>
      <w:r>
        <w:rPr>
          <w:b/>
        </w:rPr>
        <w:t>Đơn vị tính:</w:t>
      </w:r>
      <w:r>
        <w:t xml:space="preserve"> …</w:t>
      </w:r>
    </w:p>
    <w:p>
      <w:pPr>
        <w:pStyle w:val="ListNumber"/>
      </w:pPr>
      <w:r>
        <w:rPr>
          <w:b/>
        </w:rPr>
        <w:t>Mô tả chi tiết:</w:t>
      </w:r>
      <w:r>
        <w:t xml:space="preserve"> …</w:t>
      </w:r>
    </w:p>
    <w:p>
      <w:pPr>
        <w:spacing w:before="120" w:after="120"/>
      </w:pPr>
      <w:r>
        <w:rPr>
          <w:color w:val="808080"/>
          <w:sz w:val="16"/>
        </w:rPr>
        <w:t>────────────────────────────────────────────────────────────</w:t>
      </w:r>
    </w:p>
    <w:p>
      <w:pPr>
        <w:pStyle w:val="Heading3"/>
      </w:pPr>
      <w:r>
        <w:rPr>
          <w:rFonts w:ascii="Times New Roman" w:hAnsi="Times New Roman"/>
          <w:color w:val="000000"/>
        </w:rPr>
        <w:t>**ĐIỀU 3: THỜI GIAN VÀ ĐỊA ĐIỂM GIAO HÀNG**</w:t>
      </w:r>
    </w:p>
    <w:p>
      <w:pPr>
        <w:pStyle w:val="ListNumber"/>
      </w:pPr>
      <w:r>
        <w:rPr>
          <w:b/>
        </w:rPr>
        <w:t>Thời gian giao hàng:</w:t>
      </w:r>
      <w:r>
        <w:t xml:space="preserve"> Từ ngày … đến ngày …</w:t>
      </w:r>
    </w:p>
    <w:p>
      <w:pPr>
        <w:pStyle w:val="ListNumber"/>
      </w:pPr>
      <w:r>
        <w:rPr>
          <w:b/>
        </w:rPr>
        <w:t>Địa điểm giao hàng:</w:t>
      </w:r>
      <w:r>
        <w:t xml:space="preserve"> …</w:t>
      </w:r>
    </w:p>
    <w:p>
      <w:pPr>
        <w:pStyle w:val="ListNumber"/>
      </w:pPr>
      <w:r>
        <w:rPr>
          <w:b/>
        </w:rPr>
        <w:t>Phương thức giao hàng:</w:t>
      </w:r>
      <w:r>
        <w:t xml:space="preserve"> …</w:t>
      </w:r>
    </w:p>
    <w:p>
      <w:pPr>
        <w:pStyle w:val="ListNumber"/>
      </w:pPr>
      <w:r>
        <w:rPr>
          <w:b/>
        </w:rPr>
        <w:t>Người nhận hàng:</w:t>
      </w:r>
      <w:r>
        <w:t xml:space="preserve"> …</w:t>
      </w:r>
    </w:p>
    <w:p>
      <w:pPr>
        <w:pStyle w:val="ListNumber"/>
      </w:pPr>
      <w:r>
        <w:rPr>
          <w:b/>
        </w:rPr>
        <w:t>Người giao hàng:</w:t>
      </w:r>
      <w:r>
        <w:t xml:space="preserve"> …</w:t>
      </w:r>
    </w:p>
    <w:p>
      <w:pPr>
        <w:spacing w:before="120" w:after="120"/>
      </w:pPr>
      <w:r>
        <w:rPr>
          <w:color w:val="808080"/>
          <w:sz w:val="16"/>
        </w:rPr>
        <w:t>────────────────────────────────────────────────────────────</w:t>
      </w:r>
    </w:p>
    <w:p>
      <w:pPr>
        <w:pStyle w:val="Heading3"/>
      </w:pPr>
      <w:r>
        <w:rPr>
          <w:rFonts w:ascii="Times New Roman" w:hAnsi="Times New Roman"/>
          <w:color w:val="000000"/>
        </w:rPr>
        <w:t>**ĐIỀU 4: THANH TOÁN**</w:t>
      </w:r>
    </w:p>
    <w:p>
      <w:pPr>
        <w:pStyle w:val="ListNumber"/>
      </w:pPr>
      <w:r>
        <w:rPr>
          <w:b/>
        </w:rPr>
        <w:t>Hình thức thanh toán:</w:t>
      </w:r>
    </w:p>
    <w:p>
      <w:pPr>
        <w:pStyle w:val="ListBullet"/>
      </w:pPr>
      <w:r>
        <w:t>Tiền mặt</w:t>
      </w:r>
    </w:p>
    <w:p>
      <w:pPr>
        <w:pStyle w:val="ListBullet"/>
      </w:pPr>
      <w:r>
        <w:t>Chuyển khoản</w:t>
      </w:r>
    </w:p>
    <w:p>
      <w:pPr>
        <w:pStyle w:val="ListBullet"/>
      </w:pPr>
      <w:r>
        <w:t>Thẻ tín dụng</w:t>
      </w:r>
    </w:p>
    <w:p>
      <w:pPr>
        <w:pStyle w:val="ListBullet"/>
      </w:pPr>
      <w:r>
        <w:t>Khác: …</w:t>
      </w:r>
    </w:p>
    <w:p>
      <w:pPr>
        <w:pStyle w:val="ListNumber"/>
      </w:pPr>
      <w:r>
        <w:rPr>
          <w:b/>
        </w:rPr>
        <w:t>Thời hạn thanh toán:</w:t>
      </w:r>
    </w:p>
    <w:p>
      <w:pPr>
        <w:pStyle w:val="ListBullet"/>
      </w:pPr>
      <w:r>
        <w:t>100% trước khi giao hàng</w:t>
      </w:r>
    </w:p>
    <w:p>
      <w:pPr>
        <w:pStyle w:val="ListBullet"/>
      </w:pPr>
      <w:r>
        <w:t>50% khi ký hợp đồng, 50% khi giao hàng</w:t>
      </w:r>
    </w:p>
    <w:p>
      <w:pPr>
        <w:pStyle w:val="ListBullet"/>
      </w:pPr>
      <w:r>
        <w:t>Khác: …</w:t>
      </w:r>
    </w:p>
    <w:p>
      <w:pPr>
        <w:pStyle w:val="ListNumber"/>
      </w:pPr>
      <w:r>
        <w:rPr>
          <w:b/>
        </w:rPr>
        <w:t>Thông tin tài khoản nhận thanh toán (nếu có):</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before="0"/>
            </w:pPr>
            <w:r>
              <w:rPr>
                <w:b/>
              </w:rPr>
            </w:r>
            <w:r>
              <w:rPr>
                <w:b/>
              </w:rPr>
              <w:t>Tên ngân hàng</w:t>
            </w:r>
          </w:p>
        </w:tc>
        <w:tc>
          <w:tcPr>
            <w:tcW w:type="dxa" w:w="3024"/>
          </w:tcPr>
          <w:p>
            <w:pPr>
              <w:spacing w:after="0" w:before="0"/>
            </w:pPr>
            <w:r>
              <w:rPr>
                <w:b/>
              </w:rPr>
            </w:r>
            <w:r>
              <w:rPr>
                <w:b/>
              </w:rPr>
              <w:t>Số tài khoản</w:t>
            </w:r>
          </w:p>
        </w:tc>
        <w:tc>
          <w:tcPr>
            <w:tcW w:type="dxa" w:w="3024"/>
          </w:tcPr>
          <w:p>
            <w:pPr>
              <w:spacing w:after="0" w:before="0"/>
            </w:pPr>
            <w:r>
              <w:rPr>
                <w:b/>
              </w:rPr>
            </w:r>
            <w:r>
              <w:rPr>
                <w:b/>
              </w:rPr>
              <w:t>Chủ tài khoản</w:t>
            </w:r>
          </w:p>
        </w:tc>
      </w:tr>
      <w:tr>
        <w:tc>
          <w:tcPr>
            <w:tcW w:type="dxa" w:w="3024"/>
          </w:tcPr>
          <w:p>
            <w:pPr>
              <w:spacing w:after="0" w:before="0"/>
            </w:pPr>
            <w:r/>
            <w:r>
              <w:t>…</w:t>
            </w:r>
          </w:p>
        </w:tc>
        <w:tc>
          <w:tcPr>
            <w:tcW w:type="dxa" w:w="3024"/>
          </w:tcPr>
          <w:p>
            <w:pPr>
              <w:spacing w:after="0" w:before="0"/>
            </w:pPr>
            <w:r/>
            <w:r>
              <w:t>…</w:t>
            </w:r>
          </w:p>
        </w:tc>
        <w:tc>
          <w:tcPr>
            <w:tcW w:type="dxa" w:w="3024"/>
          </w:tcPr>
          <w:p>
            <w:pPr>
              <w:spacing w:after="0" w:before="0"/>
            </w:pPr>
            <w:r/>
            <w:r>
              <w:t>…</w:t>
            </w:r>
          </w:p>
        </w:tc>
      </w:tr>
    </w:tbl>
    <w:p>
      <w:pPr>
        <w:spacing w:before="120" w:after="120"/>
      </w:pPr>
      <w:r>
        <w:rPr>
          <w:color w:val="808080"/>
          <w:sz w:val="16"/>
        </w:rPr>
        <w:t>────────────────────────────────────────────────────────────</w:t>
      </w:r>
    </w:p>
    <w:p>
      <w:pPr>
        <w:pStyle w:val="Heading3"/>
      </w:pPr>
      <w:r>
        <w:rPr>
          <w:rFonts w:ascii="Times New Roman" w:hAnsi="Times New Roman"/>
          <w:color w:val="000000"/>
        </w:rPr>
        <w:t>**ĐIỀU 5: QUYỀN VÀ NGHĨA VỤ CỦA CÁC BÊN**</w:t>
      </w:r>
    </w:p>
    <w:p>
      <w:pPr>
        <w:ind w:firstLine="560"/>
      </w:pPr>
      <w:r>
        <w:t xml:space="preserve">#### </w:t>
      </w:r>
      <w:r>
        <w:rPr>
          <w:b/>
        </w:rPr>
        <w:t>BÊN BÁN:</w:t>
      </w:r>
    </w:p>
    <w:p>
      <w:pPr>
        <w:pStyle w:val="ListBullet"/>
      </w:pPr>
      <w:r>
        <w:t>Cung cấp hàng hóa/dịch vụ đúng chất lượng, số lượng, thời hạn theo hợp đồng.</w:t>
      </w:r>
    </w:p>
    <w:p>
      <w:pPr>
        <w:pStyle w:val="ListBullet"/>
      </w:pPr>
      <w:r>
        <w:t>Giao hàng đúng địa điểm, đúng thời gian.</w:t>
      </w:r>
    </w:p>
    <w:p>
      <w:pPr>
        <w:pStyle w:val="ListBullet"/>
      </w:pPr>
      <w:r>
        <w:t>Cung cấp hóa đơn, chứng từ theo quy định.</w:t>
      </w:r>
    </w:p>
    <w:p>
      <w:pPr>
        <w:ind w:firstLine="560"/>
      </w:pPr>
      <w:r>
        <w:t xml:space="preserve">#### </w:t>
      </w:r>
      <w:r>
        <w:rPr>
          <w:b/>
        </w:rPr>
        <w:t>BÊN MUA:</w:t>
      </w:r>
    </w:p>
    <w:p>
      <w:pPr>
        <w:pStyle w:val="ListBullet"/>
      </w:pPr>
      <w:r>
        <w:t>Thanh toán đúng hạn, đầy đủ theo thỏa thuận.</w:t>
      </w:r>
    </w:p>
    <w:p>
      <w:pPr>
        <w:pStyle w:val="ListBullet"/>
      </w:pPr>
      <w:r>
        <w:t>Nhận hàng đúng thời gian, kiểm tra hàng hóa/dịch vụ.</w:t>
      </w:r>
    </w:p>
    <w:p>
      <w:pPr>
        <w:pStyle w:val="ListBullet"/>
      </w:pPr>
      <w:r>
        <w:t>Không được chuyển nhượng hợp đồng mà không có sự đồng ý bằng văn bản của Bên Bán.</w:t>
      </w:r>
    </w:p>
    <w:p>
      <w:pPr>
        <w:spacing w:before="120" w:after="120"/>
      </w:pPr>
      <w:r>
        <w:rPr>
          <w:color w:val="808080"/>
          <w:sz w:val="16"/>
        </w:rPr>
        <w:t>────────────────────────────────────────────────────────────</w:t>
      </w:r>
    </w:p>
    <w:p>
      <w:pPr>
        <w:pStyle w:val="Heading3"/>
      </w:pPr>
      <w:r>
        <w:rPr>
          <w:rFonts w:ascii="Times New Roman" w:hAnsi="Times New Roman"/>
          <w:color w:val="000000"/>
        </w:rPr>
        <w:t>**ĐIỀU 6: PHẠT VI PHẠM**</w:t>
      </w:r>
    </w:p>
    <w:p>
      <w:pPr>
        <w:pStyle w:val="ListNumber"/>
      </w:pPr>
      <w:r>
        <w:rPr>
          <w:b/>
        </w:rPr>
        <w:t>Phạt vi phạm hợp đồng:</w:t>
      </w:r>
    </w:p>
    <w:p>
      <w:pPr>
        <w:pStyle w:val="ListBullet"/>
      </w:pPr>
      <w:r>
        <w:t xml:space="preserve">Phạt </w:t>
      </w:r>
      <w:r>
        <w:rPr>
          <w:b/>
        </w:rPr>
        <w:t>…%</w:t>
      </w:r>
      <w:r>
        <w:t xml:space="preserve"> giá trị hợp đồng nếu Bên Bán giao hàng trễ hơn </w:t>
      </w:r>
      <w:r>
        <w:rPr>
          <w:b/>
        </w:rPr>
        <w:t>…</w:t>
      </w:r>
      <w:r>
        <w:t xml:space="preserve"> ngày.</w:t>
      </w:r>
    </w:p>
    <w:p>
      <w:pPr>
        <w:pStyle w:val="ListBullet"/>
      </w:pPr>
      <w:r>
        <w:t xml:space="preserve">Phạt </w:t>
      </w:r>
      <w:r>
        <w:rPr>
          <w:b/>
        </w:rPr>
        <w:t>…%</w:t>
      </w:r>
      <w:r>
        <w:t xml:space="preserve"> giá trị hợp đồng nếu Bên Mua không thanh toán đúng hạn.</w:t>
      </w:r>
    </w:p>
    <w:p>
      <w:pPr>
        <w:pStyle w:val="ListBullet"/>
      </w:pPr>
      <w:r>
        <w:t xml:space="preserve">Phạt </w:t>
      </w:r>
      <w:r>
        <w:rPr>
          <w:b/>
        </w:rPr>
        <w:t>…</w:t>
      </w:r>
      <w:r>
        <w:t xml:space="preserve"> VNĐ mỗi ngày chậm trễ nếu vi phạm nhẹ.</w:t>
      </w:r>
    </w:p>
    <w:p>
      <w:pPr>
        <w:pStyle w:val="ListNumber"/>
      </w:pPr>
      <w:r>
        <w:rPr>
          <w:b/>
        </w:rPr>
        <w:t>Trường hợp bồi thường thiệt hại:</w:t>
      </w:r>
    </w:p>
    <w:p>
      <w:pPr>
        <w:pStyle w:val="ListBullet"/>
      </w:pPr>
      <w:r>
        <w:t>Bên vi phạm phải bồi thường toàn bộ thiệt hại phát sinh do hành vi vi phạm.</w:t>
      </w:r>
    </w:p>
    <w:p>
      <w:pPr>
        <w:spacing w:before="120" w:after="120"/>
      </w:pPr>
      <w:r>
        <w:rPr>
          <w:color w:val="808080"/>
          <w:sz w:val="16"/>
        </w:rPr>
        <w:t>────────────────────────────────────────────────────────────</w:t>
      </w:r>
    </w:p>
    <w:p>
      <w:pPr>
        <w:pStyle w:val="Heading3"/>
      </w:pPr>
      <w:r>
        <w:rPr>
          <w:rFonts w:ascii="Times New Roman" w:hAnsi="Times New Roman"/>
          <w:color w:val="000000"/>
        </w:rPr>
        <w:t>**ĐIỀU 7: GIẢI QUYẾT TRANH CHẤP**</w:t>
      </w:r>
    </w:p>
    <w:p>
      <w:pPr>
        <w:pStyle w:val="ListNumber"/>
      </w:pPr>
      <w:r>
        <w:rPr>
          <w:b/>
        </w:rPr>
        <w:t>Tranh chấp được giải quyết tại Tòa án nhân dân cấp … nơi có địa điểm giao hàng.</w:t>
      </w:r>
    </w:p>
    <w:p>
      <w:pPr>
        <w:pStyle w:val="ListNumber"/>
      </w:pPr>
      <w:r>
        <w:rPr>
          <w:b/>
        </w:rPr>
        <w:t>Trong trường hợp không giải quyết được tại Tòa án, các bên có thể lựa chọn trọng tài theo quy định tại Trung tâm Trọng tài Quốc tế Việt Nam (VIAC).</w:t>
      </w:r>
    </w:p>
    <w:p>
      <w:pPr>
        <w:spacing w:before="120" w:after="120"/>
      </w:pPr>
      <w:r>
        <w:rPr>
          <w:color w:val="808080"/>
          <w:sz w:val="16"/>
        </w:rPr>
        <w:t>────────────────────────────────────────────────────────────</w:t>
      </w:r>
    </w:p>
    <w:p>
      <w:pPr>
        <w:pStyle w:val="Heading3"/>
      </w:pPr>
      <w:r>
        <w:rPr>
          <w:rFonts w:ascii="Times New Roman" w:hAnsi="Times New Roman"/>
          <w:color w:val="000000"/>
        </w:rPr>
        <w:t>**ĐIỀU 8: SỰ THAY ĐỔI, GIẢI THẢO HỢP ĐỒNG**</w:t>
      </w:r>
    </w:p>
    <w:p>
      <w:pPr>
        <w:pStyle w:val="ListNumber"/>
      </w:pPr>
      <w:r>
        <w:rPr>
          <w:b/>
        </w:rPr>
        <w:t>Sự thay đổi hợp đồng phải được lập văn bản phụ lục ký hai bên.</w:t>
      </w:r>
    </w:p>
    <w:p>
      <w:pPr>
        <w:pStyle w:val="ListNumber"/>
      </w:pPr>
      <w:r>
        <w:rPr>
          <w:b/>
        </w:rPr>
        <w:t>Giải thoát hợp đồng chỉ được thực hiện khi có sự đồng ý bằng văn bản của cả hai bên.</w:t>
      </w:r>
    </w:p>
    <w:p>
      <w:pPr>
        <w:spacing w:before="120" w:after="120"/>
      </w:pPr>
      <w:r>
        <w:rPr>
          <w:color w:val="808080"/>
          <w:sz w:val="16"/>
        </w:rPr>
        <w:t>────────────────────────────────────────────────────────────</w:t>
      </w:r>
    </w:p>
    <w:p>
      <w:pPr>
        <w:pStyle w:val="Heading3"/>
      </w:pPr>
      <w:r>
        <w:rPr>
          <w:rFonts w:ascii="Times New Roman" w:hAnsi="Times New Roman"/>
          <w:color w:val="000000"/>
        </w:rPr>
        <w:t>**ĐIỀU 9: CÁC QUY ĐỊNH KHÁC**</w:t>
      </w:r>
    </w:p>
    <w:p>
      <w:pPr>
        <w:pStyle w:val="ListNumber"/>
      </w:pPr>
      <w:r>
        <w:rPr>
          <w:b/>
        </w:rPr>
        <w:t>Hợp đồng có hiệu lực từ ngày …</w:t>
      </w:r>
    </w:p>
    <w:p>
      <w:pPr>
        <w:pStyle w:val="ListNumber"/>
      </w:pPr>
      <w:r>
        <w:rPr>
          <w:b/>
        </w:rPr>
        <w:t>Hợp đồng gồm … trang, có bản sao, mỗi bên giữ … bản.</w:t>
      </w:r>
    </w:p>
    <w:p>
      <w:pPr>
        <w:pStyle w:val="ListNumber"/>
      </w:pPr>
      <w:r>
        <w:rPr>
          <w:b/>
        </w:rPr>
        <w:t>Các điều khoản không được sửa đổi nếu không có văn bản đồng ý bằng văn bản.</w:t>
      </w:r>
    </w:p>
    <w:p>
      <w:pPr>
        <w:spacing w:before="120" w:after="120"/>
      </w:pPr>
      <w:r>
        <w:rPr>
          <w:color w:val="808080"/>
          <w:sz w:val="16"/>
        </w:rPr>
        <w:t>────────────────────────────────────────────────────────────</w:t>
      </w:r>
    </w:p>
    <w:p>
      <w:pPr>
        <w:pStyle w:val="Heading3"/>
      </w:pPr>
      <w:r>
        <w:rPr>
          <w:rFonts w:ascii="Times New Roman" w:hAnsi="Times New Roman"/>
          <w:color w:val="000000"/>
        </w:rPr>
        <w:t>**ĐIỀU 10: CĂN CỨ PHÁP LÝ**</w:t>
      </w:r>
    </w:p>
    <w:p>
      <w:pPr>
        <w:pStyle w:val="ListBullet"/>
      </w:pPr>
      <w:r>
        <w:t>Luật Thương mại năm 2005</w:t>
      </w:r>
    </w:p>
    <w:p>
      <w:pPr>
        <w:pStyle w:val="ListBullet"/>
      </w:pPr>
      <w:r>
        <w:t>Luật Hợp đồng dân sự năm 2015</w:t>
      </w:r>
    </w:p>
    <w:p>
      <w:pPr>
        <w:pStyle w:val="ListBullet"/>
      </w:pPr>
      <w:r>
        <w:t>Nghị định số …/NĐ-…/20… của Chính phủ</w:t>
      </w:r>
    </w:p>
    <w:p>
      <w:pPr>
        <w:pStyle w:val="ListBullet"/>
      </w:pPr>
      <w:r>
        <w:t>Các văn bản pháp luật liên quan khác.</w:t>
      </w:r>
    </w:p>
    <w:p>
      <w:pPr>
        <w:spacing w:before="120" w:after="120"/>
      </w:pPr>
      <w:r>
        <w:rPr>
          <w:color w:val="808080"/>
          <w:sz w:val="16"/>
        </w:rPr>
        <w:t>────────────────────────────────────────────────────────────</w:t>
      </w:r>
    </w:p>
    <w:p>
      <w:pPr>
        <w:pStyle w:val="Heading3"/>
      </w:pPr>
      <w:r>
        <w:rPr>
          <w:rFonts w:ascii="Times New Roman" w:hAnsi="Times New Roman"/>
          <w:color w:val="000000"/>
        </w:rPr>
        <w:t>**ĐIỀU 11: KÝ KẾT**</w:t>
      </w:r>
    </w:p>
    <w:p>
      <w:pPr>
        <w:ind w:firstLine="560"/>
      </w:pPr>
      <w:r>
        <w:rPr>
          <w:b/>
        </w:rPr>
        <w:t>BÊN BÁN</w:t>
      </w:r>
    </w:p>
    <w:p>
      <w:pPr>
        <w:ind w:firstLine="560"/>
      </w:pPr>
      <w:r>
        <w:t>(Ký, ghi rõ họ tên)</w:t>
      </w:r>
    </w:p>
    <w:p>
      <w:pPr>
        <w:ind w:firstLine="560"/>
      </w:pPr>
      <w:r>
        <w:rPr>
          <w:b/>
        </w:rPr>
        <w:t>………</w:t>
      </w:r>
    </w:p>
    <w:p>
      <w:pPr>
        <w:ind w:firstLine="560"/>
      </w:pPr>
      <w:r>
        <w:t>Chức vụ: …</w:t>
      </w:r>
    </w:p>
    <w:p>
      <w:pPr>
        <w:ind w:firstLine="560"/>
      </w:pPr>
      <w:r>
        <w:t>Ngày … tháng … năm …</w:t>
      </w:r>
    </w:p>
    <w:p>
      <w:pPr>
        <w:ind w:firstLine="560"/>
      </w:pPr>
      <w:r>
        <w:rPr>
          <w:b/>
        </w:rPr>
        <w:t>BÊN MUA</w:t>
      </w:r>
    </w:p>
    <w:p>
      <w:pPr>
        <w:ind w:firstLine="560"/>
      </w:pPr>
      <w:r>
        <w:t>(Ký, ghi rõ họ tên)</w:t>
      </w:r>
    </w:p>
    <w:p>
      <w:pPr>
        <w:ind w:firstLine="560"/>
      </w:pPr>
      <w:r>
        <w:rPr>
          <w:b/>
        </w:rPr>
        <w:t>………</w:t>
      </w:r>
    </w:p>
    <w:p>
      <w:pPr>
        <w:ind w:firstLine="560"/>
      </w:pPr>
      <w:r>
        <w:t>Chức vụ: …</w:t>
      </w:r>
    </w:p>
    <w:p>
      <w:pPr>
        <w:ind w:firstLine="560"/>
      </w:pPr>
      <w:r>
        <w:t>Ngày … tháng … năm …</w:t>
      </w:r>
    </w:p>
    <w:p>
      <w:pPr>
        <w:spacing w:before="120" w:after="120"/>
      </w:pPr>
      <w:r>
        <w:rPr>
          <w:color w:val="808080"/>
          <w:sz w:val="16"/>
        </w:rPr>
        <w:t>────────────────────────────────────────────────────────────</w:t>
      </w:r>
    </w:p>
    <w:p>
      <w:pPr>
        <w:ind w:firstLine="560"/>
      </w:pPr>
      <w:r>
        <w:rPr>
          <w:b/>
        </w:rPr>
        <w:t>Ghi chú:</w:t>
      </w:r>
    </w:p>
    <w:p>
      <w:pPr>
        <w:pStyle w:val="ListBullet"/>
      </w:pPr>
      <w:r>
        <w:t>Các bên cam kết thực hiện đúng nghĩa vụ theo hợp đồng.</w:t>
      </w:r>
    </w:p>
    <w:p>
      <w:pPr>
        <w:pStyle w:val="ListBullet"/>
      </w:pPr>
      <w:r>
        <w:t>Hợp đồng này có giá trị pháp lý từ ngày ký.</w:t>
      </w:r>
    </w:p>
    <w:p>
      <w:pPr>
        <w:pStyle w:val="ListBullet"/>
      </w:pPr>
      <w:r>
        <w:t>Mọi thay đổi phải bằng văn bản.</w:t>
      </w:r>
    </w:p>
    <w:p>
      <w:pPr>
        <w:pStyle w:val="ListBullet"/>
      </w:pPr>
      <w:r>
        <w:t>Bản hợp đồng này được lập trên hai (02) bản, mỗi bên giữ một bản có giá trị pháp lý như nhau.</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