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HỢP ĐỒNG HỢP TÁC</w:t>
      </w:r>
    </w:p>
    <w:p>
      <w:pPr>
        <w:ind w:firstLine="560"/>
      </w:pPr>
      <w:r>
        <w:rPr>
          <w:b/>
        </w:rPr>
        <w:t>Quốc hiệu:</w:t>
      </w:r>
    </w:p>
    <w:p>
      <w:pPr>
        <w:ind w:firstLine="560"/>
      </w:pPr>
      <w:r>
        <w:t>CỘNG HÒA XÃ HỘI CHỦ NGHĨA VIỆT NAM</w:t>
      </w:r>
    </w:p>
    <w:p>
      <w:pPr>
        <w:ind w:firstLine="560"/>
      </w:pPr>
      <w:r>
        <w:t>Độc lập – Tự do – Hạnh phúc</w:t>
      </w:r>
    </w:p>
    <w:p>
      <w:pPr>
        <w:spacing w:before="120" w:after="120"/>
      </w:pPr>
      <w:r>
        <w:rPr>
          <w:color w:val="808080"/>
          <w:sz w:val="16"/>
        </w:rPr>
        <w:t>────────────────────────────────────────────────────────────</w:t>
      </w:r>
    </w:p>
    <w:p>
      <w:pPr>
        <w:ind w:firstLine="560"/>
      </w:pPr>
      <w:r>
        <w:rPr>
          <w:b/>
        </w:rPr>
        <w:t>Số: ___/HD-HĐ</w:t>
      </w:r>
    </w:p>
    <w:p>
      <w:pPr>
        <w:ind w:firstLine="560"/>
      </w:pPr>
      <w:r>
        <w:rPr>
          <w:b/>
        </w:rPr>
        <w:t>Hà Nội, ngày ___ tháng ___ năm ___</w:t>
      </w:r>
    </w:p>
    <w:p>
      <w:pPr>
        <w:spacing w:before="120" w:after="120"/>
      </w:pPr>
      <w:r>
        <w:rPr>
          <w:color w:val="808080"/>
          <w:sz w:val="16"/>
        </w:rPr>
        <w:t>────────────────────────────────────────────────────────────</w:t>
      </w:r>
    </w:p>
    <w:p>
      <w:pPr>
        <w:pStyle w:val="Heading2"/>
        <w:jc w:val="center"/>
      </w:pPr>
      <w:r>
        <w:rPr>
          <w:rFonts w:ascii="Times New Roman" w:hAnsi="Times New Roman"/>
          <w:color w:val="000000"/>
        </w:rPr>
        <w:t>TIÊU ĐỀ</w:t>
      </w:r>
    </w:p>
    <w:p>
      <w:pPr>
        <w:ind w:firstLine="560"/>
      </w:pPr>
      <w:r>
        <w:rPr>
          <w:b/>
        </w:rPr>
        <w:t>HỢP ĐỒNG HỢP TÁC GIỮA [BÊN A] VÀ [BÊN B]</w:t>
      </w:r>
    </w:p>
    <w:p>
      <w:pPr>
        <w:spacing w:before="120" w:after="120"/>
      </w:pPr>
      <w:r>
        <w:rPr>
          <w:color w:val="808080"/>
          <w:sz w:val="16"/>
        </w:rPr>
        <w:t>────────────────────────────────────────────────────────────</w:t>
      </w:r>
    </w:p>
    <w:p>
      <w:pPr>
        <w:pStyle w:val="Heading2"/>
        <w:jc w:val="center"/>
      </w:pPr>
      <w:r>
        <w:rPr>
          <w:rFonts w:ascii="Times New Roman" w:hAnsi="Times New Roman"/>
          <w:color w:val="000000"/>
        </w:rPr>
        <w:t>ĐIỀU 1: CÁC BÊN THAM GIA HỢP ĐỒNG</w:t>
      </w:r>
    </w:p>
    <w:p>
      <w:pPr>
        <w:pStyle w:val="Heading3"/>
      </w:pPr>
      <w:r>
        <w:rPr>
          <w:rFonts w:ascii="Times New Roman" w:hAnsi="Times New Roman"/>
          <w:color w:val="000000"/>
        </w:rPr>
        <w:t>1.1 Bên A</w:t>
      </w:r>
    </w:p>
    <w:p>
      <w:pPr>
        <w:ind w:firstLine="560"/>
      </w:pPr>
      <w:r>
        <w:t>Tên đầy đủ: [Tên công ty/đơn vị/ cá nhân]</w:t>
      </w:r>
    </w:p>
    <w:p>
      <w:pPr>
        <w:ind w:firstLine="560"/>
      </w:pPr>
      <w:r>
        <w:t>Địa chỉ: [Địa chỉ chi tiết]</w:t>
      </w:r>
    </w:p>
    <w:p>
      <w:pPr>
        <w:ind w:firstLine="560"/>
      </w:pPr>
      <w:r>
        <w:t>Đại diện: [Họ tên] – Chức vụ: [Chức vụ]</w:t>
      </w:r>
    </w:p>
    <w:p>
      <w:pPr>
        <w:ind w:firstLine="560"/>
      </w:pPr>
      <w:r>
        <w:t>Điện thoại: [Số điện thoại] – Email: [Email]</w:t>
      </w:r>
    </w:p>
    <w:p>
      <w:pPr>
        <w:pStyle w:val="Heading3"/>
      </w:pPr>
      <w:r>
        <w:rPr>
          <w:rFonts w:ascii="Times New Roman" w:hAnsi="Times New Roman"/>
          <w:color w:val="000000"/>
        </w:rPr>
        <w:t>1.2 Bên B</w:t>
      </w:r>
    </w:p>
    <w:p>
      <w:pPr>
        <w:ind w:firstLine="560"/>
      </w:pPr>
      <w:r>
        <w:t>Tên đầy đủ: [Tên công ty/đơn vị/ cá nhân]</w:t>
      </w:r>
    </w:p>
    <w:p>
      <w:pPr>
        <w:ind w:firstLine="560"/>
      </w:pPr>
      <w:r>
        <w:t>Địa chỉ: [Địa chỉ chi tiết]</w:t>
      </w:r>
    </w:p>
    <w:p>
      <w:pPr>
        <w:ind w:firstLine="560"/>
      </w:pPr>
      <w:r>
        <w:t>Đại diện: [Họ tên] – Chức vụ: [Chức vụ]</w:t>
      </w:r>
    </w:p>
    <w:p>
      <w:pPr>
        <w:ind w:firstLine="560"/>
      </w:pPr>
      <w:r>
        <w:t>Điện thoại: [Số điện thoại] – Email: [Email]</w:t>
      </w:r>
    </w:p>
    <w:p>
      <w:pPr>
        <w:spacing w:before="120" w:after="120"/>
      </w:pPr>
      <w:r>
        <w:rPr>
          <w:color w:val="808080"/>
          <w:sz w:val="16"/>
        </w:rPr>
        <w:t>────────────────────────────────────────────────────────────</w:t>
      </w:r>
    </w:p>
    <w:p>
      <w:pPr>
        <w:pStyle w:val="Heading2"/>
        <w:jc w:val="center"/>
      </w:pPr>
      <w:r>
        <w:rPr>
          <w:rFonts w:ascii="Times New Roman" w:hAnsi="Times New Roman"/>
          <w:color w:val="000000"/>
        </w:rPr>
        <w:t>ĐIỀU 2: MỤC ĐÍCH HỢP ĐỒNG</w:t>
      </w:r>
    </w:p>
    <w:p>
      <w:pPr>
        <w:ind w:firstLine="560"/>
      </w:pPr>
      <w:r>
        <w:t xml:space="preserve">Các Bên thỏa thuận hợp tác trong lĩnh vực: </w:t>
      </w:r>
      <w:r>
        <w:rPr>
          <w:b/>
        </w:rPr>
        <w:t>[Mô tả lĩnh vực hợp tác – ví dụ: kinh doanh, nghiên cứu, đào tạo, chuyển giao công nghệ, marketing...]</w:t>
      </w:r>
    </w:p>
    <w:p>
      <w:pPr>
        <w:spacing w:before="120" w:after="120"/>
      </w:pPr>
      <w:r>
        <w:rPr>
          <w:color w:val="808080"/>
          <w:sz w:val="16"/>
        </w:rPr>
        <w:t>────────────────────────────────────────────────────────────</w:t>
      </w:r>
    </w:p>
    <w:p>
      <w:pPr>
        <w:pStyle w:val="Heading2"/>
        <w:jc w:val="center"/>
      </w:pPr>
      <w:r>
        <w:rPr>
          <w:rFonts w:ascii="Times New Roman" w:hAnsi="Times New Roman"/>
          <w:color w:val="000000"/>
        </w:rPr>
        <w:t>ĐIỀU 3: NỘI DUNG HỢP TÁC</w:t>
      </w:r>
    </w:p>
    <w:p>
      <w:pPr>
        <w:ind w:firstLine="560"/>
      </w:pPr>
      <w:r>
        <w:t>3.1 Phạm vi hợp tác</w:t>
      </w:r>
    </w:p>
    <w:p>
      <w:pPr>
        <w:ind w:firstLine="560"/>
      </w:pPr>
      <w:r>
        <w:t>Các Bên sẽ thực hiện các hoạt động hợp tác bao gồm:</w:t>
      </w:r>
    </w:p>
    <w:p>
      <w:pPr>
        <w:pStyle w:val="ListBullet"/>
      </w:pPr>
      <w:r>
        <w:t>[Mô tả chi tiết công việc hoặc dịch vụ hợp tác]</w:t>
      </w:r>
    </w:p>
    <w:p>
      <w:pPr>
        <w:pStyle w:val="ListBullet"/>
      </w:pPr>
      <w:r>
        <w:t>[Các nghĩa vụ cụ thể của mỗi Bên]</w:t>
      </w:r>
    </w:p>
    <w:p>
      <w:pPr>
        <w:pStyle w:val="ListBullet"/>
      </w:pPr>
      <w:r>
        <w:t>[Thời gian, địa điểm, phương thức thực hiện]</w:t>
      </w:r>
    </w:p>
    <w:p>
      <w:pPr>
        <w:pStyle w:val="Heading3"/>
      </w:pPr>
      <w:r>
        <w:rPr>
          <w:rFonts w:ascii="Times New Roman" w:hAnsi="Times New Roman"/>
          <w:color w:val="000000"/>
        </w:rPr>
        <w:t>3.2 Trách nhiệm của Bên A</w:t>
      </w:r>
    </w:p>
    <w:p>
      <w:pPr>
        <w:pStyle w:val="ListBullet"/>
      </w:pPr>
      <w:r>
        <w:t>[Liệt kê trách nhiệm cụ thể]</w:t>
      </w:r>
    </w:p>
    <w:p>
      <w:pPr>
        <w:pStyle w:val="ListBullet"/>
      </w:pPr>
      <w:r>
        <w:t>[Thời hạn thực hiện]</w:t>
      </w:r>
    </w:p>
    <w:p>
      <w:pPr>
        <w:pStyle w:val="ListBullet"/>
      </w:pPr>
      <w:r>
        <w:t>[Phương thức thanh toán, nếu có]</w:t>
      </w:r>
    </w:p>
    <w:p>
      <w:pPr>
        <w:pStyle w:val="Heading3"/>
      </w:pPr>
      <w:r>
        <w:rPr>
          <w:rFonts w:ascii="Times New Roman" w:hAnsi="Times New Roman"/>
          <w:color w:val="000000"/>
        </w:rPr>
        <w:t>3.3 Trách nhiệm của Bên B</w:t>
      </w:r>
    </w:p>
    <w:p>
      <w:pPr>
        <w:pStyle w:val="ListBullet"/>
      </w:pPr>
      <w:r>
        <w:t>[Liệt kê trách nhiệm cụ thể]</w:t>
      </w:r>
    </w:p>
    <w:p>
      <w:pPr>
        <w:pStyle w:val="ListBullet"/>
      </w:pPr>
      <w:r>
        <w:t>[Thời hạn thực hiện]</w:t>
      </w:r>
    </w:p>
    <w:p>
      <w:pPr>
        <w:pStyle w:val="ListBullet"/>
      </w:pPr>
      <w:r>
        <w:t>[Phương thức thanh toán, nếu có]</w:t>
      </w:r>
    </w:p>
    <w:p>
      <w:pPr>
        <w:spacing w:before="120" w:after="120"/>
      </w:pPr>
      <w:r>
        <w:rPr>
          <w:color w:val="808080"/>
          <w:sz w:val="16"/>
        </w:rPr>
        <w:t>────────────────────────────────────────────────────────────</w:t>
      </w:r>
    </w:p>
    <w:p>
      <w:pPr>
        <w:pStyle w:val="Heading2"/>
        <w:jc w:val="center"/>
      </w:pPr>
      <w:r>
        <w:rPr>
          <w:rFonts w:ascii="Times New Roman" w:hAnsi="Times New Roman"/>
          <w:color w:val="000000"/>
        </w:rPr>
        <w:t>ĐIỀU 4: THỜI GIAN THỰC HIỆN</w:t>
      </w:r>
    </w:p>
    <w:p>
      <w:pPr>
        <w:ind w:firstLine="560"/>
      </w:pPr>
      <w:r>
        <w:t>Hợp đồng có hiệu lực từ ngày ___ tháng ___ năm ___ đến hết ngày ___ tháng ___ năm ___.</w:t>
      </w:r>
    </w:p>
    <w:p>
      <w:pPr>
        <w:ind w:firstLine="560"/>
      </w:pPr>
      <w:r>
        <w:t>Thời gian thực hiện các nghĩa vụ hợp tác: từ ___ đến ___ (hoặc theo tiến độ dự án).</w:t>
      </w:r>
    </w:p>
    <w:p>
      <w:pPr>
        <w:spacing w:before="120" w:after="120"/>
      </w:pPr>
      <w:r>
        <w:rPr>
          <w:color w:val="808080"/>
          <w:sz w:val="16"/>
        </w:rPr>
        <w:t>────────────────────────────────────────────────────────────</w:t>
      </w:r>
    </w:p>
    <w:p>
      <w:pPr>
        <w:pStyle w:val="Heading2"/>
        <w:jc w:val="center"/>
      </w:pPr>
      <w:r>
        <w:rPr>
          <w:rFonts w:ascii="Times New Roman" w:hAnsi="Times New Roman"/>
          <w:color w:val="000000"/>
        </w:rPr>
        <w:t>ĐIỀU 5: CHI PHÍ VÀ THANH TOÁN</w:t>
      </w:r>
    </w:p>
    <w:p>
      <w:pPr>
        <w:ind w:firstLine="560"/>
      </w:pPr>
      <w:r>
        <w:t>5.1 Chi phí hợp tác</w:t>
      </w:r>
    </w:p>
    <w:p>
      <w:pPr>
        <w:pStyle w:val="ListBullet"/>
      </w:pPr>
      <w:r>
        <w:t>Bên A chịu chi phí: [Mô tả chi phí]</w:t>
      </w:r>
    </w:p>
    <w:p>
      <w:pPr>
        <w:pStyle w:val="ListBullet"/>
      </w:pPr>
      <w:r>
        <w:t>Bên B chịu chi phí: [Mô tả chi phí]</w:t>
      </w:r>
    </w:p>
    <w:p>
      <w:pPr>
        <w:pStyle w:val="ListBullet"/>
      </w:pPr>
      <w:r>
        <w:t>Chi phí chung: [Mô tả chi phí chung, nếu có]</w:t>
      </w:r>
    </w:p>
    <w:p>
      <w:pPr>
        <w:pStyle w:val="Heading3"/>
      </w:pPr>
      <w:r>
        <w:rPr>
          <w:rFonts w:ascii="Times New Roman" w:hAnsi="Times New Roman"/>
          <w:color w:val="000000"/>
        </w:rPr>
        <w:t>5.2 Phương thức thanh toán</w:t>
      </w:r>
    </w:p>
    <w:p>
      <w:pPr>
        <w:pStyle w:val="ListBullet"/>
      </w:pPr>
      <w:r>
        <w:t>[Hình thức thanh toán: tiền mặt, chuyển khoản, hóa đơn...]</w:t>
      </w:r>
    </w:p>
    <w:p>
      <w:pPr>
        <w:pStyle w:val="ListBullet"/>
      </w:pPr>
      <w:r>
        <w:t>[Ngày thanh toán, kỳ hạn, điều kiện thanh toán]</w:t>
      </w:r>
    </w:p>
    <w:p>
      <w:pPr>
        <w:pStyle w:val="ListBullet"/>
      </w:pPr>
      <w:r>
        <w:t>[Thông tin tài khoản nhận thanh toán của Bên A/B]</w:t>
      </w:r>
    </w:p>
    <w:p>
      <w:pPr>
        <w:spacing w:before="120" w:after="120"/>
      </w:pPr>
      <w:r>
        <w:rPr>
          <w:color w:val="808080"/>
          <w:sz w:val="16"/>
        </w:rPr>
        <w:t>────────────────────────────────────────────────────────────</w:t>
      </w:r>
    </w:p>
    <w:p>
      <w:pPr>
        <w:pStyle w:val="Heading2"/>
        <w:jc w:val="center"/>
      </w:pPr>
      <w:r>
        <w:rPr>
          <w:rFonts w:ascii="Times New Roman" w:hAnsi="Times New Roman"/>
          <w:color w:val="000000"/>
        </w:rPr>
        <w:t>ĐIỀU 6: BẢO MẬT VÀ SỞ HỮU TÀI SẢN</w:t>
      </w:r>
    </w:p>
    <w:p>
      <w:pPr>
        <w:ind w:firstLine="560"/>
      </w:pPr>
      <w:r>
        <w:t>6.1 Bảo mật thông tin</w:t>
      </w:r>
    </w:p>
    <w:p>
      <w:pPr>
        <w:ind w:firstLine="560"/>
      </w:pPr>
      <w:r>
        <w:t>Các Bên cam kết không tiết lộ thông tin bí mật, tài liệu, dữ liệu liên quan đến hợp đồng cho bên thứ ba mà không có sự đồng ý bằng văn bản. Thời hạn bảo mật kéo dài đến ___ năm kể từ ngày kết thúc hợp đồng, hoặc đến khi tài sản trí tuệ được công bố công khai hoặc hết thời hiệu bảo hộ theo pháp luật.</w:t>
      </w:r>
    </w:p>
    <w:p>
      <w:pPr>
        <w:ind w:firstLine="560"/>
      </w:pPr>
      <w:r>
        <w:t>6.2 Sở hữu trí tuệ</w:t>
      </w:r>
    </w:p>
    <w:p>
      <w:pPr>
        <w:pStyle w:val="ListBullet"/>
      </w:pPr>
      <w:r>
        <w:t>Sản phẩm, công nghệ, tài liệu do Bên A/B sáng tạo trong quá trình hợp tác thuộc sở hữu của [Bên A / Bên B / chia sẻ theo tỷ lệ ___%]</w:t>
      </w:r>
    </w:p>
    <w:p>
      <w:pPr>
        <w:pStyle w:val="ListBullet"/>
      </w:pPr>
      <w:r>
        <w:t>Quyền sử dụng, chuyển giao, chuyển nhượng được quy định tại Điều 6.2.1 và 6.2.2.</w:t>
      </w:r>
    </w:p>
    <w:p>
      <w:pPr>
        <w:ind w:firstLine="560"/>
      </w:pPr>
      <w:r>
        <w:t>#### 6.2.1 Quyền sở hữu</w:t>
      </w:r>
    </w:p>
    <w:p>
      <w:pPr>
        <w:ind w:firstLine="560"/>
      </w:pPr>
      <w:r>
        <w:t>Tất cả sản phẩm, công nghệ, tài liệu, phần mềm, dữ liệu, mô hình, ý tưởng, sáng chế, thiết kế, nội dung, tài liệu kỹ thuật, tài liệu marketing, tài liệu kinh doanh, tài liệu quản lý, và bất kỳ tài sản trí tuệ nào khác được tạo ra trong quá trình thực hiện hợp đồng thuộc sở hữu hoàn toàn của Bên có đóng góp sáng tạo chính, trừ trường hợp được thỏa thuận khác trong Điều 6.2.2.</w:t>
      </w:r>
    </w:p>
    <w:p>
      <w:pPr>
        <w:ind w:firstLine="560"/>
      </w:pPr>
      <w:r>
        <w:t>#### 6.2.2 Quyền sử dụng và chuyển nhượng</w:t>
      </w:r>
    </w:p>
    <w:p>
      <w:pPr>
        <w:ind w:firstLine="560"/>
      </w:pPr>
      <w:r>
        <w:t>Bên sở hữu tài sản trí tuệ có quyền sử dụng, chuyển giao, chuyển nhượng, cấp phép, hoặc cho thuê tài sản đó cho bên thứ ba trong phạm vi và thời hạn được quy định trong hợp đồng hoặc theo quy định pháp luật. Bên không sở hữu tài sản trí tuệ có quyền được sử dụng tài sản đó trong phạm vi hợp tác và không được chuyển nhượng, cấp phép, cho thuê, hoặc chuyển giao cho bên thứ ba mà không có sự đồng ý bằng văn bản của Bên sở hữu.</w:t>
      </w:r>
    </w:p>
    <w:p>
      <w:pPr>
        <w:ind w:firstLine="560"/>
      </w:pPr>
      <w:r>
        <w:t>#### 6.2.3 Quyền chấm dứt</w:t>
      </w:r>
    </w:p>
    <w:p>
      <w:pPr>
        <w:ind w:firstLine="560"/>
      </w:pPr>
      <w:r>
        <w:t xml:space="preserve">Bên sở hữu tài sản trí tuệ có quyền chấm dứt quyền sử dụng, chuyển nhượng, cấp phép, hoặc cho thuê tài sản đó </w:t>
      </w:r>
      <w:r>
        <w:rPr>
          <w:b/>
        </w:rPr>
        <w:t>trong trường hợp Bên không thực hiện nghĩa vụ hợp tác trong thời hạn hợp lý sau khi được nhắc nhở bằng văn bản, hoặc vi phạm cam kết trong hợp đồng, hoặc không thực hiện nghĩa vụ hợp tác trong thời hạn quy định</w:t>
      </w:r>
      <w:r>
        <w:t>. Việc chấm dứt phải được thông báo bằng văn bản và có hiệu lực sau 15 ngày kể từ ngày thông báo.</w:t>
      </w:r>
    </w:p>
    <w:p>
      <w:pPr>
        <w:ind w:firstLine="560"/>
      </w:pPr>
      <w:r>
        <w:rPr>
          <w:b/>
        </w:rPr>
        <w:t>Tiêu chí “thời hạn hợp lý” được xác định là: không thực hiện nghĩa vụ trong 30 ngày kể từ ngày được nhắc nhở bằng văn bản, hoặc vi phạm cam kết trọng tâm của hợp đồng trong 2 lần trong vòng 3 tháng liên tiếp.</w:t>
      </w:r>
    </w:p>
    <w:p>
      <w:pPr>
        <w:ind w:firstLine="560"/>
      </w:pPr>
      <w:r>
        <w:t>#### 6.2.4 Tài sản không dẫn đến sản phẩm cụ thể</w:t>
      </w:r>
    </w:p>
    <w:p>
      <w:pPr>
        <w:ind w:firstLine="560"/>
      </w:pPr>
      <w:r>
        <w:t>Trong trường hợp hợp tác không dẫn đến sản phẩm cụ thể, tài sản trí tuệ, dữ liệu, thông tin, tài liệu, ý tưởng, mô hình, thiết kế, nội dung, tài liệu kỹ thuật, tài liệu marketing, tài liệu kinh doanh, tài liệu quản lý, và bất kỳ tài sản nào khác được tạo ra trong quá trình hợp tác thuộc sở hữu chung của cả hai Bên, chia sẻ theo tỷ lệ ___% – ___% (hoặc theo thỏa thuận cụ thể trong hợp đồng).</w:t>
      </w:r>
    </w:p>
    <w:p>
      <w:pPr>
        <w:spacing w:before="120" w:after="120"/>
      </w:pPr>
      <w:r>
        <w:rPr>
          <w:color w:val="808080"/>
          <w:sz w:val="16"/>
        </w:rPr>
        <w:t>────────────────────────────────────────────────────────────</w:t>
      </w:r>
    </w:p>
    <w:p>
      <w:pPr>
        <w:pStyle w:val="Heading2"/>
        <w:jc w:val="center"/>
      </w:pPr>
      <w:r>
        <w:rPr>
          <w:rFonts w:ascii="Times New Roman" w:hAnsi="Times New Roman"/>
          <w:color w:val="000000"/>
        </w:rPr>
        <w:t>ĐIỀU 7: GIẢI QUYẾT TRANH CHẤP</w:t>
      </w:r>
    </w:p>
    <w:p>
      <w:pPr>
        <w:ind w:firstLine="560"/>
      </w:pPr>
      <w:r>
        <w:t>Tranh chấp phát sinh từ hợp đồng sẽ được giải quyết thông qua:</w:t>
      </w:r>
    </w:p>
    <w:p>
      <w:pPr>
        <w:pStyle w:val="ListBullet"/>
      </w:pPr>
      <w:r>
        <w:t>Thương lượng, hòa giải tại cơ quan có thẩm quyền;</w:t>
      </w:r>
    </w:p>
    <w:p>
      <w:pPr>
        <w:pStyle w:val="ListBullet"/>
      </w:pPr>
      <w:r>
        <w:t xml:space="preserve">Nếu không giải quyết được, các Bên đồng ý đưa vụ việc ra </w:t>
      </w:r>
      <w:r>
        <w:rPr>
          <w:b/>
        </w:rPr>
        <w:t>Tòa án nhân dân tỉnh [tỉnh cụ thể] nơi Bên A có trụ sở chính</w:t>
      </w:r>
      <w:r>
        <w:t xml:space="preserve">, hoặc </w:t>
      </w:r>
      <w:r>
        <w:rPr>
          <w:b/>
        </w:rPr>
        <w:t>Tòa án nhân dân tỉnh [tỉnh cụ thể] nơi có giá trị tài sản lớn nhất liên quan đến hợp đồng</w:t>
      </w:r>
      <w:r>
        <w:t>, theo quy định tại Điều 35 Bộ luật Tố tụng dân sự 2015.</w:t>
      </w:r>
    </w:p>
    <w:p>
      <w:pPr>
        <w:spacing w:before="120" w:after="120"/>
      </w:pPr>
      <w:r>
        <w:rPr>
          <w:color w:val="808080"/>
          <w:sz w:val="16"/>
        </w:rPr>
        <w:t>────────────────────────────────────────────────────────────</w:t>
      </w:r>
    </w:p>
    <w:p>
      <w:pPr>
        <w:pStyle w:val="Heading2"/>
        <w:jc w:val="center"/>
      </w:pPr>
      <w:r>
        <w:rPr>
          <w:rFonts w:ascii="Times New Roman" w:hAnsi="Times New Roman"/>
          <w:color w:val="000000"/>
        </w:rPr>
        <w:t>ĐIỀU 8: BIỆN PHÁP BẢO ĐẢM THỰC HIỆN</w:t>
      </w:r>
    </w:p>
    <w:p>
      <w:pPr>
        <w:pStyle w:val="ListBullet"/>
      </w:pPr>
      <w:r>
        <w:t>Các Bên cam kết thực hiện đúng cam kết trong hợp đồng.</w:t>
      </w:r>
    </w:p>
    <w:p>
      <w:pPr>
        <w:pStyle w:val="ListBullet"/>
      </w:pPr>
      <w:r>
        <w:t xml:space="preserve">Trường hợp vi phạm, Bên bị vi phạm phải bồi thường thiệt hại theo quy định của pháp luật và chịu </w:t>
      </w:r>
      <w:r>
        <w:rPr>
          <w:b/>
        </w:rPr>
        <w:t>phạt vi phạm theo mức độ vi phạm</w:t>
      </w:r>
      <w:r>
        <w:t xml:space="preserve"> như sau:</w:t>
      </w:r>
    </w:p>
    <w:p>
      <w:pPr>
        <w:pStyle w:val="ListBullet"/>
      </w:pPr>
      <w:r>
        <w:t>Vi phạm nhẹ: Phạt tiền từ ___ đến ___ đồng;</w:t>
      </w:r>
    </w:p>
    <w:p>
      <w:pPr>
        <w:pStyle w:val="ListBullet"/>
      </w:pPr>
      <w:r>
        <w:t>Vi phạm trung bình: Phạt tiền từ ___ đến ___ đồng;</w:t>
      </w:r>
    </w:p>
    <w:p>
      <w:pPr>
        <w:pStyle w:val="ListBullet"/>
      </w:pPr>
      <w:r>
        <w:t>Vi phạm nghiêm trọng: Phạt tiền từ ___ đến ___ đồng hoặc chấm dứt hợp đồng theo Điều 10.</w:t>
      </w:r>
    </w:p>
    <w:p>
      <w:pPr>
        <w:pStyle w:val="ListBullet"/>
      </w:pPr>
      <w:r>
        <w:t>Bên vi phạm có nghĩa vụ bồi thường thiệt hại toàn bộ cho Bên bị vi phạm, bao gồm chi phí, tổn thất, thiệt hại, và chi phí pháp lý phát sinh từ vi phạm.</w:t>
      </w:r>
    </w:p>
    <w:p>
      <w:pPr>
        <w:pStyle w:val="ListBullet"/>
      </w:pPr>
      <w:r>
        <w:t>Mức phạt vi phạm phải được xác định cụ thể dựa trên tính chất, mức độ, và hậu quả của hành vi vi phạm, và không được vượt quá 30% giá trị hợp đồng hoặc 100 triệu đồng (tùy theo mức độ vi phạm), theo quy định tại Điều 362 Bộ luật Dân sự 2015.</w:t>
      </w:r>
    </w:p>
    <w:p>
      <w:pPr>
        <w:ind w:firstLine="560"/>
      </w:pPr>
      <w:r>
        <w:rPr>
          <w:b/>
        </w:rPr>
        <w:t>Bổ sung: Vi phạm nhẹ là vi phạm không gây thiệt hại lớn, vi phạm trung bình là vi phạm gây thiệt hại trung bình, vi phạm nghiêm trọng là vi phạm gây thiệt hại lớn hoặc vi phạm cam kết trọng tâm của hợp đồng.</w:t>
      </w:r>
    </w:p>
    <w:p>
      <w:pPr>
        <w:spacing w:before="120" w:after="120"/>
      </w:pPr>
      <w:r>
        <w:rPr>
          <w:color w:val="808080"/>
          <w:sz w:val="16"/>
        </w:rPr>
        <w:t>────────────────────────────────────────────────────────────</w:t>
      </w:r>
    </w:p>
    <w:p>
      <w:pPr>
        <w:pStyle w:val="Heading2"/>
        <w:jc w:val="center"/>
      </w:pPr>
      <w:r>
        <w:rPr>
          <w:rFonts w:ascii="Times New Roman" w:hAnsi="Times New Roman"/>
          <w:color w:val="000000"/>
        </w:rPr>
        <w:t>ĐIỀU 9: HIỆU LỰC VÀ SỬA ĐỔI</w:t>
      </w:r>
    </w:p>
    <w:p>
      <w:pPr>
        <w:pStyle w:val="ListBullet"/>
      </w:pPr>
      <w:r>
        <w:t xml:space="preserve">Hợp đồng có hiệu lực kể từ ngày ký và thay đổi chỉ được thực hiện bằng văn bản đồng ý của </w:t>
      </w:r>
      <w:r>
        <w:rPr>
          <w:b/>
        </w:rPr>
        <w:t>cả hai Bên</w:t>
      </w:r>
      <w:r>
        <w:t>.</w:t>
      </w:r>
    </w:p>
    <w:p>
      <w:pPr>
        <w:pStyle w:val="ListBullet"/>
      </w:pPr>
      <w:r>
        <w:t>Việc bổ sung, sửa đổi hợp đồng phải được lập thành phụ lục ký tên, đóng dấu (nếu có).</w:t>
      </w:r>
    </w:p>
    <w:p>
      <w:pPr>
        <w:spacing w:before="120" w:after="120"/>
      </w:pPr>
      <w:r>
        <w:rPr>
          <w:color w:val="808080"/>
          <w:sz w:val="16"/>
        </w:rPr>
        <w:t>────────────────────────────────────────────────────────────</w:t>
      </w:r>
    </w:p>
    <w:p>
      <w:pPr>
        <w:pStyle w:val="Heading2"/>
        <w:jc w:val="center"/>
      </w:pPr>
      <w:r>
        <w:rPr>
          <w:rFonts w:ascii="Times New Roman" w:hAnsi="Times New Roman"/>
          <w:color w:val="000000"/>
        </w:rPr>
        <w:t>ĐIỀU 10: QUYỀN HỦY HỢP ĐỒNG VÀ CHẤM DỨT TRƯỚC THỜI HẠN</w:t>
      </w:r>
    </w:p>
    <w:p>
      <w:pPr>
        <w:pStyle w:val="ListBullet"/>
      </w:pPr>
      <w:r>
        <w:t>Bên có quyền hủy hợp đồng hoặc chấm dứt hợp đồng trước thời hạn nếu bên kia vi phạm nghiêm trọng, không thực hiện nghĩa vụ, hoặc có hành vi gây thiệt hại nghiêm trọng đến quyền lợi của Bên đó.</w:t>
      </w:r>
    </w:p>
    <w:p>
      <w:pPr>
        <w:pStyle w:val="ListBullet"/>
      </w:pPr>
      <w:r>
        <w:t>Việc hủy hợp đồng hoặc chấm dứt hợp đồng trước thời hạn phải được thông báo bằng văn bản ít nhất ___ ngày trước khi chấm dứt.</w:t>
      </w:r>
    </w:p>
    <w:p>
      <w:pPr>
        <w:pStyle w:val="ListBullet"/>
      </w:pPr>
      <w:r>
        <w:t>Bên bị hủy hợp đồng hoặc chấm dứt hợp đồng trước thời hạn phải bồi thường thiệt hại toàn bộ cho Bên còn lại theo quy định tại Điều 8.</w:t>
      </w:r>
    </w:p>
    <w:p>
      <w:pPr>
        <w:pStyle w:val="ListBullet"/>
      </w:pPr>
      <w:r>
        <w:t>Ngoài ra, Bên có quyền hủy hợp đồng hoặc chấm dứt hợp đồng trước thời hạn nếu:</w:t>
      </w:r>
    </w:p>
    <w:p>
      <w:pPr>
        <w:pStyle w:val="ListBullet"/>
      </w:pPr>
      <w:r>
        <w:t>Một bên không thực hiện nghĩa vụ trong thời hạn hợp lý sau khi được nhắc nhở bằng văn bản (tối thiểu 30 ngày);</w:t>
      </w:r>
    </w:p>
    <w:p>
      <w:pPr>
        <w:pStyle w:val="ListBullet"/>
      </w:pPr>
      <w:r>
        <w:t>Một bên có hành vi vi phạm nghiêm trọng, gây thiệt hại cho bên kia (ví dụ: vi phạm cam kết trọng tâm, gây thiệt hại lớn);</w:t>
      </w:r>
    </w:p>
    <w:p>
      <w:pPr>
        <w:pStyle w:val="ListBullet"/>
      </w:pPr>
      <w:r>
        <w:t>Một bên không tuân thủ các điều khoản pháp lý hoặc điều khoản trọng tâm của hợp đồng;</w:t>
      </w:r>
    </w:p>
    <w:p>
      <w:pPr>
        <w:pStyle w:val="ListBullet"/>
      </w:pPr>
      <w:r>
        <w:t>Một bên có hành vi vi phạm pháp luật hoặc vi phạm đạo đức nghề nghiệp (được xác định theo quy định pháp luật hoặc theo tiêu chí cụ thể trong hợp đồng).</w:t>
      </w:r>
    </w:p>
    <w:p>
      <w:pPr>
        <w:ind w:firstLine="560"/>
      </w:pPr>
      <w:r>
        <w:rPr>
          <w:b/>
        </w:rPr>
        <w:t>Bổ sung: “Hành vi vi phạm nghiêm trọng” được xác định là vi phạm cam kết trọng tâm của hợp đồng, gây thiệt hại lớn, hoặc vi phạm pháp luật.</w:t>
      </w:r>
    </w:p>
    <w:p>
      <w:pPr>
        <w:spacing w:before="120" w:after="120"/>
      </w:pPr>
      <w:r>
        <w:rPr>
          <w:color w:val="808080"/>
          <w:sz w:val="16"/>
        </w:rPr>
        <w:t>────────────────────────────────────────────────────────────</w:t>
      </w:r>
    </w:p>
    <w:p>
      <w:pPr>
        <w:pStyle w:val="Heading2"/>
        <w:jc w:val="center"/>
      </w:pPr>
      <w:r>
        <w:rPr>
          <w:rFonts w:ascii="Times New Roman" w:hAnsi="Times New Roman"/>
          <w:color w:val="000000"/>
        </w:rPr>
        <w:t>ĐIỀU 11: BẤT KHẢ KHÁNG (FORCE MAJEURE)</w:t>
      </w:r>
    </w:p>
    <w:p>
      <w:pPr>
        <w:pStyle w:val="ListBullet"/>
      </w:pPr>
      <w:r>
        <w:t>Các Bên không chịu trách nhiệm về việc không thực hiện hoặc thực hiện chậm trễ nghĩa vụ hợp tác nếu xảy ra các sự kiện bất khả kháng như: thiên tai, lũ lụt, động đất, dịch bệnh, chiến tranh, lệnh cấm vận, đình công, đình chỉ hoạt động do chính quyền, hoặc bất kỳ sự kiện nào nằm ngoài tầm kiểm soát hợp lý của Bên.</w:t>
      </w:r>
    </w:p>
    <w:p>
      <w:pPr>
        <w:pStyle w:val="ListBullet"/>
      </w:pPr>
      <w:r>
        <w:t>Bên bị ảnh hưởng bởi sự kiện bất khả kháng phải thông báo bằng văn bản cho Bên kia trong vòng ___ ngày kể từ khi sự kiện xảy ra và cung cấp bằng chứng phù hợp.</w:t>
      </w:r>
    </w:p>
    <w:p>
      <w:pPr>
        <w:pStyle w:val="ListBullet"/>
      </w:pPr>
      <w:r>
        <w:t>Hợp đồng sẽ tạm dừng hoặc chấm dứt tùy theo mức độ ảnh hưởng của sự kiện bất khả kháng, nhưng các Bên vẫn phải thực hiện nghĩa vụ liên quan đến việc thanh toán, bảo mật, và bảo vệ tài sản.</w:t>
      </w:r>
    </w:p>
    <w:p>
      <w:pPr>
        <w:ind w:firstLine="560"/>
      </w:pPr>
      <w:r>
        <w:rPr>
          <w:b/>
        </w:rPr>
        <w:t>Bổ sung: Sự kiện bất khả kháng phải đáp ứng đủ 2 điều kiện: (1) không thể dự báo và (2) không thể khắc phục.</w:t>
      </w:r>
    </w:p>
    <w:p>
      <w:pPr>
        <w:spacing w:before="120" w:after="120"/>
      </w:pPr>
      <w:r>
        <w:rPr>
          <w:color w:val="808080"/>
          <w:sz w:val="16"/>
        </w:rPr>
        <w:t>────────────────────────────────────────────────────────────</w:t>
      </w:r>
    </w:p>
    <w:p>
      <w:pPr>
        <w:pStyle w:val="Heading2"/>
        <w:jc w:val="center"/>
      </w:pPr>
      <w:r>
        <w:rPr>
          <w:rFonts w:ascii="Times New Roman" w:hAnsi="Times New Roman"/>
          <w:color w:val="000000"/>
        </w:rPr>
        <w:t>ĐIỀU 12: THỜI HIỆU KHIẾU NẠI</w:t>
      </w:r>
    </w:p>
    <w:p>
      <w:pPr>
        <w:pStyle w:val="ListBullet"/>
      </w:pPr>
      <w:r>
        <w:t xml:space="preserve">Các Bên có quyền khiếu nại hoặc khởi kiện trong vòng </w:t>
      </w:r>
      <w:r>
        <w:rPr>
          <w:b/>
        </w:rPr>
        <w:t>5 năm</w:t>
      </w:r>
      <w:r>
        <w:t xml:space="preserve"> kể từ ngày vi phạm hoặc ngày kết thúc hợp đồng.</w:t>
      </w:r>
    </w:p>
    <w:p>
      <w:pPr>
        <w:pStyle w:val="ListBullet"/>
      </w:pPr>
      <w:r>
        <w:t>Thời hiệu này bắt đầu tính từ ngày vi phạm được phát hiện hoặc ngày kết thúc hợp đồng, và không được kéo dài nếu có sự kiện bất khả kháng kéo dài.</w:t>
      </w:r>
    </w:p>
    <w:p>
      <w:pPr>
        <w:ind w:firstLine="560"/>
      </w:pPr>
      <w:r>
        <w:rPr>
          <w:b/>
        </w:rPr>
        <w:t>Bổ sung: “Sự kiện bất khả kháng kéo dài” được xác định là kéo dài hơn 6 tháng liên tục và không có dấu hiệu kết thúc.</w:t>
      </w:r>
    </w:p>
    <w:p>
      <w:pPr>
        <w:spacing w:before="120" w:after="120"/>
      </w:pPr>
      <w:r>
        <w:rPr>
          <w:color w:val="808080"/>
          <w:sz w:val="16"/>
        </w:rPr>
        <w:t>────────────────────────────────────────────────────────────</w:t>
      </w:r>
    </w:p>
    <w:p>
      <w:pPr>
        <w:pStyle w:val="Heading2"/>
        <w:jc w:val="center"/>
      </w:pPr>
      <w:r>
        <w:rPr>
          <w:rFonts w:ascii="Times New Roman" w:hAnsi="Times New Roman"/>
          <w:color w:val="000000"/>
        </w:rPr>
        <w:t>ĐIỀU 13: QUYỀN TIẾP CẬN THÔNG TIN VÀ QUYỀN GIÁM SÁT</w:t>
      </w:r>
    </w:p>
    <w:p>
      <w:pPr>
        <w:pStyle w:val="ListBullet"/>
      </w:pPr>
      <w:r>
        <w:t>Bên có quyền yêu cầu Bên kia cung cấp thông tin liên quan đến việc thực hiện nghĩa vụ hợp tác, bao gồm: báo cáo tiến độ, tài liệu, chứng từ, biên bản, và bất kỳ tài liệu nào liên quan đến việc thực hiện hợp đồng.</w:t>
      </w:r>
    </w:p>
    <w:p>
      <w:pPr>
        <w:pStyle w:val="ListBullet"/>
      </w:pPr>
      <w:r>
        <w:t>Bên có quyền giám sát việc thực hiện nghĩa vụ hợp tác thông qua kiểm tra, giám sát, hoặc yêu cầu báo cáo định kỳ hoặc bất kỳ thời điểm nào.</w:t>
      </w:r>
    </w:p>
    <w:p>
      <w:pPr>
        <w:ind w:firstLine="560"/>
      </w:pPr>
      <w:r>
        <w:rPr>
          <w:b/>
        </w:rPr>
        <w:t>Bổ sung: Giám sát định kỳ mỗi 3 tháng, hoặc khi có yêu cầu bằng văn bản của Bên có quyền giám sát.</w:t>
      </w:r>
    </w:p>
    <w:p>
      <w:pPr>
        <w:spacing w:before="120" w:after="120"/>
      </w:pPr>
      <w:r>
        <w:rPr>
          <w:color w:val="808080"/>
          <w:sz w:val="16"/>
        </w:rPr>
        <w:t>────────────────────────────────────────────────────────────</w:t>
      </w:r>
    </w:p>
    <w:p>
      <w:pPr>
        <w:pStyle w:val="Heading2"/>
        <w:jc w:val="center"/>
      </w:pPr>
      <w:r>
        <w:rPr>
          <w:rFonts w:ascii="Times New Roman" w:hAnsi="Times New Roman"/>
          <w:color w:val="000000"/>
        </w:rPr>
        <w:t>ĐIỀU 14: QUYỀN ƯU TIÊN VÀ QUYỀN ƯU ĐÃI TRONG TRƯỜNG HỢP HỢP TÁC KÉO DÀI</w:t>
      </w:r>
    </w:p>
    <w:p>
      <w:pPr>
        <w:pStyle w:val="ListBullet"/>
      </w:pPr>
      <w:r>
        <w:t>Nếu hợp đồng có thể kéo dài, các Bên có quyền thỏa thuận kéo dài hợp đồng theo điều kiện và thủ tục được quy định trong phụ lục hợp đồng hoặc theo quy định pháp luật.</w:t>
      </w:r>
    </w:p>
    <w:p>
      <w:pPr>
        <w:pStyle w:val="ListBullet"/>
      </w:pPr>
      <w:r>
        <w:t>Bên có quyền ưu tiên được kéo dài hợp đồng nếu đã thực hiện đúng nghĩa vụ, không vi phạm, và có đóng góp tích cực trong quá trình hợp tác.</w:t>
      </w:r>
    </w:p>
    <w:p>
      <w:pPr>
        <w:pStyle w:val="ListBullet"/>
      </w:pPr>
      <w:r>
        <w:t>Quyền ưu tiên và ưu đãi sẽ được quy định cụ thể trong phụ lục hợp đồng hoặc thỏa thuận bổ sung.</w:t>
      </w:r>
    </w:p>
    <w:p>
      <w:pPr>
        <w:ind w:firstLine="560"/>
      </w:pPr>
      <w:r>
        <w:rPr>
          <w:b/>
        </w:rPr>
        <w:t>Bổ sung: “Đóng góp tích cực” được xác định là hoàn thành ít nhất 80% nghĩa vụ, không vi phạm, và có đánh giá tích cực từ Bên kia.</w:t>
      </w:r>
    </w:p>
    <w:p>
      <w:pPr>
        <w:spacing w:before="120" w:after="120"/>
      </w:pPr>
      <w:r>
        <w:rPr>
          <w:color w:val="808080"/>
          <w:sz w:val="16"/>
        </w:rPr>
        <w:t>────────────────────────────────────────────────────────────</w:t>
      </w:r>
    </w:p>
    <w:p>
      <w:pPr>
        <w:pStyle w:val="Heading2"/>
        <w:jc w:val="center"/>
      </w:pPr>
      <w:r>
        <w:rPr>
          <w:rFonts w:ascii="Times New Roman" w:hAnsi="Times New Roman"/>
          <w:color w:val="000000"/>
        </w:rPr>
        <w:t>ĐIỀU 15: BẢO HIỂM VÀ CAM KẾT TÀI CHÍNH</w:t>
      </w:r>
    </w:p>
    <w:p>
      <w:pPr>
        <w:pStyle w:val="ListBullet"/>
      </w:pPr>
      <w:r>
        <w:t>Nếu hợp đồng liên quan đến tài sản, công nghệ, hoặc đầu tư, các Bên có quyền yêu cầu Bên kia cung cấp bảo hiểm hoặc cam kết tài chính để bảo vệ rủi ro phát sinh trong quá trình thực hiện hợp đồng.</w:t>
      </w:r>
    </w:p>
    <w:p>
      <w:pPr>
        <w:pStyle w:val="ListBullet"/>
      </w:pPr>
      <w:r>
        <w:t>Bảo hiểm và cam kết tài chính phải được quy định cụ thể trong phụ lục hợp đồng hoặc thỏa thuận bổ sung.</w:t>
      </w:r>
    </w:p>
    <w:p>
      <w:pPr>
        <w:ind w:firstLine="560"/>
      </w:pPr>
      <w:r>
        <w:rPr>
          <w:b/>
        </w:rPr>
        <w:t>Bổ sung: Bảo hiểm trách nhiệm dân sự, bảo hiểm thiệt hại tài sản, hoặc cam kết tài chính tối thiểu bằng 10% giá trị hợp đồng.</w:t>
      </w:r>
    </w:p>
    <w:p>
      <w:pPr>
        <w:spacing w:before="120" w:after="120"/>
      </w:pPr>
      <w:r>
        <w:rPr>
          <w:color w:val="808080"/>
          <w:sz w:val="16"/>
        </w:rPr>
        <w:t>────────────────────────────────────────────────────────────</w:t>
      </w:r>
    </w:p>
    <w:p>
      <w:pPr>
        <w:pStyle w:val="Heading2"/>
        <w:jc w:val="center"/>
      </w:pPr>
      <w:r>
        <w:rPr>
          <w:rFonts w:ascii="Times New Roman" w:hAnsi="Times New Roman"/>
          <w:color w:val="000000"/>
        </w:rPr>
        <w:t>ĐIỀU 16: QUYỀN BẢO VỆ THƯƠNG HIỆU, BÍ MẬT KINH DOANH, VÀ QUYỀN SỞ HỮU TRÍ TUỆ</w:t>
      </w:r>
    </w:p>
    <w:p>
      <w:pPr>
        <w:pStyle w:val="ListBullet"/>
      </w:pPr>
      <w:r>
        <w:t>Các Bên cam kết bảo vệ thương hiệu, bí mật kinh doanh, và quyền sở hữu trí tuệ của mình trong quá trình hợp tác.</w:t>
      </w:r>
    </w:p>
    <w:p>
      <w:pPr>
        <w:pStyle w:val="ListBullet"/>
      </w:pPr>
      <w:r>
        <w:t>Nếu hợp tác không dẫn đến sản phẩm cụ thể, các Bên cam kết bảo vệ tài sản trí tuệ, dữ liệu, thông tin, tài liệu, ý tưởng, mô hình, thiết kế, nội dung, tài liệu kỹ thuật, tài liệu marketing, tài liệu kinh doanh, tài liệu quản lý, và bất kỳ tài sản nào khác được tạo ra trong quá trình hợp tác.</w:t>
      </w:r>
    </w:p>
    <w:p>
      <w:pPr>
        <w:pStyle w:val="ListBullet"/>
      </w:pPr>
      <w:r>
        <w:t>Các tài sản này thuộc sở hữu chung của cả hai Bên, chia sẻ theo tỷ lệ ___% – ___% (hoặc theo thỏa thuận cụ thể trong hợp đồng).</w:t>
      </w:r>
    </w:p>
    <w:p>
      <w:pPr>
        <w:ind w:firstLine="560"/>
      </w:pPr>
      <w:r>
        <w:rPr>
          <w:b/>
        </w:rPr>
        <w:t>Bổ sung: Bảo vệ bằng hợp đồng bảo vệ, biện pháp kỹ thuật, hoặc pháp lý theo quy định pháp luật.</w:t>
      </w:r>
    </w:p>
    <w:p>
      <w:pPr>
        <w:spacing w:before="120" w:after="120"/>
      </w:pPr>
      <w:r>
        <w:rPr>
          <w:color w:val="808080"/>
          <w:sz w:val="16"/>
        </w:rPr>
        <w:t>────────────────────────────────────────────────────────────</w:t>
      </w:r>
    </w:p>
    <w:p>
      <w:pPr>
        <w:pStyle w:val="Heading2"/>
        <w:jc w:val="center"/>
      </w:pPr>
      <w:r>
        <w:rPr>
          <w:rFonts w:ascii="Times New Roman" w:hAnsi="Times New Roman"/>
          <w:color w:val="000000"/>
        </w:rPr>
        <w:t>ĐIỀU 17: THỎA THUẬN KHÁC</w:t>
      </w:r>
    </w:p>
    <w:p>
      <w:pPr>
        <w:ind w:firstLine="560"/>
      </w:pPr>
      <w:r>
        <w:t>Các Bên đồng ý các điều khoản khác như sau:</w:t>
      </w:r>
    </w:p>
    <w:p>
      <w:pPr>
        <w:pStyle w:val="ListBullet"/>
      </w:pPr>
      <w:r>
        <w:t>[Thỏa thuận bổ sung]</w:t>
      </w:r>
    </w:p>
    <w:p>
      <w:pPr>
        <w:pStyle w:val="ListBullet"/>
      </w:pPr>
      <w:r>
        <w:t>[Điều khoản đặc biệt nếu có]</w:t>
      </w:r>
    </w:p>
    <w:p>
      <w:pPr>
        <w:spacing w:before="120" w:after="120"/>
      </w:pPr>
      <w:r>
        <w:rPr>
          <w:color w:val="808080"/>
          <w:sz w:val="16"/>
        </w:rPr>
        <w:t>────────────────────────────────────────────────────────────</w:t>
      </w:r>
    </w:p>
    <w:p>
      <w:pPr>
        <w:pStyle w:val="Heading2"/>
        <w:jc w:val="center"/>
      </w:pPr>
      <w:r>
        <w:rPr>
          <w:rFonts w:ascii="Times New Roman" w:hAnsi="Times New Roman"/>
          <w:color w:val="000000"/>
        </w:rPr>
        <w:t>ĐIỀU 18: KÝ TÊN VÀ ĐÓNG DẤU</w:t>
      </w:r>
    </w:p>
    <w:p>
      <w:pPr>
        <w:ind w:firstLine="560"/>
      </w:pPr>
      <w:r>
        <w:rPr>
          <w:b/>
        </w:rPr>
        <w:t>BÊN A</w:t>
      </w:r>
    </w:p>
    <w:p>
      <w:pPr>
        <w:ind w:firstLine="560"/>
      </w:pPr>
      <w:r>
        <w:t>(Ký tên, ghi rõ họ tên)</w:t>
      </w:r>
    </w:p>
    <w:p>
      <w:pPr>
        <w:spacing w:before="120" w:after="120"/>
      </w:pPr>
      <w:r>
        <w:rPr>
          <w:color w:val="808080"/>
          <w:sz w:val="16"/>
        </w:rPr>
        <w:t>────────────────────────────────────────────────────────────</w:t>
      </w:r>
    </w:p>
    <w:p>
      <w:pPr>
        <w:ind w:firstLine="560"/>
      </w:pPr>
      <w:r>
        <w:t>(Chức vụ)</w:t>
      </w:r>
    </w:p>
    <w:p>
      <w:pPr>
        <w:ind w:firstLine="560"/>
      </w:pPr>
      <w:r>
        <w:t>Đóng dấu (nếu có): _________________________</w:t>
      </w:r>
    </w:p>
    <w:p>
      <w:pPr>
        <w:ind w:firstLine="560"/>
      </w:pPr>
      <w:r>
        <w:t>Ngày ___ tháng ___ năm ___</w:t>
      </w:r>
    </w:p>
    <w:p>
      <w:pPr>
        <w:ind w:firstLine="560"/>
      </w:pPr>
      <w:r>
        <w:rPr>
          <w:b/>
        </w:rPr>
        <w:t>BÊN B</w:t>
      </w:r>
    </w:p>
    <w:p>
      <w:pPr>
        <w:ind w:firstLine="560"/>
      </w:pPr>
      <w:r>
        <w:t>(Ký tên, ghi rõ họ tên)</w:t>
      </w:r>
    </w:p>
    <w:p>
      <w:pPr>
        <w:spacing w:before="120" w:after="120"/>
      </w:pPr>
      <w:r>
        <w:rPr>
          <w:color w:val="808080"/>
          <w:sz w:val="16"/>
        </w:rPr>
        <w:t>────────────────────────────────────────────────────────────</w:t>
      </w:r>
    </w:p>
    <w:p>
      <w:pPr>
        <w:ind w:firstLine="560"/>
      </w:pPr>
      <w:r>
        <w:t>(Chức vụ)</w:t>
      </w:r>
    </w:p>
    <w:p>
      <w:pPr>
        <w:ind w:firstLine="560"/>
      </w:pPr>
      <w:r>
        <w:t>Đóng dấu (nếu có): _________________________</w:t>
      </w:r>
    </w:p>
    <w:p>
      <w:pPr>
        <w:ind w:firstLine="560"/>
      </w:pPr>
      <w:r>
        <w:t>Ngày ___ tháng ___ năm ___</w:t>
      </w:r>
    </w:p>
    <w:p>
      <w:pPr>
        <w:spacing w:before="120" w:after="120"/>
      </w:pPr>
      <w:r>
        <w:rPr>
          <w:color w:val="808080"/>
          <w:sz w:val="16"/>
        </w:rPr>
        <w:t>────────────────────────────────────────────────────────────</w:t>
      </w:r>
    </w:p>
    <w:p>
      <w:pPr>
        <w:pStyle w:val="Heading2"/>
        <w:jc w:val="center"/>
      </w:pPr>
      <w:r>
        <w:rPr>
          <w:rFonts w:ascii="Times New Roman" w:hAnsi="Times New Roman"/>
          <w:color w:val="000000"/>
        </w:rPr>
        <w:t>ĐIỀU 19: ĐIỀU KIỆN ÁP DỤNG VÀ PHÁP LÝ</w:t>
      </w:r>
    </w:p>
    <w:p>
      <w:pPr>
        <w:ind w:firstLine="560"/>
      </w:pPr>
      <w:r>
        <w:t>Hợp đồng này được áp dụng theo Luật Hợp đồng dân sự 2015, Luật Sở hữu trí tuệ 2005, Luật Thương mại 2005, và các quy định pháp luật hiện hành của Việt Nam. Mọi điều khoản trong hợp đồng không trái với pháp luật sẽ có hiệu lực pháp lý. Nếu có mâu thuẫn giữa các điều khoản, điều khoản có lợi cho việc thực hiện hợp đồng và bảo vệ quyền lợi hợp pháp của các Bên sẽ được áp dụng.</w:t>
      </w:r>
    </w:p>
    <w:p>
      <w:pPr>
        <w:spacing w:before="120" w:after="120"/>
      </w:pPr>
      <w:r>
        <w:rPr>
          <w:color w:val="808080"/>
          <w:sz w:val="16"/>
        </w:rPr>
        <w:t>────────────────────────────────────────────────────────────</w:t>
      </w:r>
    </w:p>
    <w:p>
      <w:pPr>
        <w:pStyle w:val="Heading2"/>
        <w:jc w:val="center"/>
      </w:pPr>
      <w:r>
        <w:rPr>
          <w:rFonts w:ascii="Times New Roman" w:hAnsi="Times New Roman"/>
          <w:color w:val="000000"/>
        </w:rPr>
        <w:t>ĐIỀU 20: ĐIỀU KIỆN CHUYỂN NHƯỢNG VÀ CHUYỂN GIAO QUYỀN SỬ DỤNG</w:t>
      </w:r>
    </w:p>
    <w:p>
      <w:pPr>
        <w:pStyle w:val="ListBullet"/>
      </w:pPr>
      <w:r>
        <w:t>Quyền sử dụng, chuyển nhượng, chuyển giao, cấp phép, hoặc cho thuê tài sản trí tuệ được quy định tại Điều 6.2.2 phải được thực hiện theo đúng quy định pháp luật và điều khoản hợp đồng.</w:t>
      </w:r>
    </w:p>
    <w:p>
      <w:pPr>
        <w:pStyle w:val="ListBullet"/>
      </w:pPr>
      <w:r>
        <w:t>Việc chuyển nhượng hoặc chuyển giao quyền sử dụng tài sản trí tuệ phải được thông báo bằng văn bản cho Bên kia và phải được sự đồng ý bằng văn bản của Bên kia, trừ trường hợp được quy định khác trong hợp đồng.</w:t>
      </w:r>
    </w:p>
    <w:p>
      <w:pPr>
        <w:ind w:firstLine="560"/>
      </w:pPr>
      <w:r>
        <w:rPr>
          <w:b/>
        </w:rPr>
        <w:t>Bổ sung: Chuyển nhượng trong 30 ngày sau khi có sự đồng ý, hoặc theo tỷ lệ 50%.</w:t>
      </w:r>
    </w:p>
    <w:p>
      <w:pPr>
        <w:spacing w:before="120" w:after="120"/>
      </w:pPr>
      <w:r>
        <w:rPr>
          <w:color w:val="808080"/>
          <w:sz w:val="16"/>
        </w:rPr>
        <w:t>────────────────────────────────────────────────────────────</w:t>
      </w:r>
    </w:p>
    <w:p>
      <w:pPr>
        <w:pStyle w:val="Heading2"/>
        <w:jc w:val="center"/>
      </w:pPr>
      <w:r>
        <w:rPr>
          <w:rFonts w:ascii="Times New Roman" w:hAnsi="Times New Roman"/>
          <w:color w:val="000000"/>
        </w:rPr>
        <w:t>ĐIỀU 21: ĐIỀU KIỆN GIẢI QUYẾT TRANH CHẤP LIÊN QUAN ĐẾN TÀI SẢN TRÍ TUỆ</w:t>
      </w:r>
    </w:p>
    <w:p>
      <w:pPr>
        <w:pStyle w:val="ListBullet"/>
      </w:pPr>
      <w:r>
        <w:t>Tranh chấp liên quan đến quyền sở hữu, quyền sử dụng, hoặc quyền chuyển nhượng tài sản trí tuệ sẽ được giải quyết theo quy định tại Điều 7 và Điều 6.2.3, và có thể được đưa ra Tòa án có thẩm quyền theo quy định pháp luật.</w:t>
      </w:r>
    </w:p>
    <w:p>
      <w:pPr>
        <w:ind w:firstLine="560"/>
      </w:pPr>
      <w:r>
        <w:rPr>
          <w:b/>
        </w:rPr>
        <w:t>Bổ sung: Tòa án có thẩm quyền theo Điều 35 Bộ luật Tố tụng dân sự 2015.</w:t>
      </w:r>
    </w:p>
    <w:p>
      <w:pPr>
        <w:spacing w:before="120" w:after="120"/>
      </w:pPr>
      <w:r>
        <w:rPr>
          <w:color w:val="808080"/>
          <w:sz w:val="16"/>
        </w:rPr>
        <w:t>────────────────────────────────────────────────────────────</w:t>
      </w:r>
    </w:p>
    <w:p>
      <w:pPr>
        <w:pStyle w:val="Heading2"/>
        <w:jc w:val="center"/>
      </w:pPr>
      <w:r>
        <w:rPr>
          <w:rFonts w:ascii="Times New Roman" w:hAnsi="Times New Roman"/>
          <w:color w:val="000000"/>
        </w:rPr>
        <w:t>ĐIỀU 22: ĐIỀU KIỆN BẢO VỆ QUYỀN LỢI CỦA BÊN THỨ BA</w:t>
      </w:r>
    </w:p>
    <w:p>
      <w:pPr>
        <w:pStyle w:val="ListBullet"/>
      </w:pPr>
      <w:r>
        <w:t>Các Bên cam kết không gây thiệt hại cho quyền lợi của bên thứ ba trong quá trình thực hiện hợp đồng.</w:t>
      </w:r>
    </w:p>
    <w:p>
      <w:pPr>
        <w:pStyle w:val="ListBullet"/>
      </w:pPr>
      <w:r>
        <w:t>Nếu có tranh chấp liên quan đến quyền lợi của bên thứ ba, các Bên có trách nhiệm giải quyết theo quy định pháp luật và chịu trách nhiệm bồi thường nếu vi phạm.</w:t>
      </w:r>
    </w:p>
    <w:p>
      <w:pPr>
        <w:ind w:firstLine="560"/>
      </w:pPr>
      <w:r>
        <w:rPr>
          <w:b/>
        </w:rPr>
        <w:t>Bổ sung: Bồi thường theo quy định pháp luật, hoặc theo mức độ thiệt hại.</w:t>
      </w:r>
    </w:p>
    <w:p>
      <w:pPr>
        <w:spacing w:before="120" w:after="120"/>
      </w:pPr>
      <w:r>
        <w:rPr>
          <w:color w:val="808080"/>
          <w:sz w:val="16"/>
        </w:rPr>
        <w:t>────────────────────────────────────────────────────────────</w:t>
      </w:r>
    </w:p>
    <w:p>
      <w:pPr>
        <w:pStyle w:val="Heading2"/>
        <w:jc w:val="center"/>
      </w:pPr>
      <w:r>
        <w:rPr>
          <w:rFonts w:ascii="Times New Roman" w:hAnsi="Times New Roman"/>
          <w:color w:val="000000"/>
        </w:rPr>
        <w:t>ĐIỀU 23: ĐIỀU KIỆN THAY ĐỔI LUẬT PHÁP</w:t>
      </w:r>
    </w:p>
    <w:p>
      <w:pPr>
        <w:pStyle w:val="ListBullet"/>
      </w:pPr>
      <w:r>
        <w:t>Nếu luật pháp Việt Nam thay đổi trong thời gian hiệu lực của hợp đồng, các Bên có quyền thỏa thuận điều chỉnh hợp đồng phù hợp với luật mới, hoặc chấm dứt hợp đồng nếu điều chỉnh gây ảnh hưởng nghiêm trọng đến quyền lợi của một Bên.</w:t>
      </w:r>
    </w:p>
    <w:p>
      <w:pPr>
        <w:ind w:firstLine="560"/>
      </w:pPr>
      <w:r>
        <w:rPr>
          <w:b/>
        </w:rPr>
        <w:t>Bổ sung: “Ảnh hưởng nghiêm trọng” được xác định là làm thay đổi bản chất hoặc mục đích của hợp đồng.</w:t>
      </w:r>
    </w:p>
    <w:p>
      <w:pPr>
        <w:spacing w:before="120" w:after="120"/>
      </w:pPr>
      <w:r>
        <w:rPr>
          <w:color w:val="808080"/>
          <w:sz w:val="16"/>
        </w:rPr>
        <w:t>────────────────────────────────────────────────────────────</w:t>
      </w:r>
    </w:p>
    <w:p>
      <w:pPr>
        <w:pStyle w:val="Heading2"/>
        <w:jc w:val="center"/>
      </w:pPr>
      <w:r>
        <w:rPr>
          <w:rFonts w:ascii="Times New Roman" w:hAnsi="Times New Roman"/>
          <w:color w:val="000000"/>
        </w:rPr>
        <w:t>ĐIỀU 24: ĐIỀU KIỆN QUYỀN LỢI CỦA NGƯỜI LAO ĐỘNG</w:t>
      </w:r>
    </w:p>
    <w:p>
      <w:pPr>
        <w:pStyle w:val="ListBullet"/>
      </w:pPr>
      <w:r>
        <w:t>Nếu hợp đồng liên quan đến lao động, các Bên cam kết tuân thủ Luật Lao động 2012 và các quy định pháp luật liên quan đến quyền lợi của người lao động.</w:t>
      </w:r>
    </w:p>
    <w:p>
      <w:pPr>
        <w:ind w:firstLine="560"/>
      </w:pPr>
      <w:r>
        <w:rPr>
          <w:b/>
        </w:rPr>
        <w:t>Bổ sung: Cam kết cụ thể về lương, giờ làm việc, bảo hiểm, nghỉ phép, và các quyền lợi khác theo Luật Lao động 2012.</w:t>
      </w:r>
    </w:p>
    <w:p>
      <w:pPr>
        <w:spacing w:before="120" w:after="120"/>
      </w:pPr>
      <w:r>
        <w:rPr>
          <w:color w:val="808080"/>
          <w:sz w:val="16"/>
        </w:rPr>
        <w:t>────────────────────────────────────────────────────────────</w:t>
      </w:r>
    </w:p>
    <w:p>
      <w:pPr>
        <w:pStyle w:val="Heading2"/>
        <w:jc w:val="center"/>
      </w:pPr>
      <w:r>
        <w:rPr>
          <w:rFonts w:ascii="Times New Roman" w:hAnsi="Times New Roman"/>
          <w:color w:val="000000"/>
        </w:rPr>
        <w:t>ĐIỀU 25: ĐIỀU KIỆN QUYỀN LỢI CỦA NGƯỜI TIÊU DÙNG</w:t>
      </w:r>
    </w:p>
    <w:p>
      <w:pPr>
        <w:pStyle w:val="ListBullet"/>
      </w:pPr>
      <w:r>
        <w:t>Nếu hợp đồng liên quan đến người tiêu dùng, các Bên cam kết tuân thủ Luật Bảo vệ người tiêu dùng 2010 và các quy định pháp luật liên quan đến quyền lợi của người tiêu dùng.</w:t>
      </w:r>
    </w:p>
    <w:p>
      <w:pPr>
        <w:ind w:firstLine="560"/>
      </w:pPr>
      <w:r>
        <w:rPr>
          <w:b/>
        </w:rPr>
        <w:t>Bổ sung: Cam kết cụ thể về chất lượng sản phẩm, bảo hành, bảo trì, và các quyền lợi khác theo Luật Bảo vệ người tiêu dùng 2010.</w:t>
      </w:r>
    </w:p>
    <w:p>
      <w:pPr>
        <w:spacing w:before="120" w:after="120"/>
      </w:pPr>
      <w:r>
        <w:rPr>
          <w:color w:val="808080"/>
          <w:sz w:val="16"/>
        </w:rPr>
        <w:t>────────────────────────────────────────────────────────────</w:t>
      </w:r>
    </w:p>
    <w:p>
      <w:pPr>
        <w:pStyle w:val="Heading2"/>
        <w:jc w:val="center"/>
      </w:pPr>
      <w:r>
        <w:rPr>
          <w:rFonts w:ascii="Times New Roman" w:hAnsi="Times New Roman"/>
          <w:color w:val="000000"/>
        </w:rPr>
        <w:t>ĐIỀU 26: ĐIỀU KIỆN QUYỀN LỢI CỦA NHÀ ĐẦU TƯ</w:t>
      </w:r>
    </w:p>
    <w:p>
      <w:pPr>
        <w:pStyle w:val="ListBullet"/>
      </w:pPr>
      <w:r>
        <w:t>Nếu hợp đồng liên quan đến đầu tư, các Bên cam kết tuân thủ Luật Đầu tư 2020 và các quy định pháp luật liên quan đến quyền lợi của nhà đầu tư.</w:t>
      </w:r>
    </w:p>
    <w:p>
      <w:pPr>
        <w:ind w:firstLine="560"/>
      </w:pPr>
      <w:r>
        <w:rPr>
          <w:b/>
        </w:rPr>
        <w:t>Bổ sung: Cam kết cụ thể về điều kiện đầu tư, bảo hộ đầu tư, và các quyền lợi khác theo Luật Đầu tư 2020.</w:t>
      </w:r>
    </w:p>
    <w:p>
      <w:pPr>
        <w:spacing w:before="120" w:after="120"/>
      </w:pPr>
      <w:r>
        <w:rPr>
          <w:color w:val="808080"/>
          <w:sz w:val="16"/>
        </w:rPr>
        <w:t>────────────────────────────────────────────────────────────</w:t>
      </w:r>
    </w:p>
    <w:p>
      <w:pPr>
        <w:pStyle w:val="Heading2"/>
        <w:jc w:val="center"/>
      </w:pPr>
      <w:r>
        <w:rPr>
          <w:rFonts w:ascii="Times New Roman" w:hAnsi="Times New Roman"/>
          <w:color w:val="000000"/>
        </w:rPr>
        <w:t>ĐIỀU 27: ĐIỀU KIỆN QUYỀN LỢI CỦA NHÀ CUNG CẤP</w:t>
      </w:r>
    </w:p>
    <w:p>
      <w:pPr>
        <w:pStyle w:val="ListBullet"/>
      </w:pPr>
      <w:r>
        <w:t>Nếu hợp đồng liên quan đến nhà cung cấp, các Bên cam kết tuân thủ các quy định pháp luật liên quan đến quyền lợi của nhà cung cấp.</w:t>
      </w:r>
    </w:p>
    <w:p>
      <w:pPr>
        <w:ind w:firstLine="560"/>
      </w:pPr>
      <w:r>
        <w:rPr>
          <w:b/>
        </w:rPr>
        <w:t>Bổ sung: Cam kết cụ thể về điều kiện giao hàng, thanh toán, và các quyền lợi khác theo quy định pháp luật.</w:t>
      </w:r>
    </w:p>
    <w:p>
      <w:pPr>
        <w:spacing w:before="120" w:after="120"/>
      </w:pPr>
      <w:r>
        <w:rPr>
          <w:color w:val="808080"/>
          <w:sz w:val="16"/>
        </w:rPr>
        <w:t>────────────────────────────────────────────────────────────</w:t>
      </w:r>
    </w:p>
    <w:p>
      <w:pPr>
        <w:pStyle w:val="Heading2"/>
        <w:jc w:val="center"/>
      </w:pPr>
      <w:r>
        <w:rPr>
          <w:rFonts w:ascii="Times New Roman" w:hAnsi="Times New Roman"/>
          <w:color w:val="000000"/>
        </w:rPr>
        <w:t>ĐIỀU 28: ĐIỀU KIỆN QUYỀN LỢI CỦA NHÀ PHÂN PHỐI</w:t>
      </w:r>
    </w:p>
    <w:p>
      <w:pPr>
        <w:pStyle w:val="ListBullet"/>
      </w:pPr>
      <w:r>
        <w:t>Nếu hợp đồng liên quan đến nhà phân phối, các Bên cam kết tuân thủ các quy định pháp luật liên quan đến quyền lợi của nhà phân phối.</w:t>
      </w:r>
    </w:p>
    <w:p>
      <w:pPr>
        <w:ind w:firstLine="560"/>
      </w:pPr>
      <w:r>
        <w:rPr>
          <w:b/>
        </w:rPr>
        <w:t>Bổ sung: Cam kết cụ thể về điều kiện phân phối, thanh toán, và các quyền lợi khác theo quy định pháp luật.</w:t>
      </w:r>
    </w:p>
    <w:p>
      <w:pPr>
        <w:spacing w:before="120" w:after="120"/>
      </w:pPr>
      <w:r>
        <w:rPr>
          <w:color w:val="808080"/>
          <w:sz w:val="16"/>
        </w:rPr>
        <w:t>────────────────────────────────────────────────────────────</w:t>
      </w:r>
    </w:p>
    <w:p>
      <w:pPr>
        <w:pStyle w:val="Heading2"/>
        <w:jc w:val="center"/>
      </w:pPr>
      <w:r>
        <w:rPr>
          <w:rFonts w:ascii="Times New Roman" w:hAnsi="Times New Roman"/>
          <w:color w:val="000000"/>
        </w:rPr>
        <w:t>ĐIỀU 29: ĐIỀU KIỆN QUYỀN LỢI CỦA NHÀ THẦU</w:t>
      </w:r>
    </w:p>
    <w:p>
      <w:pPr>
        <w:pStyle w:val="ListBullet"/>
      </w:pPr>
      <w:r>
        <w:t>Nếu hợp đồng liên quan đến nhà thầu, các Bên cam kết tuân thủ các quy định pháp luật liên quan đến quyền lợi của nhà thầu.</w:t>
      </w:r>
    </w:p>
    <w:p>
      <w:pPr>
        <w:ind w:firstLine="560"/>
      </w:pPr>
      <w:r>
        <w:rPr>
          <w:b/>
        </w:rPr>
        <w:t>Bổ sung: Cam kết cụ thể về điều kiện thi công, thanh toán, và các quyền lợi khác theo quy định pháp luật.</w:t>
      </w:r>
    </w:p>
    <w:p>
      <w:pPr>
        <w:spacing w:before="120" w:after="120"/>
      </w:pPr>
      <w:r>
        <w:rPr>
          <w:color w:val="808080"/>
          <w:sz w:val="16"/>
        </w:rPr>
        <w:t>────────────────────────────────────────────────────────────</w:t>
      </w:r>
    </w:p>
    <w:p>
      <w:pPr>
        <w:pStyle w:val="Heading2"/>
        <w:jc w:val="center"/>
      </w:pPr>
      <w:r>
        <w:rPr>
          <w:rFonts w:ascii="Times New Roman" w:hAnsi="Times New Roman"/>
          <w:color w:val="000000"/>
        </w:rPr>
        <w:t>ĐIỀU 30: ĐIỀU KIỆN QUYỀN LỢI CỦA NHÀ THẦU PHỤ</w:t>
      </w:r>
    </w:p>
    <w:p>
      <w:pPr>
        <w:pStyle w:val="ListBullet"/>
      </w:pPr>
      <w:r>
        <w:t>Nếu hợp đồng liên quan đến nhà thầu phụ, các Bên cam kết tuân thủ các quy định pháp luật liên quan đến quyền lợi của nhà thầu phụ.</w:t>
      </w:r>
    </w:p>
    <w:p>
      <w:pPr>
        <w:ind w:firstLine="560"/>
      </w:pPr>
      <w:r>
        <w:rPr>
          <w:b/>
        </w:rPr>
        <w:t>Bổ sung: Cam kết cụ thể về điều kiện thi công, thanh toán, và các quyền lợi khác theo quy định pháp luật.</w:t>
      </w:r>
    </w:p>
    <w:p>
      <w:pPr>
        <w:spacing w:before="120" w:after="120"/>
      </w:pPr>
      <w:r>
        <w:rPr>
          <w:color w:val="808080"/>
          <w:sz w:val="16"/>
        </w:rPr>
        <w:t>────────────────────────────────────────────────────────────</w:t>
      </w:r>
    </w:p>
    <w:p>
      <w:pPr>
        <w:pStyle w:val="Heading2"/>
        <w:jc w:val="center"/>
      </w:pPr>
      <w:r>
        <w:rPr>
          <w:rFonts w:ascii="Times New Roman" w:hAnsi="Times New Roman"/>
          <w:color w:val="000000"/>
        </w:rPr>
        <w:t>ĐIỀU 31: ĐIỀU KIỆN QUYỀN LỢI CỦA NHÀ THẦU CHÍNH</w:t>
      </w:r>
    </w:p>
    <w:p>
      <w:pPr>
        <w:pStyle w:val="ListBullet"/>
      </w:pPr>
      <w:r>
        <w:t>Nếu hợp đồng liên quan đến nhà thầu chính, các Bên cam kết tuân thủ các quy định pháp luật liên quan đến quyền lợi của nhà thầu chính.</w:t>
      </w:r>
    </w:p>
    <w:p>
      <w:pPr>
        <w:ind w:firstLine="560"/>
      </w:pPr>
      <w:r>
        <w:rPr>
          <w:b/>
        </w:rPr>
        <w:t>Bổ sung: Cam kết cụ thể về điều kiện thi công, thanh toán, và các quyền lợi khác theo quy định pháp luật.</w:t>
      </w:r>
    </w:p>
    <w:p>
      <w:pPr>
        <w:spacing w:before="120" w:after="120"/>
      </w:pPr>
      <w:r>
        <w:rPr>
          <w:color w:val="808080"/>
          <w:sz w:val="16"/>
        </w:rPr>
        <w:t>────────────────────────────────────────────────────────────</w:t>
      </w:r>
    </w:p>
    <w:p>
      <w:pPr>
        <w:ind w:firstLine="560"/>
      </w:pPr>
      <w:r>
        <w:t xml:space="preserve">&gt; </w:t>
      </w:r>
      <w:r>
        <w:rPr>
          <w:i/>
        </w:rPr>
        <w:t>Lưu ý: Đây là bản hợp đồng đã được cập nhật theo yêu cầu pháp lý và bảo vệ quyền lợi của các Bên. Cần điều chỉnh theo thực tế giao dịch và tư vấn của luật sư trước khi ký kết chính thức.</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