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Merriweather" w:cs="Merriweather" w:eastAsia="Merriweather" w:hAnsi="Merriweather"/>
        </w:rPr>
      </w:pPr>
      <w:r w:rsidDel="00000000" w:rsidR="00000000" w:rsidRPr="00000000">
        <w:rPr>
          <w:rFonts w:ascii="Merriweather" w:cs="Merriweather" w:eastAsia="Merriweather" w:hAnsi="Merriweather"/>
          <w:rtl w:val="0"/>
        </w:rPr>
        <w:t xml:space="preserve">Niềm yêu thích văn hóa Trung Hoa có thể bắt nguồn từ những bộ phim Hoa ngữ đình đám, từ lần đầu nhìn thấy những con chữ đầy nét nghệ thuật, hay từ lần được tham quan khu chợ người Hoa và từ rất nhiều dịp khác nữa. Là nơi tập hợp những người mang niềm yêu thích đó, CLB Văn hóa Trung Hoa luôn mong muốn trở thành cầu nối văn hóa, đem đến nhiều điều thú vị của nước bạn láng giềng đến gần hơn với bạn trẻ, để chúng ta có thể cùng hiểu thêm về văn hóa Trung Hoa.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