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rPr>
      </w:pPr>
      <w:r w:rsidDel="00000000" w:rsidR="00000000" w:rsidRPr="00000000">
        <w:rPr>
          <w:rFonts w:ascii="Open Sans" w:cs="Open Sans" w:eastAsia="Open Sans" w:hAnsi="Open Sans"/>
          <w:rtl w:val="0"/>
        </w:rPr>
        <w:t xml:space="preserve">Nằm giữa “giao lộ” Dự án thuộc trường và Tổ chức thuộc cộng đồng MUN Việt Nam, Tran Dai Nghia Open Model United Nations (TOMUN) ra đời với sứ mệnh đẩy mạnh mô hình Mô phỏng Liên Hợp Quốc ở cộng đồng trường công lập Việt Nam, cũng như tạo ra một sân chơi học thuật nhưng không kém phần dễ tiếp cận cho thanh thiếu niên. Trong ba năm vừa qua, TOMUN đã gặt hái được nhiều thành công nhất định và đã có cho mình một chỗ đứng vững mạnh trong cộng đồng MUN Việt Nam.</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