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DAA" w:rsidRPr="00D54DAA" w:rsidRDefault="00D54DAA" w:rsidP="00D54DAA">
      <w:pPr>
        <w:pStyle w:val="a7"/>
        <w:numPr>
          <w:ilvl w:val="0"/>
          <w:numId w:val="1"/>
        </w:numPr>
        <w:spacing w:before="0" w:beforeAutospacing="0" w:after="0" w:afterAutospacing="0"/>
        <w:rPr>
          <w:rFonts w:ascii="Calibri" w:eastAsiaTheme="minorEastAsia" w:hAnsi="Calibri" w:cs="Calibri"/>
          <w:b/>
          <w:noProof/>
          <w:sz w:val="22"/>
          <w:szCs w:val="22"/>
        </w:rPr>
      </w:pPr>
      <w:r w:rsidRPr="00D54DAA">
        <w:rPr>
          <w:rFonts w:ascii="Calibri" w:eastAsiaTheme="minorEastAsia" w:hAnsi="Calibri" w:cs="Calibri"/>
          <w:b/>
          <w:noProof/>
          <w:sz w:val="22"/>
          <w:szCs w:val="22"/>
        </w:rPr>
        <w:t>Solution: C</w:t>
      </w:r>
    </w:p>
    <w:p w:rsidR="00D54DAA" w:rsidRPr="003B1F90" w:rsidRDefault="00D54DAA" w:rsidP="00D54DAA">
      <w:pPr>
        <w:pStyle w:val="a7"/>
        <w:spacing w:before="0" w:beforeAutospacing="0" w:after="0" w:afterAutospacing="0"/>
        <w:rPr>
          <w:rFonts w:ascii="Calibri" w:eastAsiaTheme="minorEastAsia" w:hAnsi="Calibri" w:cs="Calibri"/>
          <w:noProof/>
          <w:kern w:val="2"/>
          <w:sz w:val="22"/>
          <w:szCs w:val="22"/>
        </w:rPr>
      </w:pPr>
      <w:r w:rsidRPr="003B1F90">
        <w:rPr>
          <w:rFonts w:ascii="Calibri" w:eastAsiaTheme="minorEastAsia" w:hAnsi="Calibri" w:cs="Calibri"/>
          <w:noProof/>
          <w:kern w:val="2"/>
          <w:sz w:val="22"/>
          <w:szCs w:val="22"/>
        </w:rPr>
        <w:t>Standard VII(A)–Conduct as Members and Candidates in the CFA Program prohibits providing information to candidates or the public that is considered confidential to the CFA Program. In revealing that questions related to the analysis of inventories and analysis of taxes were on the exam, Park has violated this standard. Answer B is incorrect because the guidance for the standard explicitly acknowledges that members and candidates are allowed to offer their opinions about the CFA Program. Answer A is incorrect because candidates are not prohibited from using outside resources.</w:t>
      </w:r>
    </w:p>
    <w:p w:rsidR="00862028" w:rsidRDefault="00862028" w:rsidP="00D54DAA"/>
    <w:p w:rsidR="00D54DAA" w:rsidRPr="00D54DAA" w:rsidRDefault="00D54DAA" w:rsidP="00D54DAA">
      <w:pPr>
        <w:pStyle w:val="a7"/>
        <w:numPr>
          <w:ilvl w:val="0"/>
          <w:numId w:val="1"/>
        </w:numPr>
        <w:spacing w:before="0" w:beforeAutospacing="0" w:after="0" w:afterAutospacing="0"/>
        <w:rPr>
          <w:rFonts w:ascii="Calibri" w:eastAsiaTheme="minorEastAsia" w:hAnsi="Calibri" w:cs="Calibri"/>
          <w:b/>
          <w:noProof/>
          <w:sz w:val="22"/>
          <w:szCs w:val="22"/>
        </w:rPr>
      </w:pPr>
      <w:r w:rsidRPr="00D54DAA">
        <w:rPr>
          <w:rFonts w:ascii="Calibri" w:eastAsiaTheme="minorEastAsia" w:hAnsi="Calibri" w:cs="Calibri"/>
          <w:b/>
          <w:noProof/>
          <w:sz w:val="22"/>
          <w:szCs w:val="22"/>
        </w:rPr>
        <w:t>Solution: A</w:t>
      </w:r>
    </w:p>
    <w:p w:rsidR="00D54DAA" w:rsidRDefault="00D54DAA" w:rsidP="00D54DAA">
      <w:pPr>
        <w:pStyle w:val="a7"/>
        <w:spacing w:before="0" w:beforeAutospacing="0" w:after="0" w:afterAutospacing="0"/>
        <w:rPr>
          <w:rFonts w:ascii="Calibri" w:eastAsiaTheme="minorEastAsia" w:hAnsi="Calibri" w:cs="Calibri"/>
          <w:noProof/>
          <w:sz w:val="22"/>
          <w:szCs w:val="22"/>
        </w:rPr>
      </w:pPr>
      <w:r>
        <w:rPr>
          <w:rFonts w:ascii="Calibri" w:eastAsiaTheme="minorEastAsia" w:hAnsi="Calibri" w:cs="Calibri"/>
          <w:noProof/>
          <w:sz w:val="22"/>
          <w:szCs w:val="22"/>
        </w:rPr>
        <w:t>Real Estate is one of the nine sections in the 2010 edition of the GIPS standards. Derivatives and Legal and Ethical Considerations are not sections of the Standards.</w:t>
      </w:r>
    </w:p>
    <w:p w:rsidR="00D54DAA" w:rsidRDefault="00D54DAA" w:rsidP="00D54DAA">
      <w:pPr>
        <w:pStyle w:val="a7"/>
        <w:spacing w:before="0" w:beforeAutospacing="0" w:after="0" w:afterAutospacing="0"/>
        <w:rPr>
          <w:rFonts w:ascii="Calibri" w:eastAsiaTheme="minorEastAsia" w:hAnsi="Calibri" w:cs="Calibri"/>
          <w:noProof/>
          <w:sz w:val="22"/>
          <w:szCs w:val="22"/>
        </w:rPr>
      </w:pPr>
    </w:p>
    <w:p w:rsidR="00D54DAA" w:rsidRPr="00D54DAA" w:rsidRDefault="00D54DAA" w:rsidP="00D54DAA">
      <w:pPr>
        <w:pStyle w:val="a7"/>
        <w:numPr>
          <w:ilvl w:val="0"/>
          <w:numId w:val="1"/>
        </w:numPr>
        <w:spacing w:before="0" w:beforeAutospacing="0" w:after="0" w:afterAutospacing="0"/>
        <w:rPr>
          <w:rFonts w:ascii="Calibri" w:eastAsiaTheme="minorEastAsia" w:hAnsi="Calibri" w:cs="Calibri"/>
          <w:b/>
          <w:noProof/>
          <w:sz w:val="22"/>
          <w:szCs w:val="22"/>
        </w:rPr>
      </w:pPr>
      <w:r w:rsidRPr="00D54DAA">
        <w:rPr>
          <w:rFonts w:ascii="Calibri" w:eastAsiaTheme="minorEastAsia" w:hAnsi="Calibri" w:cs="Calibri"/>
          <w:b/>
          <w:noProof/>
          <w:sz w:val="22"/>
          <w:szCs w:val="22"/>
        </w:rPr>
        <w:t>Solution: C</w:t>
      </w:r>
    </w:p>
    <w:p w:rsidR="00D54DAA" w:rsidRDefault="00D54DAA" w:rsidP="00D54DAA">
      <w:pPr>
        <w:pStyle w:val="a7"/>
        <w:spacing w:before="0" w:beforeAutospacing="0" w:after="0" w:afterAutospacing="0"/>
        <w:rPr>
          <w:rFonts w:ascii="Calibri" w:eastAsiaTheme="minorEastAsia" w:hAnsi="Calibri" w:cs="Calibri"/>
          <w:noProof/>
          <w:sz w:val="22"/>
          <w:szCs w:val="22"/>
        </w:rPr>
      </w:pPr>
      <w:r>
        <w:rPr>
          <w:rFonts w:ascii="Calibri" w:eastAsiaTheme="minorEastAsia" w:hAnsi="Calibri" w:cs="Calibri"/>
          <w:noProof/>
          <w:sz w:val="22"/>
          <w:szCs w:val="22"/>
        </w:rPr>
        <w:t>Firms must meet all the requirements set forth in the GIPS standards and cannot claim partial compliance.</w:t>
      </w:r>
    </w:p>
    <w:p w:rsidR="00D54DAA" w:rsidRDefault="00D54DAA" w:rsidP="00D54DAA">
      <w:pPr>
        <w:pStyle w:val="a7"/>
        <w:spacing w:before="0" w:beforeAutospacing="0" w:after="0" w:afterAutospacing="0"/>
        <w:rPr>
          <w:rFonts w:ascii="Calibri" w:eastAsiaTheme="minorEastAsia" w:hAnsi="Calibri" w:cs="Calibri"/>
          <w:noProof/>
          <w:kern w:val="2"/>
          <w:sz w:val="22"/>
          <w:szCs w:val="22"/>
        </w:rPr>
      </w:pPr>
    </w:p>
    <w:p w:rsidR="00D54DAA" w:rsidRPr="00D54DAA" w:rsidRDefault="00D54DAA" w:rsidP="00D54DAA">
      <w:pPr>
        <w:pStyle w:val="a7"/>
        <w:numPr>
          <w:ilvl w:val="0"/>
          <w:numId w:val="1"/>
        </w:numPr>
        <w:spacing w:before="0" w:beforeAutospacing="0" w:after="0" w:afterAutospacing="0"/>
        <w:rPr>
          <w:rFonts w:ascii="Calibri" w:eastAsiaTheme="minorEastAsia" w:hAnsi="Calibri" w:cs="Calibri"/>
          <w:b/>
          <w:noProof/>
          <w:sz w:val="22"/>
          <w:szCs w:val="22"/>
        </w:rPr>
      </w:pPr>
      <w:r w:rsidRPr="00D54DAA">
        <w:rPr>
          <w:rFonts w:ascii="Calibri" w:eastAsiaTheme="minorEastAsia" w:hAnsi="Calibri" w:cs="Calibri"/>
          <w:b/>
          <w:noProof/>
          <w:sz w:val="22"/>
          <w:szCs w:val="22"/>
        </w:rPr>
        <w:t xml:space="preserve">Solution: C  </w:t>
      </w:r>
    </w:p>
    <w:p w:rsidR="00D54DAA" w:rsidRDefault="00D54DAA" w:rsidP="00D54DAA">
      <w:pPr>
        <w:pStyle w:val="a7"/>
        <w:spacing w:before="0" w:beforeAutospacing="0" w:after="0" w:afterAutospacing="0"/>
        <w:rPr>
          <w:rFonts w:ascii="Calibri" w:eastAsiaTheme="minorEastAsia" w:hAnsi="Calibri" w:cs="Calibri"/>
          <w:noProof/>
          <w:kern w:val="2"/>
          <w:sz w:val="22"/>
          <w:szCs w:val="22"/>
        </w:rPr>
      </w:pPr>
      <w:r w:rsidRPr="00EE13D6">
        <w:rPr>
          <w:rFonts w:ascii="Calibri" w:eastAsiaTheme="minorEastAsia" w:hAnsi="Calibri" w:cs="Calibri"/>
          <w:noProof/>
          <w:kern w:val="2"/>
          <w:sz w:val="22"/>
          <w:szCs w:val="22"/>
        </w:rPr>
        <w:t xml:space="preserve">After a firm presents a minimum of five years of GIPS-compliant performance, the firm must present an additional year of performance each year, building up to a minimum of 10 years </w:t>
      </w:r>
      <w:r>
        <w:rPr>
          <w:rFonts w:ascii="Calibri" w:eastAsiaTheme="minorEastAsia" w:hAnsi="Calibri" w:cs="Calibri"/>
          <w:noProof/>
          <w:kern w:val="2"/>
          <w:sz w:val="22"/>
          <w:szCs w:val="22"/>
        </w:rPr>
        <w:t xml:space="preserve">of GIPS-compliant performance. </w:t>
      </w:r>
    </w:p>
    <w:p w:rsidR="00D54DAA" w:rsidRDefault="00D54DAA" w:rsidP="00D54DAA">
      <w:pPr>
        <w:pStyle w:val="a7"/>
        <w:spacing w:before="0" w:beforeAutospacing="0" w:after="0" w:afterAutospacing="0"/>
        <w:rPr>
          <w:rFonts w:ascii="Calibri" w:eastAsiaTheme="minorEastAsia" w:hAnsi="Calibri" w:cs="Calibri"/>
          <w:noProof/>
          <w:kern w:val="2"/>
          <w:sz w:val="22"/>
          <w:szCs w:val="22"/>
        </w:rPr>
      </w:pPr>
      <w:bookmarkStart w:id="0" w:name="_GoBack"/>
      <w:bookmarkEnd w:id="0"/>
    </w:p>
    <w:p w:rsidR="00D54DAA" w:rsidRPr="00D54DAA" w:rsidRDefault="00D54DAA" w:rsidP="00D54DAA">
      <w:pPr>
        <w:pStyle w:val="a7"/>
        <w:numPr>
          <w:ilvl w:val="0"/>
          <w:numId w:val="1"/>
        </w:numPr>
        <w:spacing w:before="0" w:beforeAutospacing="0" w:after="0" w:afterAutospacing="0"/>
        <w:rPr>
          <w:rFonts w:ascii="Calibri" w:eastAsiaTheme="minorEastAsia" w:hAnsi="Calibri" w:cs="Calibri"/>
          <w:b/>
          <w:noProof/>
          <w:sz w:val="22"/>
          <w:szCs w:val="22"/>
        </w:rPr>
      </w:pPr>
      <w:r w:rsidRPr="00D54DAA">
        <w:rPr>
          <w:rFonts w:ascii="Calibri" w:eastAsiaTheme="minorEastAsia" w:hAnsi="Calibri" w:cs="Calibri"/>
          <w:b/>
          <w:noProof/>
          <w:sz w:val="22"/>
          <w:szCs w:val="22"/>
        </w:rPr>
        <w:t xml:space="preserve">Solution: A  </w:t>
      </w:r>
    </w:p>
    <w:p w:rsidR="00D54DAA" w:rsidRPr="00D12FA8" w:rsidRDefault="00D54DAA" w:rsidP="00D54DAA">
      <w:pPr>
        <w:pStyle w:val="a7"/>
        <w:spacing w:before="0" w:beforeAutospacing="0" w:after="0" w:afterAutospacing="0"/>
        <w:rPr>
          <w:rFonts w:ascii="Calibri" w:eastAsiaTheme="minorEastAsia" w:hAnsi="Calibri" w:cs="Calibri"/>
          <w:noProof/>
          <w:kern w:val="2"/>
          <w:sz w:val="22"/>
          <w:szCs w:val="22"/>
        </w:rPr>
      </w:pPr>
      <w:r w:rsidRPr="00D12FA8">
        <w:rPr>
          <w:rFonts w:ascii="Calibri" w:eastAsiaTheme="minorEastAsia" w:hAnsi="Calibri" w:cs="Calibri"/>
          <w:noProof/>
          <w:kern w:val="2"/>
          <w:sz w:val="22"/>
          <w:szCs w:val="22"/>
        </w:rPr>
        <w:t>A is correct because the Global Investment Performance Standards require that firms be defined as an investment firm, subsidiary, or division held out to clients or prospective clients as a distinct business entity (0.A.12). A multi-national financial services holding company is unlikely to be solely operating as an investment firm, and the scope of the business could also make it more difficult to claim compliance on a firm-wide basis.</w:t>
      </w:r>
    </w:p>
    <w:p w:rsidR="00D54DAA" w:rsidRPr="00D12FA8" w:rsidRDefault="00D54DAA" w:rsidP="00D54DAA">
      <w:pPr>
        <w:pStyle w:val="a7"/>
        <w:spacing w:before="0" w:beforeAutospacing="0" w:after="0" w:afterAutospacing="0"/>
        <w:rPr>
          <w:rFonts w:ascii="Calibri" w:eastAsiaTheme="minorEastAsia" w:hAnsi="Calibri" w:cs="Calibri"/>
          <w:noProof/>
          <w:kern w:val="2"/>
          <w:sz w:val="22"/>
          <w:szCs w:val="22"/>
        </w:rPr>
      </w:pPr>
      <w:r w:rsidRPr="00D12FA8">
        <w:rPr>
          <w:rFonts w:ascii="Calibri" w:eastAsiaTheme="minorEastAsia" w:hAnsi="Calibri" w:cs="Calibri"/>
          <w:noProof/>
          <w:kern w:val="2"/>
          <w:sz w:val="22"/>
          <w:szCs w:val="22"/>
        </w:rPr>
        <w:t>B is incorrect because an investment management division or a regional commercial bank could fit the definition of a firm as defined in 0.A.12.</w:t>
      </w:r>
    </w:p>
    <w:p w:rsidR="00D54DAA" w:rsidRPr="006E388B" w:rsidRDefault="00D54DAA" w:rsidP="00D54DAA">
      <w:pPr>
        <w:pStyle w:val="a7"/>
        <w:spacing w:before="0" w:beforeAutospacing="0" w:after="0" w:afterAutospacing="0"/>
        <w:rPr>
          <w:rFonts w:ascii="Calibri" w:eastAsiaTheme="minorEastAsia" w:hAnsi="Calibri" w:cs="Calibri"/>
          <w:noProof/>
          <w:kern w:val="2"/>
          <w:sz w:val="22"/>
          <w:szCs w:val="22"/>
        </w:rPr>
      </w:pPr>
      <w:r w:rsidRPr="00D12FA8">
        <w:rPr>
          <w:rFonts w:ascii="Calibri" w:eastAsiaTheme="minorEastAsia" w:hAnsi="Calibri" w:cs="Calibri"/>
          <w:noProof/>
          <w:kern w:val="2"/>
          <w:sz w:val="22"/>
          <w:szCs w:val="22"/>
        </w:rPr>
        <w:t>C is incorrect because an investment management division of a regional commercial bank could fit the definition of a firm as defined in 0.A.12.</w:t>
      </w:r>
    </w:p>
    <w:p w:rsidR="00D54DAA" w:rsidRPr="00D54DAA" w:rsidRDefault="00D54DAA" w:rsidP="00D54DAA">
      <w:pPr>
        <w:rPr>
          <w:rFonts w:hint="eastAsia"/>
        </w:rPr>
      </w:pPr>
    </w:p>
    <w:sectPr w:rsidR="00D54DAA" w:rsidRPr="00D54D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52A" w:rsidRDefault="0066152A" w:rsidP="0066152A">
      <w:r>
        <w:separator/>
      </w:r>
    </w:p>
  </w:endnote>
  <w:endnote w:type="continuationSeparator" w:id="0">
    <w:p w:rsidR="0066152A" w:rsidRDefault="0066152A" w:rsidP="00661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52A" w:rsidRDefault="0066152A" w:rsidP="0066152A">
      <w:r>
        <w:separator/>
      </w:r>
    </w:p>
  </w:footnote>
  <w:footnote w:type="continuationSeparator" w:id="0">
    <w:p w:rsidR="0066152A" w:rsidRDefault="0066152A" w:rsidP="006615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70A8A"/>
    <w:multiLevelType w:val="hybridMultilevel"/>
    <w:tmpl w:val="4028AEEA"/>
    <w:lvl w:ilvl="0" w:tplc="0409000F">
      <w:start w:val="1"/>
      <w:numFmt w:val="decimal"/>
      <w:lvlText w:val="%1."/>
      <w:lvlJc w:val="left"/>
      <w:pPr>
        <w:ind w:left="420" w:hanging="420"/>
      </w:pPr>
    </w:lvl>
    <w:lvl w:ilvl="1" w:tplc="73E6DF36">
      <w:start w:val="1"/>
      <w:numFmt w:val="upperLetter"/>
      <w:lvlText w:val="%2."/>
      <w:lvlJc w:val="left"/>
      <w:pPr>
        <w:ind w:left="840" w:hanging="420"/>
      </w:pPr>
      <w:rPr>
        <w:color w:val="auto"/>
        <w:spacing w:val="2"/>
        <w:sz w:val="20"/>
        <w:szCs w:val="20"/>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D08"/>
    <w:rsid w:val="003A374A"/>
    <w:rsid w:val="0056449E"/>
    <w:rsid w:val="0066152A"/>
    <w:rsid w:val="00702D08"/>
    <w:rsid w:val="00862028"/>
    <w:rsid w:val="00915A4C"/>
    <w:rsid w:val="00D14D66"/>
    <w:rsid w:val="00D54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BAA24"/>
  <w15:chartTrackingRefBased/>
  <w15:docId w15:val="{E7F365D8-CA44-4D82-A86A-60FDB0A08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15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152A"/>
    <w:rPr>
      <w:sz w:val="18"/>
      <w:szCs w:val="18"/>
    </w:rPr>
  </w:style>
  <w:style w:type="paragraph" w:styleId="a5">
    <w:name w:val="footer"/>
    <w:basedOn w:val="a"/>
    <w:link w:val="a6"/>
    <w:uiPriority w:val="99"/>
    <w:unhideWhenUsed/>
    <w:rsid w:val="0066152A"/>
    <w:pPr>
      <w:tabs>
        <w:tab w:val="center" w:pos="4153"/>
        <w:tab w:val="right" w:pos="8306"/>
      </w:tabs>
      <w:snapToGrid w:val="0"/>
      <w:jc w:val="left"/>
    </w:pPr>
    <w:rPr>
      <w:sz w:val="18"/>
      <w:szCs w:val="18"/>
    </w:rPr>
  </w:style>
  <w:style w:type="character" w:customStyle="1" w:styleId="a6">
    <w:name w:val="页脚 字符"/>
    <w:basedOn w:val="a0"/>
    <w:link w:val="a5"/>
    <w:uiPriority w:val="99"/>
    <w:rsid w:val="0066152A"/>
    <w:rPr>
      <w:sz w:val="18"/>
      <w:szCs w:val="18"/>
    </w:rPr>
  </w:style>
  <w:style w:type="paragraph" w:styleId="a7">
    <w:name w:val="Normal (Web)"/>
    <w:basedOn w:val="a"/>
    <w:uiPriority w:val="99"/>
    <w:unhideWhenUsed/>
    <w:rsid w:val="0066152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冯建行</dc:creator>
  <cp:keywords/>
  <dc:description/>
  <cp:lastModifiedBy>冯建行</cp:lastModifiedBy>
  <cp:revision>6</cp:revision>
  <dcterms:created xsi:type="dcterms:W3CDTF">2019-09-04T06:48:00Z</dcterms:created>
  <dcterms:modified xsi:type="dcterms:W3CDTF">2019-09-05T03:29:00Z</dcterms:modified>
</cp:coreProperties>
</file>