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EDD" w:rsidRDefault="006850D3" w:rsidP="005D3EDD">
      <w:pPr>
        <w:widowControl/>
        <w:jc w:val="left"/>
        <w:rPr>
          <w:rFonts w:ascii="Calibri" w:hAnsi="Calibri" w:cs="Calibri"/>
          <w:noProof/>
          <w:sz w:val="22"/>
        </w:rPr>
      </w:pPr>
      <w:r>
        <w:rPr>
          <w:rFonts w:ascii="Calibri" w:hAnsi="Calibri" w:cs="Calibri" w:hint="eastAsia"/>
          <w:noProof/>
          <w:sz w:val="22"/>
        </w:rPr>
        <w:t>周五</w:t>
      </w:r>
      <w:r>
        <w:rPr>
          <w:rFonts w:ascii="Calibri" w:hAnsi="Calibri" w:cs="Calibri" w:hint="eastAsia"/>
          <w:noProof/>
          <w:sz w:val="22"/>
        </w:rPr>
        <w:t>/9.6</w:t>
      </w:r>
    </w:p>
    <w:p w:rsidR="00EF6340" w:rsidRDefault="00EF6340" w:rsidP="005D3EDD">
      <w:pPr>
        <w:widowControl/>
        <w:jc w:val="left"/>
        <w:rPr>
          <w:rFonts w:ascii="Calibri" w:hAnsi="Calibri" w:cs="Calibri"/>
          <w:noProof/>
          <w:sz w:val="22"/>
        </w:rPr>
      </w:pPr>
    </w:p>
    <w:p w:rsidR="00EF6340" w:rsidRPr="003B1F90" w:rsidRDefault="00EF6340" w:rsidP="00EF6340">
      <w:pPr>
        <w:pStyle w:val="a7"/>
        <w:numPr>
          <w:ilvl w:val="0"/>
          <w:numId w:val="3"/>
        </w:numPr>
        <w:spacing w:before="0" w:beforeAutospacing="0" w:after="0" w:afterAutospacing="0"/>
        <w:rPr>
          <w:rFonts w:ascii="Calibri" w:eastAsiaTheme="minorEastAsia" w:hAnsi="Calibri" w:cs="Calibri"/>
          <w:noProof/>
          <w:kern w:val="2"/>
          <w:sz w:val="22"/>
          <w:szCs w:val="22"/>
        </w:rPr>
      </w:pPr>
      <w:r w:rsidRPr="003B1F90">
        <w:rPr>
          <w:rFonts w:ascii="Calibri" w:eastAsiaTheme="minorEastAsia" w:hAnsi="Calibri" w:cs="Calibri"/>
          <w:noProof/>
          <w:kern w:val="2"/>
          <w:sz w:val="22"/>
          <w:szCs w:val="22"/>
        </w:rPr>
        <w:t>Park is very frustrated after taking her Level II exam. While she was studying for the exam, to supplement the curriculum provided, she ordered and used study material from a third-party provider. Park believes the additional material focused her attention on specific topic areas that were not tested while ignoring other areas. She posts the following statement on the provider’s discussion board: “I am very dissatisfied with your firm’s CFA Program Level II material. I found the exam extremely difficult and myself unprepared for specific questions after using your product. How could your service provide such limited instructional resources on the analysis of inventories and taxes when the exam had multiple questions about them? I will not recommend your products to other candidates.”</w:t>
      </w:r>
    </w:p>
    <w:p w:rsidR="00EF6340" w:rsidRPr="003B1F90" w:rsidRDefault="00EF6340" w:rsidP="00EF6340">
      <w:pPr>
        <w:pStyle w:val="a7"/>
        <w:numPr>
          <w:ilvl w:val="0"/>
          <w:numId w:val="17"/>
        </w:numPr>
        <w:spacing w:before="0" w:beforeAutospacing="0" w:after="0" w:afterAutospacing="0"/>
        <w:rPr>
          <w:rFonts w:ascii="Calibri" w:eastAsiaTheme="minorEastAsia" w:hAnsi="Calibri" w:cs="Calibri"/>
          <w:noProof/>
          <w:kern w:val="2"/>
          <w:sz w:val="22"/>
          <w:szCs w:val="22"/>
        </w:rPr>
      </w:pPr>
      <w:r w:rsidRPr="003B1F90">
        <w:rPr>
          <w:rFonts w:ascii="Calibri" w:eastAsiaTheme="minorEastAsia" w:hAnsi="Calibri" w:cs="Calibri"/>
          <w:noProof/>
          <w:kern w:val="2"/>
          <w:sz w:val="22"/>
          <w:szCs w:val="22"/>
        </w:rPr>
        <w:t>Park violated the Code and Standards by purchasing third-party review material.</w:t>
      </w:r>
    </w:p>
    <w:p w:rsidR="00EF6340" w:rsidRPr="003B1F90" w:rsidRDefault="00EF6340" w:rsidP="00EF6340">
      <w:pPr>
        <w:pStyle w:val="a7"/>
        <w:numPr>
          <w:ilvl w:val="0"/>
          <w:numId w:val="17"/>
        </w:numPr>
        <w:spacing w:before="0" w:beforeAutospacing="0" w:after="0" w:afterAutospacing="0"/>
        <w:rPr>
          <w:rFonts w:ascii="Calibri" w:eastAsiaTheme="minorEastAsia" w:hAnsi="Calibri" w:cs="Calibri"/>
          <w:noProof/>
          <w:kern w:val="2"/>
          <w:sz w:val="22"/>
          <w:szCs w:val="22"/>
        </w:rPr>
      </w:pPr>
      <w:r w:rsidRPr="003B1F90">
        <w:rPr>
          <w:rFonts w:ascii="Calibri" w:eastAsiaTheme="minorEastAsia" w:hAnsi="Calibri" w:cs="Calibri"/>
          <w:noProof/>
          <w:kern w:val="2"/>
          <w:sz w:val="22"/>
          <w:szCs w:val="22"/>
        </w:rPr>
        <w:t>Park violated the Code and Standards by providing her opinion on the difficulty of the exam.</w:t>
      </w:r>
    </w:p>
    <w:p w:rsidR="00EF6340" w:rsidRDefault="00EF6340" w:rsidP="00EF6340">
      <w:pPr>
        <w:pStyle w:val="a7"/>
        <w:numPr>
          <w:ilvl w:val="0"/>
          <w:numId w:val="17"/>
        </w:numPr>
        <w:spacing w:before="0" w:beforeAutospacing="0" w:after="0" w:afterAutospacing="0"/>
        <w:rPr>
          <w:rFonts w:ascii="Calibri" w:eastAsiaTheme="minorEastAsia" w:hAnsi="Calibri" w:cs="Calibri"/>
          <w:noProof/>
          <w:kern w:val="2"/>
          <w:sz w:val="22"/>
          <w:szCs w:val="22"/>
        </w:rPr>
      </w:pPr>
      <w:r w:rsidRPr="003B1F90">
        <w:rPr>
          <w:rFonts w:ascii="Calibri" w:eastAsiaTheme="minorEastAsia" w:hAnsi="Calibri" w:cs="Calibri"/>
          <w:noProof/>
          <w:kern w:val="2"/>
          <w:sz w:val="22"/>
          <w:szCs w:val="22"/>
        </w:rPr>
        <w:t>Park violated the Code and Standards by providing specific information on topics tested on the exam.</w:t>
      </w:r>
    </w:p>
    <w:p w:rsidR="005D3EDD" w:rsidRDefault="005D3EDD" w:rsidP="005D3EDD">
      <w:pPr>
        <w:widowControl/>
        <w:jc w:val="left"/>
        <w:rPr>
          <w:rFonts w:ascii="Calibri" w:hAnsi="Calibri" w:cs="Calibri"/>
          <w:noProof/>
          <w:sz w:val="22"/>
        </w:rPr>
      </w:pPr>
    </w:p>
    <w:p w:rsidR="00EF6340" w:rsidRPr="00EF6340" w:rsidRDefault="00EF6340" w:rsidP="00EF6340">
      <w:pPr>
        <w:widowControl/>
        <w:numPr>
          <w:ilvl w:val="0"/>
          <w:numId w:val="3"/>
        </w:numPr>
        <w:jc w:val="left"/>
        <w:rPr>
          <w:rFonts w:ascii="Calibri" w:eastAsia="等线" w:hAnsi="Calibri" w:cs="Calibri"/>
          <w:noProof/>
          <w:sz w:val="22"/>
        </w:rPr>
      </w:pPr>
      <w:r w:rsidRPr="00EF6340">
        <w:rPr>
          <w:rFonts w:ascii="Calibri" w:eastAsia="等线" w:hAnsi="Calibri" w:cs="Calibri"/>
          <w:noProof/>
          <w:sz w:val="22"/>
        </w:rPr>
        <w:t>With respect to the Global Investment Performance Standards, which of the following is one of the nine sections containing investment performance provisions?</w:t>
      </w:r>
    </w:p>
    <w:p w:rsidR="00EF6340" w:rsidRPr="00EF6340" w:rsidRDefault="00EF6340" w:rsidP="00EF6340">
      <w:pPr>
        <w:widowControl/>
        <w:numPr>
          <w:ilvl w:val="0"/>
          <w:numId w:val="18"/>
        </w:numPr>
        <w:jc w:val="left"/>
        <w:rPr>
          <w:rFonts w:ascii="Calibri" w:eastAsia="等线" w:hAnsi="Calibri" w:cs="Calibri"/>
          <w:noProof/>
          <w:sz w:val="22"/>
        </w:rPr>
      </w:pPr>
      <w:r w:rsidRPr="00EF6340">
        <w:rPr>
          <w:rFonts w:ascii="Calibri" w:eastAsia="等线" w:hAnsi="Calibri" w:cs="Calibri"/>
          <w:noProof/>
          <w:sz w:val="22"/>
        </w:rPr>
        <w:t>Real Estate.</w:t>
      </w:r>
    </w:p>
    <w:p w:rsidR="00EF6340" w:rsidRPr="00EF6340" w:rsidRDefault="00EF6340" w:rsidP="00EF6340">
      <w:pPr>
        <w:widowControl/>
        <w:numPr>
          <w:ilvl w:val="0"/>
          <w:numId w:val="18"/>
        </w:numPr>
        <w:jc w:val="left"/>
        <w:rPr>
          <w:rFonts w:ascii="Calibri" w:eastAsia="等线" w:hAnsi="Calibri" w:cs="Calibri"/>
          <w:noProof/>
          <w:sz w:val="22"/>
        </w:rPr>
      </w:pPr>
      <w:r w:rsidRPr="00EF6340">
        <w:rPr>
          <w:rFonts w:ascii="Calibri" w:eastAsia="等线" w:hAnsi="Calibri" w:cs="Calibri"/>
          <w:noProof/>
          <w:sz w:val="22"/>
        </w:rPr>
        <w:t>Derivatives.</w:t>
      </w:r>
    </w:p>
    <w:p w:rsidR="00EF6340" w:rsidRPr="00EF6340" w:rsidRDefault="00EF6340" w:rsidP="00EF6340">
      <w:pPr>
        <w:widowControl/>
        <w:numPr>
          <w:ilvl w:val="0"/>
          <w:numId w:val="18"/>
        </w:numPr>
        <w:jc w:val="left"/>
        <w:rPr>
          <w:rFonts w:ascii="Calibri" w:eastAsia="等线" w:hAnsi="Calibri" w:cs="Calibri"/>
          <w:noProof/>
          <w:sz w:val="22"/>
        </w:rPr>
      </w:pPr>
      <w:r w:rsidRPr="00EF6340">
        <w:rPr>
          <w:rFonts w:ascii="Calibri" w:eastAsia="等线" w:hAnsi="Calibri" w:cs="Calibri"/>
          <w:noProof/>
          <w:sz w:val="22"/>
        </w:rPr>
        <w:t>Legal and Ethical Considerations.</w:t>
      </w:r>
    </w:p>
    <w:p w:rsidR="00EF6340" w:rsidRPr="00EF6340" w:rsidRDefault="00EF6340" w:rsidP="00EF6340">
      <w:pPr>
        <w:widowControl/>
        <w:jc w:val="left"/>
        <w:rPr>
          <w:rFonts w:ascii="Calibri" w:eastAsia="等线" w:hAnsi="Calibri" w:cs="Calibri"/>
          <w:noProof/>
          <w:kern w:val="0"/>
          <w:sz w:val="22"/>
        </w:rPr>
      </w:pPr>
    </w:p>
    <w:p w:rsidR="00EF6340" w:rsidRPr="00EF6340" w:rsidRDefault="00EF6340" w:rsidP="00EF6340">
      <w:pPr>
        <w:widowControl/>
        <w:numPr>
          <w:ilvl w:val="0"/>
          <w:numId w:val="3"/>
        </w:numPr>
        <w:jc w:val="left"/>
        <w:rPr>
          <w:rFonts w:ascii="Calibri" w:eastAsia="等线" w:hAnsi="Calibri" w:cs="Calibri"/>
          <w:noProof/>
          <w:sz w:val="22"/>
        </w:rPr>
      </w:pPr>
      <w:r w:rsidRPr="00EF6340">
        <w:rPr>
          <w:rFonts w:ascii="Calibri" w:eastAsia="等线" w:hAnsi="Calibri" w:cs="Calibri"/>
          <w:noProof/>
          <w:sz w:val="22"/>
        </w:rPr>
        <w:t>G&amp;F Advisors claims compliance with the Global Investment Performance Standards (GIPS) in its marketing materials. The compliant presentation includes a footnote which indicates that the firm has been verified by an independent third party. An additional note states that G&amp;F is in compliance with the GIPS standards except for its private equity investments. It is likely that G&amp;F violated the GIPS standards?</w:t>
      </w:r>
    </w:p>
    <w:p w:rsidR="00EF6340" w:rsidRPr="00EF6340" w:rsidRDefault="00EF6340" w:rsidP="00EF6340">
      <w:pPr>
        <w:widowControl/>
        <w:numPr>
          <w:ilvl w:val="0"/>
          <w:numId w:val="19"/>
        </w:numPr>
        <w:jc w:val="left"/>
        <w:rPr>
          <w:rFonts w:ascii="Calibri" w:eastAsia="等线" w:hAnsi="Calibri" w:cs="Calibri"/>
          <w:noProof/>
          <w:sz w:val="22"/>
        </w:rPr>
      </w:pPr>
      <w:r w:rsidRPr="00EF6340">
        <w:rPr>
          <w:rFonts w:ascii="Calibri" w:eastAsia="等线" w:hAnsi="Calibri" w:cs="Calibri"/>
          <w:noProof/>
          <w:sz w:val="22"/>
        </w:rPr>
        <w:t>No, because the footnotes meet the requirements of the Standards.</w:t>
      </w:r>
    </w:p>
    <w:p w:rsidR="00EF6340" w:rsidRPr="00EF6340" w:rsidRDefault="00EF6340" w:rsidP="00EF6340">
      <w:pPr>
        <w:widowControl/>
        <w:numPr>
          <w:ilvl w:val="0"/>
          <w:numId w:val="19"/>
        </w:numPr>
        <w:jc w:val="left"/>
        <w:rPr>
          <w:rFonts w:ascii="Calibri" w:eastAsia="等线" w:hAnsi="Calibri" w:cs="Calibri"/>
          <w:noProof/>
          <w:sz w:val="22"/>
        </w:rPr>
      </w:pPr>
      <w:r w:rsidRPr="00EF6340">
        <w:rPr>
          <w:rFonts w:ascii="Calibri" w:eastAsia="等线" w:hAnsi="Calibri" w:cs="Calibri"/>
          <w:noProof/>
          <w:sz w:val="22"/>
        </w:rPr>
        <w:t>No, because the provisions do not apply to the private equity investments.</w:t>
      </w:r>
    </w:p>
    <w:p w:rsidR="00EF6340" w:rsidRPr="00EF6340" w:rsidRDefault="00EF6340" w:rsidP="00EF6340">
      <w:pPr>
        <w:widowControl/>
        <w:numPr>
          <w:ilvl w:val="0"/>
          <w:numId w:val="19"/>
        </w:numPr>
        <w:jc w:val="left"/>
        <w:rPr>
          <w:rFonts w:ascii="Calibri" w:eastAsia="等线" w:hAnsi="Calibri" w:cs="Calibri"/>
          <w:noProof/>
          <w:sz w:val="22"/>
        </w:rPr>
      </w:pPr>
      <w:r w:rsidRPr="00EF6340">
        <w:rPr>
          <w:rFonts w:ascii="Calibri" w:eastAsia="等线" w:hAnsi="Calibri" w:cs="Calibri"/>
          <w:noProof/>
          <w:sz w:val="22"/>
        </w:rPr>
        <w:t>Yes, because they cannot claim compliance unless all requirements of the Standard are met.</w:t>
      </w:r>
    </w:p>
    <w:p w:rsidR="00EF6340" w:rsidRPr="00EF6340" w:rsidRDefault="00EF6340" w:rsidP="00EF6340">
      <w:pPr>
        <w:widowControl/>
        <w:jc w:val="left"/>
        <w:rPr>
          <w:rFonts w:ascii="Calibri" w:eastAsia="等线" w:hAnsi="Calibri" w:cs="Calibri"/>
          <w:sz w:val="22"/>
        </w:rPr>
      </w:pPr>
    </w:p>
    <w:p w:rsidR="00EF6340" w:rsidRPr="00EF6340" w:rsidRDefault="00EF6340" w:rsidP="00EF6340">
      <w:pPr>
        <w:widowControl/>
        <w:numPr>
          <w:ilvl w:val="0"/>
          <w:numId w:val="3"/>
        </w:numPr>
        <w:jc w:val="left"/>
        <w:rPr>
          <w:rFonts w:ascii="Calibri" w:eastAsia="等线" w:hAnsi="Calibri" w:cs="Calibri"/>
          <w:noProof/>
          <w:sz w:val="22"/>
        </w:rPr>
      </w:pPr>
      <w:r w:rsidRPr="00EF6340">
        <w:rPr>
          <w:rFonts w:ascii="Calibri" w:eastAsia="等线" w:hAnsi="Calibri" w:cs="Calibri"/>
          <w:noProof/>
          <w:sz w:val="22"/>
        </w:rPr>
        <w:t xml:space="preserve">After a firm presents a minimum required number of years of GIPS-compliant performance, the firm must present an additional year of performance each year, building up to a minimum of: </w:t>
      </w:r>
    </w:p>
    <w:p w:rsidR="00EF6340" w:rsidRPr="00EF6340" w:rsidRDefault="00EF6340" w:rsidP="00EF6340">
      <w:pPr>
        <w:widowControl/>
        <w:numPr>
          <w:ilvl w:val="0"/>
          <w:numId w:val="20"/>
        </w:numPr>
        <w:jc w:val="left"/>
        <w:rPr>
          <w:rFonts w:ascii="Calibri" w:eastAsia="等线" w:hAnsi="Calibri" w:cs="Calibri"/>
          <w:noProof/>
          <w:sz w:val="22"/>
        </w:rPr>
      </w:pPr>
      <w:r w:rsidRPr="00EF6340">
        <w:rPr>
          <w:rFonts w:ascii="Calibri" w:eastAsia="等线" w:hAnsi="Calibri" w:cs="Calibri"/>
          <w:noProof/>
          <w:sz w:val="22"/>
        </w:rPr>
        <w:t>5 years of GIPS-compliant performance.</w:t>
      </w:r>
    </w:p>
    <w:p w:rsidR="00EF6340" w:rsidRPr="00EF6340" w:rsidRDefault="00EF6340" w:rsidP="00EF6340">
      <w:pPr>
        <w:widowControl/>
        <w:numPr>
          <w:ilvl w:val="0"/>
          <w:numId w:val="20"/>
        </w:numPr>
        <w:jc w:val="left"/>
        <w:rPr>
          <w:rFonts w:ascii="Calibri" w:eastAsia="等线" w:hAnsi="Calibri" w:cs="Calibri"/>
          <w:noProof/>
          <w:sz w:val="22"/>
        </w:rPr>
      </w:pPr>
      <w:r w:rsidRPr="00EF6340">
        <w:rPr>
          <w:rFonts w:ascii="Calibri" w:eastAsia="等线" w:hAnsi="Calibri" w:cs="Calibri"/>
          <w:noProof/>
          <w:sz w:val="22"/>
        </w:rPr>
        <w:t>15 years of GIPS-compliant performance.</w:t>
      </w:r>
    </w:p>
    <w:p w:rsidR="00EF6340" w:rsidRPr="00EF6340" w:rsidRDefault="00EF6340" w:rsidP="00EF6340">
      <w:pPr>
        <w:widowControl/>
        <w:numPr>
          <w:ilvl w:val="0"/>
          <w:numId w:val="20"/>
        </w:numPr>
        <w:jc w:val="left"/>
        <w:rPr>
          <w:rFonts w:ascii="Calibri" w:eastAsia="等线" w:hAnsi="Calibri" w:cs="Calibri"/>
          <w:noProof/>
          <w:sz w:val="22"/>
        </w:rPr>
      </w:pPr>
      <w:r w:rsidRPr="00EF6340">
        <w:rPr>
          <w:rFonts w:ascii="Calibri" w:eastAsia="等线" w:hAnsi="Calibri" w:cs="Calibri"/>
          <w:noProof/>
          <w:sz w:val="22"/>
        </w:rPr>
        <w:t>10 years of GIPS-compliant performance.</w:t>
      </w:r>
      <w:bookmarkStart w:id="0" w:name="_GoBack"/>
      <w:bookmarkEnd w:id="0"/>
    </w:p>
    <w:p w:rsidR="00EF6340" w:rsidRPr="00EF6340" w:rsidRDefault="00EF6340" w:rsidP="00EF6340">
      <w:pPr>
        <w:widowControl/>
        <w:jc w:val="left"/>
        <w:rPr>
          <w:rFonts w:ascii="Calibri" w:eastAsia="等线" w:hAnsi="Calibri" w:cs="Calibri"/>
          <w:sz w:val="22"/>
        </w:rPr>
      </w:pPr>
    </w:p>
    <w:p w:rsidR="00EF6340" w:rsidRPr="00EF6340" w:rsidRDefault="00EF6340" w:rsidP="00EF6340">
      <w:pPr>
        <w:widowControl/>
        <w:numPr>
          <w:ilvl w:val="0"/>
          <w:numId w:val="3"/>
        </w:numPr>
        <w:jc w:val="left"/>
        <w:rPr>
          <w:rFonts w:ascii="Calibri" w:eastAsia="等线" w:hAnsi="Calibri" w:cs="Calibri"/>
          <w:noProof/>
          <w:sz w:val="22"/>
        </w:rPr>
      </w:pPr>
      <w:r w:rsidRPr="00EF6340">
        <w:rPr>
          <w:rFonts w:ascii="Calibri" w:eastAsia="等线" w:hAnsi="Calibri" w:cs="Calibri"/>
          <w:noProof/>
          <w:sz w:val="22"/>
        </w:rPr>
        <w:t>Which of the following distinct entities can least likely claim compliance with the Global Investment Performance Standards (GIPS)?</w:t>
      </w:r>
    </w:p>
    <w:p w:rsidR="00EF6340" w:rsidRPr="00EF6340" w:rsidRDefault="00EF6340" w:rsidP="00EF6340">
      <w:pPr>
        <w:widowControl/>
        <w:numPr>
          <w:ilvl w:val="0"/>
          <w:numId w:val="21"/>
        </w:numPr>
        <w:jc w:val="left"/>
        <w:rPr>
          <w:rFonts w:ascii="Calibri" w:eastAsia="等线" w:hAnsi="Calibri" w:cs="Calibri"/>
          <w:noProof/>
          <w:sz w:val="22"/>
        </w:rPr>
      </w:pPr>
      <w:r w:rsidRPr="00EF6340">
        <w:rPr>
          <w:rFonts w:ascii="Calibri" w:eastAsia="等线" w:hAnsi="Calibri" w:cs="Calibri"/>
          <w:noProof/>
          <w:sz w:val="22"/>
        </w:rPr>
        <w:t>A multi-national financial services holding company</w:t>
      </w:r>
    </w:p>
    <w:p w:rsidR="00EF6340" w:rsidRPr="00EF6340" w:rsidRDefault="00EF6340" w:rsidP="00EF6340">
      <w:pPr>
        <w:widowControl/>
        <w:numPr>
          <w:ilvl w:val="0"/>
          <w:numId w:val="21"/>
        </w:numPr>
        <w:jc w:val="left"/>
        <w:rPr>
          <w:rFonts w:ascii="Calibri" w:eastAsia="等线" w:hAnsi="Calibri" w:cs="Calibri"/>
          <w:noProof/>
          <w:sz w:val="22"/>
        </w:rPr>
      </w:pPr>
      <w:r w:rsidRPr="00EF6340">
        <w:rPr>
          <w:rFonts w:ascii="Calibri" w:eastAsia="等线" w:hAnsi="Calibri" w:cs="Calibri"/>
          <w:noProof/>
          <w:sz w:val="22"/>
        </w:rPr>
        <w:lastRenderedPageBreak/>
        <w:t>An investment management division of a regional commercial bank</w:t>
      </w:r>
    </w:p>
    <w:p w:rsidR="00EF6340" w:rsidRPr="00EF6340" w:rsidRDefault="00EF6340" w:rsidP="00EF6340">
      <w:pPr>
        <w:widowControl/>
        <w:numPr>
          <w:ilvl w:val="0"/>
          <w:numId w:val="21"/>
        </w:numPr>
        <w:jc w:val="left"/>
        <w:rPr>
          <w:rFonts w:ascii="Calibri" w:eastAsia="等线" w:hAnsi="Calibri" w:cs="Calibri"/>
          <w:noProof/>
          <w:sz w:val="22"/>
        </w:rPr>
      </w:pPr>
      <w:r w:rsidRPr="00EF6340">
        <w:rPr>
          <w:rFonts w:ascii="Calibri" w:eastAsia="等线" w:hAnsi="Calibri" w:cs="Calibri"/>
          <w:noProof/>
          <w:sz w:val="22"/>
        </w:rPr>
        <w:t>A locally incorporated subsidiary undertaking investment management services</w:t>
      </w:r>
    </w:p>
    <w:p w:rsidR="00EF6340" w:rsidRPr="00EF6340" w:rsidRDefault="00EF6340" w:rsidP="005D3EDD">
      <w:pPr>
        <w:widowControl/>
        <w:jc w:val="left"/>
        <w:rPr>
          <w:rFonts w:ascii="Calibri" w:hAnsi="Calibri" w:cs="Calibri" w:hint="eastAsia"/>
          <w:noProof/>
          <w:sz w:val="22"/>
        </w:rPr>
      </w:pPr>
    </w:p>
    <w:sectPr w:rsidR="00EF6340" w:rsidRPr="00EF63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3EDD" w:rsidRDefault="005D3EDD" w:rsidP="005D3EDD">
      <w:r>
        <w:separator/>
      </w:r>
    </w:p>
  </w:endnote>
  <w:endnote w:type="continuationSeparator" w:id="0">
    <w:p w:rsidR="005D3EDD" w:rsidRDefault="005D3EDD" w:rsidP="005D3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Warnock Pro">
    <w:altName w:val="Warnock Pro"/>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3EDD" w:rsidRDefault="005D3EDD" w:rsidP="005D3EDD">
      <w:r>
        <w:separator/>
      </w:r>
    </w:p>
  </w:footnote>
  <w:footnote w:type="continuationSeparator" w:id="0">
    <w:p w:rsidR="005D3EDD" w:rsidRDefault="005D3EDD" w:rsidP="005D3ED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7295"/>
    <w:multiLevelType w:val="hybridMultilevel"/>
    <w:tmpl w:val="338C0D24"/>
    <w:lvl w:ilvl="0" w:tplc="73E6DF36">
      <w:start w:val="1"/>
      <w:numFmt w:val="upperLetter"/>
      <w:lvlText w:val="%1."/>
      <w:lvlJc w:val="left"/>
      <w:pPr>
        <w:ind w:left="840" w:hanging="420"/>
      </w:pPr>
      <w:rPr>
        <w:rFonts w:hint="eastAsia"/>
        <w:snapToGrid/>
        <w:color w:val="auto"/>
        <w:spacing w:val="2"/>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AC534B"/>
    <w:multiLevelType w:val="hybridMultilevel"/>
    <w:tmpl w:val="CB5AC354"/>
    <w:lvl w:ilvl="0" w:tplc="73E6DF36">
      <w:start w:val="1"/>
      <w:numFmt w:val="upperLetter"/>
      <w:lvlText w:val="%1."/>
      <w:lvlJc w:val="left"/>
      <w:pPr>
        <w:ind w:left="840" w:hanging="420"/>
      </w:pPr>
      <w:rPr>
        <w:rFonts w:hint="eastAsia"/>
        <w:snapToGrid/>
        <w:color w:val="auto"/>
        <w:spacing w:val="2"/>
        <w:sz w:val="20"/>
        <w:szCs w:val="2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470351"/>
    <w:multiLevelType w:val="hybridMultilevel"/>
    <w:tmpl w:val="E352549A"/>
    <w:lvl w:ilvl="0" w:tplc="73E6DF36">
      <w:start w:val="1"/>
      <w:numFmt w:val="upperLetter"/>
      <w:lvlText w:val="%1."/>
      <w:lvlJc w:val="left"/>
      <w:pPr>
        <w:ind w:left="840" w:hanging="420"/>
      </w:pPr>
      <w:rPr>
        <w:rFonts w:hint="eastAsia"/>
        <w:snapToGrid/>
        <w:color w:val="auto"/>
        <w:spacing w:val="2"/>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0A0592"/>
    <w:multiLevelType w:val="hybridMultilevel"/>
    <w:tmpl w:val="9FAE8628"/>
    <w:lvl w:ilvl="0" w:tplc="73E6DF36">
      <w:start w:val="1"/>
      <w:numFmt w:val="upperLetter"/>
      <w:lvlText w:val="%1."/>
      <w:lvlJc w:val="left"/>
      <w:pPr>
        <w:ind w:left="840" w:hanging="420"/>
      </w:pPr>
      <w:rPr>
        <w:rFonts w:hint="eastAsia"/>
        <w:snapToGrid/>
        <w:color w:val="auto"/>
        <w:spacing w:val="2"/>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6C6615"/>
    <w:multiLevelType w:val="hybridMultilevel"/>
    <w:tmpl w:val="2CC031D4"/>
    <w:lvl w:ilvl="0" w:tplc="73E6DF36">
      <w:start w:val="1"/>
      <w:numFmt w:val="upperLetter"/>
      <w:lvlText w:val="%1."/>
      <w:lvlJc w:val="left"/>
      <w:pPr>
        <w:ind w:left="840" w:hanging="420"/>
      </w:pPr>
      <w:rPr>
        <w:rFonts w:hint="eastAsia"/>
        <w:snapToGrid/>
        <w:color w:val="auto"/>
        <w:spacing w:val="2"/>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7C1265"/>
    <w:multiLevelType w:val="hybridMultilevel"/>
    <w:tmpl w:val="9B5C930E"/>
    <w:lvl w:ilvl="0" w:tplc="73E6DF36">
      <w:start w:val="1"/>
      <w:numFmt w:val="upperLetter"/>
      <w:lvlText w:val="%1."/>
      <w:lvlJc w:val="left"/>
      <w:pPr>
        <w:ind w:left="840" w:hanging="420"/>
      </w:pPr>
      <w:rPr>
        <w:rFonts w:hint="eastAsia"/>
        <w:snapToGrid/>
        <w:color w:val="auto"/>
        <w:spacing w:val="2"/>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4D10CC"/>
    <w:multiLevelType w:val="hybridMultilevel"/>
    <w:tmpl w:val="CB5AC354"/>
    <w:lvl w:ilvl="0" w:tplc="73E6DF36">
      <w:start w:val="1"/>
      <w:numFmt w:val="upperLetter"/>
      <w:lvlText w:val="%1."/>
      <w:lvlJc w:val="left"/>
      <w:pPr>
        <w:ind w:left="840" w:hanging="420"/>
      </w:pPr>
      <w:rPr>
        <w:rFonts w:hint="eastAsia"/>
        <w:snapToGrid/>
        <w:color w:val="auto"/>
        <w:spacing w:val="2"/>
        <w:sz w:val="20"/>
        <w:szCs w:val="2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795514"/>
    <w:multiLevelType w:val="hybridMultilevel"/>
    <w:tmpl w:val="2CC031D4"/>
    <w:lvl w:ilvl="0" w:tplc="73E6DF36">
      <w:start w:val="1"/>
      <w:numFmt w:val="upperLetter"/>
      <w:lvlText w:val="%1."/>
      <w:lvlJc w:val="left"/>
      <w:pPr>
        <w:ind w:left="840" w:hanging="420"/>
      </w:pPr>
      <w:rPr>
        <w:rFonts w:hint="eastAsia"/>
        <w:snapToGrid/>
        <w:color w:val="auto"/>
        <w:spacing w:val="2"/>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A7373F"/>
    <w:multiLevelType w:val="hybridMultilevel"/>
    <w:tmpl w:val="2CC031D4"/>
    <w:lvl w:ilvl="0" w:tplc="73E6DF36">
      <w:start w:val="1"/>
      <w:numFmt w:val="upperLetter"/>
      <w:lvlText w:val="%1."/>
      <w:lvlJc w:val="left"/>
      <w:pPr>
        <w:ind w:left="840" w:hanging="420"/>
      </w:pPr>
      <w:rPr>
        <w:rFonts w:hint="eastAsia"/>
        <w:snapToGrid/>
        <w:color w:val="auto"/>
        <w:spacing w:val="2"/>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941CBE"/>
    <w:multiLevelType w:val="hybridMultilevel"/>
    <w:tmpl w:val="2CC031D4"/>
    <w:lvl w:ilvl="0" w:tplc="73E6DF36">
      <w:start w:val="1"/>
      <w:numFmt w:val="upperLetter"/>
      <w:lvlText w:val="%1."/>
      <w:lvlJc w:val="left"/>
      <w:pPr>
        <w:ind w:left="840" w:hanging="420"/>
      </w:pPr>
      <w:rPr>
        <w:rFonts w:hint="eastAsia"/>
        <w:snapToGrid/>
        <w:color w:val="auto"/>
        <w:spacing w:val="2"/>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701374"/>
    <w:multiLevelType w:val="hybridMultilevel"/>
    <w:tmpl w:val="2CC031D4"/>
    <w:lvl w:ilvl="0" w:tplc="73E6DF36">
      <w:start w:val="1"/>
      <w:numFmt w:val="upperLetter"/>
      <w:lvlText w:val="%1."/>
      <w:lvlJc w:val="left"/>
      <w:pPr>
        <w:ind w:left="840" w:hanging="420"/>
      </w:pPr>
      <w:rPr>
        <w:rFonts w:hint="eastAsia"/>
        <w:snapToGrid/>
        <w:color w:val="auto"/>
        <w:spacing w:val="2"/>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22571B5"/>
    <w:multiLevelType w:val="hybridMultilevel"/>
    <w:tmpl w:val="2CC031D4"/>
    <w:lvl w:ilvl="0" w:tplc="73E6DF36">
      <w:start w:val="1"/>
      <w:numFmt w:val="upperLetter"/>
      <w:lvlText w:val="%1."/>
      <w:lvlJc w:val="left"/>
      <w:pPr>
        <w:ind w:left="840" w:hanging="420"/>
      </w:pPr>
      <w:rPr>
        <w:rFonts w:hint="eastAsia"/>
        <w:snapToGrid/>
        <w:color w:val="auto"/>
        <w:spacing w:val="2"/>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04A1ECE"/>
    <w:multiLevelType w:val="hybridMultilevel"/>
    <w:tmpl w:val="926CAFA4"/>
    <w:lvl w:ilvl="0" w:tplc="5740A1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41356E8"/>
    <w:multiLevelType w:val="hybridMultilevel"/>
    <w:tmpl w:val="2CC031D4"/>
    <w:lvl w:ilvl="0" w:tplc="73E6DF36">
      <w:start w:val="1"/>
      <w:numFmt w:val="upperLetter"/>
      <w:lvlText w:val="%1."/>
      <w:lvlJc w:val="left"/>
      <w:pPr>
        <w:ind w:left="840" w:hanging="420"/>
      </w:pPr>
      <w:rPr>
        <w:rFonts w:hint="eastAsia"/>
        <w:snapToGrid/>
        <w:color w:val="auto"/>
        <w:spacing w:val="2"/>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4D533D3"/>
    <w:multiLevelType w:val="hybridMultilevel"/>
    <w:tmpl w:val="2CC031D4"/>
    <w:lvl w:ilvl="0" w:tplc="73E6DF36">
      <w:start w:val="1"/>
      <w:numFmt w:val="upperLetter"/>
      <w:lvlText w:val="%1."/>
      <w:lvlJc w:val="left"/>
      <w:pPr>
        <w:ind w:left="840" w:hanging="420"/>
      </w:pPr>
      <w:rPr>
        <w:rFonts w:hint="eastAsia"/>
        <w:snapToGrid/>
        <w:color w:val="auto"/>
        <w:spacing w:val="2"/>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ED30E6F"/>
    <w:multiLevelType w:val="hybridMultilevel"/>
    <w:tmpl w:val="CB5AC354"/>
    <w:lvl w:ilvl="0" w:tplc="73E6DF36">
      <w:start w:val="1"/>
      <w:numFmt w:val="upperLetter"/>
      <w:lvlText w:val="%1."/>
      <w:lvlJc w:val="left"/>
      <w:pPr>
        <w:ind w:left="840" w:hanging="420"/>
      </w:pPr>
      <w:rPr>
        <w:rFonts w:hint="eastAsia"/>
        <w:snapToGrid/>
        <w:color w:val="auto"/>
        <w:spacing w:val="2"/>
        <w:sz w:val="20"/>
        <w:szCs w:val="2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2226EED"/>
    <w:multiLevelType w:val="hybridMultilevel"/>
    <w:tmpl w:val="2CC031D4"/>
    <w:lvl w:ilvl="0" w:tplc="73E6DF36">
      <w:start w:val="1"/>
      <w:numFmt w:val="upperLetter"/>
      <w:lvlText w:val="%1."/>
      <w:lvlJc w:val="left"/>
      <w:pPr>
        <w:ind w:left="840" w:hanging="420"/>
      </w:pPr>
      <w:rPr>
        <w:rFonts w:hint="eastAsia"/>
        <w:snapToGrid/>
        <w:color w:val="auto"/>
        <w:spacing w:val="2"/>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52343FD"/>
    <w:multiLevelType w:val="hybridMultilevel"/>
    <w:tmpl w:val="2CC031D4"/>
    <w:lvl w:ilvl="0" w:tplc="73E6DF36">
      <w:start w:val="1"/>
      <w:numFmt w:val="upperLetter"/>
      <w:lvlText w:val="%1."/>
      <w:lvlJc w:val="left"/>
      <w:pPr>
        <w:ind w:left="840" w:hanging="420"/>
      </w:pPr>
      <w:rPr>
        <w:rFonts w:hint="eastAsia"/>
        <w:snapToGrid/>
        <w:color w:val="auto"/>
        <w:spacing w:val="2"/>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BBF5A8D"/>
    <w:multiLevelType w:val="hybridMultilevel"/>
    <w:tmpl w:val="2CC031D4"/>
    <w:lvl w:ilvl="0" w:tplc="73E6DF36">
      <w:start w:val="1"/>
      <w:numFmt w:val="upperLetter"/>
      <w:lvlText w:val="%1."/>
      <w:lvlJc w:val="left"/>
      <w:pPr>
        <w:ind w:left="840" w:hanging="420"/>
      </w:pPr>
      <w:rPr>
        <w:rFonts w:hint="eastAsia"/>
        <w:snapToGrid/>
        <w:color w:val="auto"/>
        <w:spacing w:val="2"/>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E3E7D61"/>
    <w:multiLevelType w:val="hybridMultilevel"/>
    <w:tmpl w:val="CB5AC354"/>
    <w:lvl w:ilvl="0" w:tplc="73E6DF36">
      <w:start w:val="1"/>
      <w:numFmt w:val="upperLetter"/>
      <w:lvlText w:val="%1."/>
      <w:lvlJc w:val="left"/>
      <w:pPr>
        <w:ind w:left="840" w:hanging="420"/>
      </w:pPr>
      <w:rPr>
        <w:rFonts w:hint="eastAsia"/>
        <w:snapToGrid/>
        <w:color w:val="auto"/>
        <w:spacing w:val="2"/>
        <w:sz w:val="20"/>
        <w:szCs w:val="2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2545A72"/>
    <w:multiLevelType w:val="hybridMultilevel"/>
    <w:tmpl w:val="2CC031D4"/>
    <w:lvl w:ilvl="0" w:tplc="73E6DF36">
      <w:start w:val="1"/>
      <w:numFmt w:val="upperLetter"/>
      <w:lvlText w:val="%1."/>
      <w:lvlJc w:val="left"/>
      <w:pPr>
        <w:ind w:left="840" w:hanging="420"/>
      </w:pPr>
      <w:rPr>
        <w:rFonts w:hint="eastAsia"/>
        <w:snapToGrid/>
        <w:color w:val="auto"/>
        <w:spacing w:val="2"/>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8"/>
  </w:num>
  <w:num w:numId="3">
    <w:abstractNumId w:val="12"/>
  </w:num>
  <w:num w:numId="4">
    <w:abstractNumId w:val="13"/>
  </w:num>
  <w:num w:numId="5">
    <w:abstractNumId w:val="20"/>
  </w:num>
  <w:num w:numId="6">
    <w:abstractNumId w:val="7"/>
  </w:num>
  <w:num w:numId="7">
    <w:abstractNumId w:val="10"/>
  </w:num>
  <w:num w:numId="8">
    <w:abstractNumId w:val="8"/>
  </w:num>
  <w:num w:numId="9">
    <w:abstractNumId w:val="9"/>
  </w:num>
  <w:num w:numId="10">
    <w:abstractNumId w:val="16"/>
  </w:num>
  <w:num w:numId="11">
    <w:abstractNumId w:val="14"/>
  </w:num>
  <w:num w:numId="12">
    <w:abstractNumId w:val="4"/>
  </w:num>
  <w:num w:numId="13">
    <w:abstractNumId w:val="11"/>
  </w:num>
  <w:num w:numId="14">
    <w:abstractNumId w:val="5"/>
  </w:num>
  <w:num w:numId="15">
    <w:abstractNumId w:val="2"/>
  </w:num>
  <w:num w:numId="16">
    <w:abstractNumId w:val="0"/>
  </w:num>
  <w:num w:numId="17">
    <w:abstractNumId w:val="3"/>
  </w:num>
  <w:num w:numId="18">
    <w:abstractNumId w:val="1"/>
  </w:num>
  <w:num w:numId="19">
    <w:abstractNumId w:val="15"/>
  </w:num>
  <w:num w:numId="20">
    <w:abstractNumId w:val="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8B2"/>
    <w:rsid w:val="002678B2"/>
    <w:rsid w:val="005D3EDD"/>
    <w:rsid w:val="006850D3"/>
    <w:rsid w:val="00713006"/>
    <w:rsid w:val="00915A4C"/>
    <w:rsid w:val="00E4250E"/>
    <w:rsid w:val="00EF6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07705"/>
  <w15:chartTrackingRefBased/>
  <w15:docId w15:val="{897CA586-0EE4-4673-B78F-D0FCCA7FB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3E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3EDD"/>
    <w:rPr>
      <w:sz w:val="18"/>
      <w:szCs w:val="18"/>
    </w:rPr>
  </w:style>
  <w:style w:type="paragraph" w:styleId="a5">
    <w:name w:val="footer"/>
    <w:basedOn w:val="a"/>
    <w:link w:val="a6"/>
    <w:uiPriority w:val="99"/>
    <w:unhideWhenUsed/>
    <w:rsid w:val="005D3EDD"/>
    <w:pPr>
      <w:tabs>
        <w:tab w:val="center" w:pos="4153"/>
        <w:tab w:val="right" w:pos="8306"/>
      </w:tabs>
      <w:snapToGrid w:val="0"/>
      <w:jc w:val="left"/>
    </w:pPr>
    <w:rPr>
      <w:sz w:val="18"/>
      <w:szCs w:val="18"/>
    </w:rPr>
  </w:style>
  <w:style w:type="character" w:customStyle="1" w:styleId="a6">
    <w:name w:val="页脚 字符"/>
    <w:basedOn w:val="a0"/>
    <w:link w:val="a5"/>
    <w:uiPriority w:val="99"/>
    <w:rsid w:val="005D3EDD"/>
    <w:rPr>
      <w:sz w:val="18"/>
      <w:szCs w:val="18"/>
    </w:rPr>
  </w:style>
  <w:style w:type="paragraph" w:styleId="a7">
    <w:name w:val="Normal (Web)"/>
    <w:basedOn w:val="a"/>
    <w:uiPriority w:val="99"/>
    <w:unhideWhenUsed/>
    <w:rsid w:val="005D3EDD"/>
    <w:pPr>
      <w:widowControl/>
      <w:spacing w:before="100" w:beforeAutospacing="1" w:after="100" w:afterAutospacing="1"/>
      <w:jc w:val="left"/>
    </w:pPr>
    <w:rPr>
      <w:rFonts w:ascii="宋体" w:eastAsia="宋体" w:hAnsi="宋体" w:cs="宋体"/>
      <w:kern w:val="0"/>
      <w:sz w:val="24"/>
      <w:szCs w:val="24"/>
    </w:rPr>
  </w:style>
  <w:style w:type="paragraph" w:customStyle="1" w:styleId="Default">
    <w:name w:val="Default"/>
    <w:rsid w:val="00E4250E"/>
    <w:pPr>
      <w:widowControl w:val="0"/>
      <w:autoSpaceDE w:val="0"/>
      <w:autoSpaceDN w:val="0"/>
      <w:adjustRightInd w:val="0"/>
    </w:pPr>
    <w:rPr>
      <w:rFonts w:ascii="Warnock Pro" w:eastAsia="Warnock Pro" w:cs="Warnock Pro"/>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冯建行</dc:creator>
  <cp:keywords/>
  <dc:description/>
  <cp:lastModifiedBy>冯建行</cp:lastModifiedBy>
  <cp:revision>5</cp:revision>
  <dcterms:created xsi:type="dcterms:W3CDTF">2019-09-04T06:47:00Z</dcterms:created>
  <dcterms:modified xsi:type="dcterms:W3CDTF">2019-09-05T03:29:00Z</dcterms:modified>
</cp:coreProperties>
</file>