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0B1D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40" w:lineRule="exact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</w:rPr>
        <w:t>鲍叔团队｜五色一体化</w:t>
      </w: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  <w:lang w:val="en-US" w:eastAsia="zh-CN"/>
        </w:rPr>
        <w:t>追货款案件动作</w:t>
      </w: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36"/>
        </w:rPr>
        <w:t>体系</w:t>
      </w:r>
    </w:p>
    <w:p w14:paraId="3A69769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exact"/>
        <w:textAlignment w:val="auto"/>
        <w:rPr>
          <w:color w:val="FFFF00"/>
          <w:sz w:val="28"/>
          <w:szCs w:val="28"/>
          <w:highlight w:val="none"/>
          <w14:textFill>
            <w14:gradFill>
              <w14:gsLst>
                <w14:gs w14:pos="25000">
                  <w14:srgbClr w14:val="FFD83A"/>
                </w14:gs>
                <w14:gs w14:pos="75000">
                  <w14:srgbClr w14:val="FFFD6D"/>
                </w14:gs>
                <w14:gs w14:pos="0">
                  <w14:srgbClr w14:val="F8C334"/>
                </w14:gs>
                <w14:gs w14:pos="100000">
                  <w14:srgbClr w14:val="FFFEB8"/>
                </w14:gs>
              </w14:gsLst>
              <w14:lin w14:ang="18900000" w14:scaled="1"/>
            </w14:gradFill>
          </w14:textFill>
        </w:rPr>
      </w:pPr>
      <w:r>
        <w:rPr>
          <w:rFonts w:hint="eastAsia" w:eastAsia="宋体"/>
          <w:sz w:val="28"/>
          <w:szCs w:val="28"/>
          <w:lang w:val="en-US" w:eastAsia="zh-CN"/>
          <w14:textFill>
            <w14:gradFill>
              <w14:gsLst>
                <w14:gs w14:pos="25000">
                  <w14:srgbClr w14:val="FFD83A"/>
                </w14:gs>
                <w14:gs w14:pos="75000">
                  <w14:srgbClr w14:val="FFFD6D"/>
                </w14:gs>
                <w14:gs w14:pos="0">
                  <w14:srgbClr w14:val="F8C334"/>
                </w14:gs>
                <w14:gs w14:pos="100000">
                  <w14:srgbClr w14:val="FFFEB8"/>
                </w14:gs>
              </w14:gsLst>
              <w14:lin w14:ang="18900000" w14:scaled="1"/>
            </w14:gradFill>
          </w14:textFill>
        </w:rPr>
        <w:t>1、</w:t>
      </w:r>
      <w:r>
        <w:rPr>
          <w:sz w:val="28"/>
          <w:szCs w:val="28"/>
          <w14:textFill>
            <w14:gradFill>
              <w14:gsLst>
                <w14:gs w14:pos="25000">
                  <w14:srgbClr w14:val="FFD83A"/>
                </w14:gs>
                <w14:gs w14:pos="75000">
                  <w14:srgbClr w14:val="FFFD6D"/>
                </w14:gs>
                <w14:gs w14:pos="0">
                  <w14:srgbClr w14:val="F8C334"/>
                </w14:gs>
                <w14:gs w14:pos="100000">
                  <w14:srgbClr w14:val="FFFEB8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color w:val="FFFF00"/>
          <w:sz w:val="28"/>
          <w:szCs w:val="28"/>
          <w:highlight w:val="none"/>
          <w14:textFill>
            <w14:gradFill>
              <w14:gsLst>
                <w14:gs w14:pos="25000">
                  <w14:srgbClr w14:val="FFD83A"/>
                </w14:gs>
                <w14:gs w14:pos="75000">
                  <w14:srgbClr w14:val="FFFD6D"/>
                </w14:gs>
                <w14:gs w14:pos="0">
                  <w14:srgbClr w14:val="F8C334"/>
                </w14:gs>
                <w14:gs w14:pos="100000">
                  <w14:srgbClr w14:val="FFFEB8"/>
                </w14:gs>
              </w14:gsLst>
              <w14:lin w14:ang="18900000" w14:scaled="1"/>
            </w14:gradFill>
          </w14:textFill>
        </w:rPr>
        <w:t>流量体系（黄色）</w:t>
      </w:r>
    </w:p>
    <w:p w14:paraId="2E105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定位：外部流量获取 + 老客裂变 + 私域复购的统一体系。</w:t>
      </w:r>
    </w:p>
    <w:p w14:paraId="2462D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一、外部主动流量：视频号、抖音、公众号、官网、渠道合作、展会、工厂园区走访。</w:t>
      </w:r>
    </w:p>
    <w:p w14:paraId="0B455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二、内部裂变流量：老客户推荐体系、裂变海报、案例裂变、社群裂变、NPS好评引流。</w:t>
      </w:r>
    </w:p>
    <w:p w14:paraId="6162C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ind w:right="-220" w:rightChars="-100"/>
        <w:textAlignment w:val="auto"/>
        <w:rPr>
          <w:sz w:val="24"/>
          <w:szCs w:val="24"/>
        </w:rPr>
      </w:pPr>
      <w:r>
        <w:rPr>
          <w:sz w:val="24"/>
          <w:szCs w:val="24"/>
        </w:rPr>
        <w:t>三、私域复购体系：老客户群运营、季度直播、案例复盘活动、小额诉讼陪跑、顾问续费体系。</w:t>
      </w:r>
    </w:p>
    <w:p w14:paraId="52305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四、流量SOP：内容节奏表、线索登记表、A/B/C级分级流转。</w:t>
      </w:r>
    </w:p>
    <w:p w14:paraId="2EF1E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五、核心目标：每月稳定新增线索 ≥ 60；老客裂变贡献 ≥ 25%。</w:t>
      </w:r>
    </w:p>
    <w:p w14:paraId="04EB59E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5" w:after="85" w:line="240" w:lineRule="exact"/>
        <w:textAlignment w:val="auto"/>
        <w:rPr>
          <w:color w:val="E46C0A" w:themeColor="accent6" w:themeShade="BF"/>
          <w:sz w:val="28"/>
          <w:szCs w:val="28"/>
        </w:rPr>
      </w:pPr>
      <w:r>
        <w:rPr>
          <w:rFonts w:hint="eastAsia" w:eastAsia="宋体"/>
          <w:color w:val="E46C0A" w:themeColor="accent6" w:themeShade="BF"/>
          <w:sz w:val="28"/>
          <w:szCs w:val="28"/>
          <w:lang w:val="en-US" w:eastAsia="zh-CN"/>
        </w:rPr>
        <w:t>2、</w:t>
      </w:r>
      <w:r>
        <w:rPr>
          <w:color w:val="E46C0A" w:themeColor="accent6" w:themeShade="BF"/>
          <w:sz w:val="28"/>
          <w:szCs w:val="28"/>
        </w:rPr>
        <w:t xml:space="preserve"> 成交体系（橙红色）</w:t>
      </w:r>
    </w:p>
    <w:p w14:paraId="16417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定位：从线索到签约的闭环转化体系。</w:t>
      </w:r>
    </w:p>
    <w:p w14:paraId="78E2C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一、客资筛选：10问结构化提问、A/B/C分级、证据完整度评估。</w:t>
      </w:r>
    </w:p>
    <w:p w14:paraId="7BEA7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二、邀约管理：48小时内预约到访；线上/线下双模式。</w:t>
      </w:r>
    </w:p>
    <w:p w14:paraId="1E794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三、面谈体系：五步面谈（定位-事实-风险-打法-决策）。</w:t>
      </w:r>
    </w:p>
    <w:p w14:paraId="5C70F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四、报价体系：入门（非诉）/标准（诉讼+保全）/旗舰（全流程+执行）。</w:t>
      </w:r>
    </w:p>
    <w:p w14:paraId="2283C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五、签约体系：《一页决策卡》《项目启动包》《收款确认表》。</w:t>
      </w:r>
    </w:p>
    <w:p w14:paraId="1C2BC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六、核心目标：预约到谈率 ≥ 70%；签卡率 ≥ 60%。</w:t>
      </w:r>
    </w:p>
    <w:p w14:paraId="4E26AAD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exact"/>
        <w:textAlignment w:val="auto"/>
        <w:rPr>
          <w:sz w:val="28"/>
          <w:szCs w:val="28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 w:eastAsia="宋体"/>
          <w:sz w:val="28"/>
          <w:szCs w:val="28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3、</w:t>
      </w:r>
      <w:r>
        <w:rPr>
          <w:sz w:val="28"/>
          <w:szCs w:val="28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办案体系（蓝色）</w:t>
      </w:r>
    </w:p>
    <w:p w14:paraId="496ED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定位：非诉、诉讼、执行全流程交付体系。</w:t>
      </w:r>
    </w:p>
    <w:p w14:paraId="6C26D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一、非诉交付：证据补强、对账函、催告函、体检报告。</w:t>
      </w:r>
    </w:p>
    <w:p w14:paraId="6B8D7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二、诉讼流程：立案、保全、开庭、调解，每个节点配里程碑回执。</w:t>
      </w:r>
    </w:p>
    <w:p w14:paraId="2D587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三、执行流程：查控矩阵（不动产、车辆、股权、社保、公积金、对公账户、微信支付等）。</w:t>
      </w:r>
    </w:p>
    <w:p w14:paraId="07E55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四、和解体系：时间表+分期担保+承诺书+复议机制。</w:t>
      </w:r>
    </w:p>
    <w:p w14:paraId="5E7FE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五、质控体系：四道关（证据、时效、文书、节点）。</w:t>
      </w:r>
    </w:p>
    <w:p w14:paraId="5513D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7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六、核心目标：立案资料齐套率 ≥ 90%；执行查控命中率 ≥ 50%。</w:t>
      </w:r>
    </w:p>
    <w:p w14:paraId="6E72565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exact"/>
        <w:textAlignment w:val="auto"/>
        <w:rPr>
          <w:color w:val="00B050"/>
          <w:sz w:val="28"/>
          <w:szCs w:val="28"/>
        </w:rPr>
      </w:pPr>
      <w:r>
        <w:rPr>
          <w:rFonts w:hint="eastAsia" w:eastAsia="宋体"/>
          <w:color w:val="00B050"/>
          <w:sz w:val="28"/>
          <w:szCs w:val="28"/>
          <w:lang w:val="en-US" w:eastAsia="zh-CN"/>
        </w:rPr>
        <w:t>4、</w:t>
      </w:r>
      <w:r>
        <w:rPr>
          <w:color w:val="00B050"/>
          <w:sz w:val="28"/>
          <w:szCs w:val="28"/>
        </w:rPr>
        <w:t xml:space="preserve"> 法律产品体系（绿色）</w:t>
      </w:r>
    </w:p>
    <w:p w14:paraId="73F01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定位：把经验产品化、标准化、可交付。</w:t>
      </w:r>
    </w:p>
    <w:p w14:paraId="5A195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一、非诉三件套：体检报告、催告函、对账函。</w:t>
      </w:r>
    </w:p>
    <w:p w14:paraId="01E9B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二、小额诉讼陪跑：适用于 5000-30000 元案件的低成本产品。</w:t>
      </w:r>
    </w:p>
    <w:p w14:paraId="5552B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三、工厂避坑指南与视频课程：老客户维权教育资产。</w:t>
      </w:r>
    </w:p>
    <w:p w14:paraId="05E2D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四、文书模板库：诉状、保全、执行文书的统一模板。</w:t>
      </w:r>
    </w:p>
    <w:p w14:paraId="66348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五、工具包体系：案件流程卡、证据清单、时效计算表。</w:t>
      </w:r>
    </w:p>
    <w:p w14:paraId="7907E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六、核心目标：每季度新增 1 个法律产品；产品复购率 ≥ 25%。</w:t>
      </w:r>
    </w:p>
    <w:p w14:paraId="3C5038B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exact"/>
        <w:textAlignment w:val="auto"/>
        <w:rPr>
          <w:sz w:val="28"/>
          <w:szCs w:val="28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eastAsia="宋体"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5、</w:t>
      </w:r>
      <w:r>
        <w:rPr>
          <w:sz w:val="28"/>
          <w:szCs w:val="28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运营体系（紫色）</w:t>
      </w:r>
    </w:p>
    <w:p w14:paraId="35ABF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ind w:right="-550" w:rightChars="-250"/>
        <w:textAlignment w:val="auto"/>
        <w:rPr>
          <w:sz w:val="24"/>
          <w:szCs w:val="24"/>
        </w:rPr>
      </w:pPr>
      <w:r>
        <w:rPr>
          <w:sz w:val="24"/>
          <w:szCs w:val="24"/>
        </w:rPr>
        <w:t>定位：组织管理 + 案件管理 + 品牌建设 + AI知识库 + 所中所运营的统一系统（不体现在名称上）。</w:t>
      </w:r>
    </w:p>
    <w:p w14:paraId="16BB6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一、团队岗位体系：主理人、律师、办案助理、法本助理、运营。</w:t>
      </w:r>
    </w:p>
    <w:p w14:paraId="13FA5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二、案件管理体系：CRM看板、节点管理、周报、月报、漏斗复盘。</w:t>
      </w:r>
    </w:p>
    <w:p w14:paraId="34308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ind w:right="-440" w:rightChars="-200"/>
        <w:textAlignment w:val="auto"/>
        <w:rPr>
          <w:sz w:val="24"/>
          <w:szCs w:val="24"/>
        </w:rPr>
      </w:pPr>
      <w:r>
        <w:rPr>
          <w:sz w:val="24"/>
          <w:szCs w:val="24"/>
        </w:rPr>
        <w:t>三、品牌建设（内部含义，不在名称体现）：Slogan、案例库、成果展示、统一视觉与内容体系。</w:t>
      </w:r>
    </w:p>
    <w:p w14:paraId="48F90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四、AI知识库体系：话术库、模板库、案例库、流程库，支持团队快速上手。</w:t>
      </w:r>
    </w:p>
    <w:p w14:paraId="5F009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五、所中所运营模式：周三复盘、周五周报、SOP迭代、流程优化、组织节奏管理。</w:t>
      </w:r>
    </w:p>
    <w:p w14:paraId="33489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2" w:line="2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六、核心目标：流程合规率 ≥ 95%；知识库更新 ≥ 每月 2 次。</w:t>
      </w:r>
    </w:p>
    <w:sectPr>
      <w:pgSz w:w="12240" w:h="15840"/>
      <w:pgMar w:top="850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4A0BC6"/>
    <w:rsid w:val="37797999"/>
    <w:rsid w:val="3EA2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1040</Words>
  <Characters>1089</Characters>
  <Lines>0</Lines>
  <Paragraphs>0</Paragraphs>
  <TotalTime>155</TotalTime>
  <ScaleCrop>false</ScaleCrop>
  <LinksUpToDate>false</LinksUpToDate>
  <CharactersWithSpaces>1129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鲍民 13925359650</cp:lastModifiedBy>
  <cp:lastPrinted>2025-11-15T07:01:00Z</cp:lastPrinted>
  <dcterms:modified xsi:type="dcterms:W3CDTF">2025-11-30T05:42:04Z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eyJoZGlkIjoiOTUwY2U2YTA4YjVhYzFmOGEwNjc4MGVkMjBhNTMzNzciLCJ1c2VySWQiOiI0MzE2NzkwNzgifQ==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6784986493B944E9B0B4847506282410_13</vt:lpwstr>
  </property>
</Properties>
</file>