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types</w:t>
      </w:r>
    </w:p>
    <w:p>
      <w:r>
        <w:t>The data covers a wide range of Vietnamese small businesses: grocery stores, coffee and bubble-tea shops, restaurants, pharmacies, building-material stores, motorbike repair shops, mother-and-baby stores, and more. The private test includes business types that do not appear in the training or public test data.</w:t>
      </w:r>
    </w:p>
    <w:p>
      <w:r>
        <w:t>Each business covers 12–30 months of activity with seasonality (Tết, Mid-Autumn, public holidays, paydays, weekends) and ranges from a few hundred to about 300,000 rows.</w:t>
      </w:r>
    </w:p>
    <w:p>
      <w:pPr>
        <w:pStyle w:val="Heading1"/>
        <w:keepNext/>
      </w:pPr>
      <w:r>
        <w:t>Package structure</w:t>
      </w:r>
    </w:p>
    <w:p>
      <w:pPr>
        <w:spacing w:after="60" w:line="245" w:lineRule="auto"/>
        <w:ind w:left="216"/>
      </w:pPr>
      <w:r>
        <w:rPr>
          <w:rFonts w:ascii="Times New Roman" w:hAnsi="Times New Roman"/>
          <w:sz w:val="20"/>
        </w:rPr>
        <w:t>&lt;split&gt;/</w:t>
      </w:r>
    </w:p>
    <w:p>
      <w:pPr>
        <w:spacing w:after="60" w:line="245" w:lineRule="auto"/>
        <w:ind w:left="216"/>
      </w:pPr>
      <w:r>
        <w:rPr>
          <w:rFonts w:ascii="Times New Roman" w:hAnsi="Times New Roman"/>
          <w:sz w:val="20"/>
        </w:rPr>
        <w:t>├── data/&lt;business_id&gt;/</w:t>
      </w:r>
    </w:p>
    <w:p>
      <w:pPr>
        <w:spacing w:after="60" w:line="245" w:lineRule="auto"/>
        <w:ind w:left="216"/>
      </w:pPr>
      <w:r>
        <w:rPr>
          <w:rFonts w:ascii="Times New Roman" w:hAnsi="Times New Roman"/>
          <w:sz w:val="20"/>
        </w:rPr>
        <w:t>│   ├── *.csv | *.xlsx | *.sqlite     # one or more data files</w:t>
      </w:r>
    </w:p>
    <w:p>
      <w:pPr>
        <w:spacing w:after="60" w:line="245" w:lineRule="auto"/>
        <w:ind w:left="216"/>
      </w:pPr>
      <w:r>
        <w:rPr>
          <w:rFonts w:ascii="Times New Roman" w:hAnsi="Times New Roman"/>
          <w:sz w:val="20"/>
        </w:rPr>
        <w:t>│   └── README.md                    # business description and notes</w:t>
      </w:r>
    </w:p>
    <w:p>
      <w:pPr>
        <w:spacing w:after="60" w:line="245" w:lineRule="auto"/>
        <w:ind w:left="216"/>
      </w:pPr>
      <w:r>
        <w:rPr>
          <w:rFonts w:ascii="Times New Roman" w:hAnsi="Times New Roman"/>
          <w:sz w:val="20"/>
        </w:rPr>
        <w:t>├── rulebook.md                      # default rules and vocabulary</w:t>
      </w:r>
    </w:p>
    <w:p>
      <w:pPr>
        <w:spacing w:after="60" w:line="245" w:lineRule="auto"/>
        <w:ind w:left="216"/>
      </w:pPr>
      <w:r>
        <w:rPr>
          <w:rFonts w:ascii="Times New Roman" w:hAnsi="Times New Roman"/>
          <w:sz w:val="20"/>
        </w:rPr>
        <w:t>├── calendar.csv                     # solar–lunar calendar (Tết)</w:t>
      </w:r>
    </w:p>
    <w:p>
      <w:pPr>
        <w:spacing w:after="60" w:line="245" w:lineRule="auto"/>
        <w:ind w:left="216"/>
      </w:pPr>
      <w:r>
        <w:rPr>
          <w:rFonts w:ascii="Times New Roman" w:hAnsi="Times New Roman"/>
          <w:sz w:val="20"/>
        </w:rPr>
        <w:t>├── questions.jsonl                  # one question per line</w:t>
      </w:r>
    </w:p>
    <w:p>
      <w:pPr>
        <w:spacing w:after="60" w:line="245" w:lineRule="auto"/>
        <w:ind w:left="216"/>
      </w:pPr>
      <w:r>
        <w:rPr>
          <w:rFonts w:ascii="Times New Roman" w:hAnsi="Times New Roman"/>
          <w:sz w:val="20"/>
        </w:rPr>
        <w:t>└── answers.jsonl                    # training only</w:t>
      </w:r>
    </w:p>
    <w:p>
      <w:pPr>
        <w:spacing w:after="60"/>
      </w:pPr>
      <w:r>
        <w:t>Sample record in questions.jsonl:</w:t>
      </w:r>
    </w:p>
    <w:p>
      <w:pPr>
        <w:spacing w:after="60" w:line="245" w:lineRule="auto"/>
        <w:ind w:left="216"/>
      </w:pPr>
      <w:r>
        <w:rPr>
          <w:rFonts w:ascii="Times New Roman" w:hAnsi="Times New Roman"/>
          <w:sz w:val="20"/>
        </w:rPr>
        <w:t>{"id": "q_01234", "business_id": "biz_017", "question": "thang nay hang nao ban cham nhat, ton nhieu ma ban ko dc", "as_of_date": "2026-08-27"}</w:t>
      </w:r>
    </w:p>
    <w:p>
      <w:r>
        <w:t>Training businesses also come with answers.jsonl, which contains the reference answer for every training question, linked by "id". Each line follows the submission format, plus an "alias" field listing other accepted forms of a name answer (alternative spellings found in the data and the item code). Unanswerable questions have "answer": null. Submissions do not need to include the "alias" field.</w:t>
      </w:r>
    </w:p>
    <w:p>
      <w:pPr>
        <w:spacing w:after="60"/>
      </w:pPr>
      <w:r>
        <w:t>Sample record in answers.jsonl (the reference answer of the example question in the Description section):</w:t>
      </w:r>
    </w:p>
    <w:p>
      <w:pPr>
        <w:spacing w:after="60" w:line="245" w:lineRule="auto"/>
        <w:ind w:left="216"/>
      </w:pPr>
      <w:r>
        <w:rPr>
          <w:rFonts w:ascii="Times New Roman" w:hAnsi="Times New Roman"/>
          <w:sz w:val="20"/>
        </w:rPr>
        <w:t>{"id": "q_06de33fa21cc", "type": "string", "answer": "Xi măng Hà Tiên PCB40 bao 50kg", "alias": ["SP0001"]}</w:t>
      </w:r>
    </w:p>
    <w:p>
      <w:r>
        <w:t>The quality of README.md varies: some businesses come with a full data dictionary, others with a few informal notes, some with almost nothing.</w:t>
      </w:r>
    </w:p>
    <w:p>
      <w:pPr>
        <w:pStyle w:val="Heading1"/>
        <w:keepNext/>
      </w:pPr>
      <w:r>
        <w:t>Splits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27"/>
        <w:gridCol w:w="1512"/>
        <w:gridCol w:w="1440"/>
        <w:gridCol w:w="5645"/>
      </w:tblGrid>
      <w:tr>
        <w:trPr>
          <w:tblHeader w:val="true"/>
          <w:cantSplit/>
        </w:trPr>
        <w:tc>
          <w:tcPr>
            <w:tcW w:type="dxa" w:w="1627"/>
            <w:shd w:fill="EDEDED"/>
            <w:tcMar>
              <w:top w:w="80" w:type="dxa"/>
              <w:bottom w:w="80" w:type="dxa"/>
              <w:start w:w="90" w:type="dxa"/>
              <w:end w:w="90" w:type="dxa"/>
            </w:tcMar>
          </w:tcPr>
          <w:p>
            <w:r>
              <w:rPr>
                <w:rFonts w:ascii="Times New Roman" w:hAnsi="Times New Roman"/>
                <w:b/>
                <w:sz w:val="21"/>
              </w:rPr>
              <w:t>Split</w:t>
            </w:r>
          </w:p>
        </w:tc>
        <w:tc>
          <w:tcPr>
            <w:tcW w:type="dxa" w:w="1512"/>
            <w:shd w:fill="EDEDED"/>
            <w:tcMar>
              <w:top w:w="80" w:type="dxa"/>
              <w:bottom w:w="80" w:type="dxa"/>
              <w:start w:w="90" w:type="dxa"/>
              <w:end w:w="90" w:type="dxa"/>
            </w:tcMar>
          </w:tcPr>
          <w:p>
            <w:r>
              <w:rPr>
                <w:rFonts w:ascii="Times New Roman" w:hAnsi="Times New Roman"/>
                <w:b/>
                <w:sz w:val="21"/>
              </w:rPr>
              <w:t>Businesses</w:t>
            </w:r>
          </w:p>
        </w:tc>
        <w:tc>
          <w:tcPr>
            <w:tcW w:type="dxa" w:w="1440"/>
            <w:shd w:fill="EDEDED"/>
            <w:tcMar>
              <w:top w:w="80" w:type="dxa"/>
              <w:bottom w:w="80" w:type="dxa"/>
              <w:start w:w="90" w:type="dxa"/>
              <w:end w:w="90" w:type="dxa"/>
            </w:tcMar>
          </w:tcPr>
          <w:p>
            <w:r>
              <w:rPr>
                <w:rFonts w:ascii="Times New Roman" w:hAnsi="Times New Roman"/>
                <w:b/>
                <w:sz w:val="21"/>
              </w:rPr>
              <w:t>Questions</w:t>
            </w:r>
          </w:p>
        </w:tc>
        <w:tc>
          <w:tcPr>
            <w:tcW w:type="dxa" w:w="5645"/>
            <w:shd w:fill="EDEDED"/>
            <w:tcMar>
              <w:top w:w="80" w:type="dxa"/>
              <w:bottom w:w="80" w:type="dxa"/>
              <w:start w:w="90" w:type="dxa"/>
              <w:end w:w="90" w:type="dxa"/>
            </w:tcMar>
          </w:tcPr>
          <w:p>
            <w:r>
              <w:rPr>
                <w:rFonts w:ascii="Times New Roman" w:hAnsi="Times New Roman"/>
                <w:b/>
                <w:sz w:val="21"/>
              </w:rPr>
              <w:t>Reference answers</w:t>
            </w:r>
          </w:p>
        </w:tc>
      </w:tr>
      <w:tr>
        <w:trPr>
          <w:cantSplit/>
        </w:trPr>
        <w:tc>
          <w:tcPr>
            <w:tcW w:type="dxa" w:w="1627"/>
            <w:tcMar>
              <w:top w:w="80" w:type="dxa"/>
              <w:bottom w:w="80" w:type="dxa"/>
              <w:start w:w="90" w:type="dxa"/>
              <w:end w:w="90" w:type="dxa"/>
            </w:tcMar>
            <w:vAlign w:val="center"/>
          </w:tcPr>
          <w:p>
            <w:pPr>
              <w:spacing w:after="0"/>
            </w:pPr>
            <w:r>
              <w:rPr>
                <w:rFonts w:ascii="Times New Roman" w:hAnsi="Times New Roman"/>
                <w:sz w:val="20"/>
              </w:rPr>
              <w:t>Training</w:t>
            </w:r>
          </w:p>
        </w:tc>
        <w:tc>
          <w:tcPr>
            <w:tcW w:type="dxa" w:w="1512"/>
            <w:tcMar>
              <w:top w:w="80" w:type="dxa"/>
              <w:bottom w:w="80" w:type="dxa"/>
              <w:start w:w="90" w:type="dxa"/>
              <w:end w:w="90" w:type="dxa"/>
            </w:tcMar>
            <w:vAlign w:val="center"/>
          </w:tcPr>
          <w:p>
            <w:pPr>
              <w:spacing w:after="0"/>
            </w:pPr>
            <w:r>
              <w:rPr>
                <w:rFonts w:ascii="Times New Roman" w:hAnsi="Times New Roman"/>
                <w:sz w:val="20"/>
              </w:rPr>
              <w:t>30</w:t>
            </w:r>
          </w:p>
        </w:tc>
        <w:tc>
          <w:tcPr>
            <w:tcW w:type="dxa" w:w="1440"/>
            <w:tcMar>
              <w:top w:w="80" w:type="dxa"/>
              <w:bottom w:w="80" w:type="dxa"/>
              <w:start w:w="90" w:type="dxa"/>
              <w:end w:w="90" w:type="dxa"/>
            </w:tcMar>
            <w:vAlign w:val="center"/>
          </w:tcPr>
          <w:p>
            <w:pPr>
              <w:spacing w:after="0"/>
            </w:pPr>
            <w:r>
              <w:rPr>
                <w:rFonts w:ascii="Times New Roman" w:hAnsi="Times New Roman"/>
                <w:sz w:val="20"/>
              </w:rPr>
              <w:t>~3,000</w:t>
            </w:r>
          </w:p>
        </w:tc>
        <w:tc>
          <w:tcPr>
            <w:tcW w:type="dxa" w:w="5645"/>
            <w:tcMar>
              <w:top w:w="80" w:type="dxa"/>
              <w:bottom w:w="80" w:type="dxa"/>
              <w:start w:w="90" w:type="dxa"/>
              <w:end w:w="90" w:type="dxa"/>
            </w:tcMar>
            <w:vAlign w:val="center"/>
          </w:tcPr>
          <w:p>
            <w:pPr>
              <w:spacing w:after="0"/>
            </w:pPr>
            <w:r>
              <w:rPr>
                <w:rFonts w:ascii="Times New Roman" w:hAnsi="Times New Roman"/>
                <w:sz w:val="20"/>
              </w:rPr>
              <w:t>Yes</w:t>
            </w:r>
          </w:p>
        </w:tc>
      </w:tr>
      <w:tr>
        <w:trPr>
          <w:cantSplit/>
        </w:trPr>
        <w:tc>
          <w:tcPr>
            <w:tcW w:type="dxa" w:w="1627"/>
            <w:tcMar>
              <w:top w:w="80" w:type="dxa"/>
              <w:bottom w:w="80" w:type="dxa"/>
              <w:start w:w="90" w:type="dxa"/>
              <w:end w:w="90" w:type="dxa"/>
            </w:tcMar>
            <w:vAlign w:val="center"/>
            <w:shd w:fill="FAFAFA"/>
          </w:tcPr>
          <w:p>
            <w:pPr>
              <w:spacing w:after="0"/>
            </w:pPr>
            <w:r>
              <w:rPr>
                <w:rFonts w:ascii="Times New Roman" w:hAnsi="Times New Roman"/>
                <w:sz w:val="20"/>
              </w:rPr>
              <w:t>Public test</w:t>
            </w:r>
          </w:p>
        </w:tc>
        <w:tc>
          <w:tcPr>
            <w:tcW w:type="dxa" w:w="1512"/>
            <w:tcMar>
              <w:top w:w="80" w:type="dxa"/>
              <w:bottom w:w="80" w:type="dxa"/>
              <w:start w:w="90" w:type="dxa"/>
              <w:end w:w="90" w:type="dxa"/>
            </w:tcMar>
            <w:vAlign w:val="center"/>
            <w:shd w:fill="FAFAFA"/>
          </w:tcPr>
          <w:p>
            <w:pPr>
              <w:spacing w:after="0"/>
            </w:pPr>
            <w:r>
              <w:rPr>
                <w:rFonts w:ascii="Times New Roman" w:hAnsi="Times New Roman"/>
                <w:sz w:val="20"/>
              </w:rPr>
              <w:t>10–20</w:t>
            </w:r>
          </w:p>
        </w:tc>
        <w:tc>
          <w:tcPr>
            <w:tcW w:type="dxa" w:w="1440"/>
            <w:tcMar>
              <w:top w:w="80" w:type="dxa"/>
              <w:bottom w:w="80" w:type="dxa"/>
              <w:start w:w="90" w:type="dxa"/>
              <w:end w:w="90" w:type="dxa"/>
            </w:tcMar>
            <w:vAlign w:val="center"/>
            <w:shd w:fill="FAFAFA"/>
          </w:tcPr>
          <w:p>
            <w:pPr>
              <w:spacing w:after="0"/>
            </w:pPr>
            <w:r>
              <w:rPr>
                <w:rFonts w:ascii="Times New Roman" w:hAnsi="Times New Roman"/>
                <w:sz w:val="20"/>
              </w:rPr>
              <w:t>~1,000</w:t>
            </w:r>
          </w:p>
        </w:tc>
        <w:tc>
          <w:tcPr>
            <w:tcW w:type="dxa" w:w="5645"/>
            <w:tcMar>
              <w:top w:w="80" w:type="dxa"/>
              <w:bottom w:w="80" w:type="dxa"/>
              <w:start w:w="90" w:type="dxa"/>
              <w:end w:w="90" w:type="dxa"/>
            </w:tcMar>
            <w:vAlign w:val="center"/>
            <w:shd w:fill="FAFAFA"/>
          </w:tcPr>
          <w:p>
            <w:pPr>
              <w:spacing w:after="0"/>
            </w:pPr>
            <w:r>
              <w:rPr>
                <w:rFonts w:ascii="Times New Roman" w:hAnsi="Times New Roman"/>
                <w:sz w:val="20"/>
              </w:rPr>
              <w:t>Hidden; scored on the public leaderboard</w:t>
            </w:r>
          </w:p>
        </w:tc>
      </w:tr>
      <w:tr>
        <w:trPr>
          <w:cantSplit/>
        </w:trPr>
        <w:tc>
          <w:tcPr>
            <w:tcW w:type="dxa" w:w="1627"/>
            <w:tcMar>
              <w:top w:w="80" w:type="dxa"/>
              <w:bottom w:w="80" w:type="dxa"/>
              <w:start w:w="90" w:type="dxa"/>
              <w:end w:w="90" w:type="dxa"/>
            </w:tcMar>
            <w:vAlign w:val="center"/>
          </w:tcPr>
          <w:p>
            <w:pPr>
              <w:spacing w:after="0"/>
            </w:pPr>
            <w:r>
              <w:rPr>
                <w:rFonts w:ascii="Times New Roman" w:hAnsi="Times New Roman"/>
                <w:sz w:val="20"/>
              </w:rPr>
              <w:t>Private test</w:t>
            </w:r>
          </w:p>
        </w:tc>
        <w:tc>
          <w:tcPr>
            <w:tcW w:type="dxa" w:w="1512"/>
            <w:tcMar>
              <w:top w:w="80" w:type="dxa"/>
              <w:bottom w:w="80" w:type="dxa"/>
              <w:start w:w="90" w:type="dxa"/>
              <w:end w:w="90" w:type="dxa"/>
            </w:tcMar>
            <w:vAlign w:val="center"/>
          </w:tcPr>
          <w:p>
            <w:pPr>
              <w:spacing w:after="0"/>
            </w:pPr>
            <w:r>
              <w:rPr>
                <w:rFonts w:ascii="Times New Roman" w:hAnsi="Times New Roman"/>
                <w:sz w:val="20"/>
              </w:rPr>
              <w:t>10–20</w:t>
            </w:r>
          </w:p>
        </w:tc>
        <w:tc>
          <w:tcPr>
            <w:tcW w:type="dxa" w:w="1440"/>
            <w:tcMar>
              <w:top w:w="80" w:type="dxa"/>
              <w:bottom w:w="80" w:type="dxa"/>
              <w:start w:w="90" w:type="dxa"/>
              <w:end w:w="90" w:type="dxa"/>
            </w:tcMar>
            <w:vAlign w:val="center"/>
          </w:tcPr>
          <w:p>
            <w:pPr>
              <w:spacing w:after="0"/>
            </w:pPr>
            <w:r>
              <w:rPr>
                <w:rFonts w:ascii="Times New Roman" w:hAnsi="Times New Roman"/>
                <w:sz w:val="20"/>
              </w:rPr>
              <w:t>~500</w:t>
            </w:r>
          </w:p>
        </w:tc>
        <w:tc>
          <w:tcPr>
            <w:tcW w:type="dxa" w:w="5645"/>
            <w:tcMar>
              <w:top w:w="80" w:type="dxa"/>
              <w:bottom w:w="80" w:type="dxa"/>
              <w:start w:w="90" w:type="dxa"/>
              <w:end w:w="90" w:type="dxa"/>
            </w:tcMar>
            <w:vAlign w:val="center"/>
          </w:tcPr>
          <w:p>
            <w:pPr>
              <w:spacing w:after="0"/>
            </w:pPr>
            <w:r>
              <w:rPr>
                <w:rFonts w:ascii="Times New Roman" w:hAnsi="Times New Roman"/>
                <w:sz w:val="20"/>
              </w:rPr>
              <w:t>Hidden; released at the private test phase; includes new business types</w:t>
            </w:r>
          </w:p>
        </w:tc>
      </w:tr>
    </w:tbl>
    <w:p>
      <w:pPr>
        <w:pStyle w:val="Heading1"/>
        <w:keepNext/>
      </w:pPr>
      <w:r>
        <w:t>Business rules (default interpretations)</w:t>
      </w:r>
    </w:p>
    <w:p>
      <w:r>
        <w:t>Each split ships its own rulebook (rulebook.md), which fixes the default meaning of common terms whenever the question does not say otherwise. The rulebook may differ between splits so your agent must read and apply the rulebook of the split it is answering, not a copy of the training rulebook. Typical rules: revenue = sum of line amounts after line-level discounts (order-level vouchers are not deducted), excluding VAT and delivery fees, excluding cancelled orders and orders with any returned item; “bán chạy” = by quantity; a week runs Monday–Sunday; “tháng này” = the month containing the as-of date, up to and including that date; default cost = weighted-average purchase cost by lot; the Tết window = 23 tháng Chạp to mùng 10 (lunar calendar).</w:t>
      </w:r>
    </w:p>
    <w:p>
      <w:pPr>
        <w:pStyle w:val="Heading1"/>
        <w:keepNext/>
      </w:pPr>
      <w:r>
        <w:t>Submission format</w:t>
      </w:r>
    </w:p>
    <w:p>
      <w:r>
        <w:rPr>
          <w:i/>
        </w:rPr>
        <w:t xml:space="preserve">Submission file. </w:t>
      </w:r>
      <w:r>
        <w:t>In both rounds you upload a submission.jsonl file, one JSON object per line:</w:t>
      </w:r>
    </w:p>
    <w:p>
      <w:pPr>
        <w:spacing w:after="60" w:line="245" w:lineRule="auto"/>
        <w:ind w:left="216"/>
      </w:pPr>
      <w:r>
        <w:rPr>
          <w:rFonts w:ascii="Times New Roman" w:hAnsi="Times New Roman"/>
          <w:sz w:val="20"/>
        </w:rPr>
        <w:t>{"id": "q_01234", "type": "string", "answer": "Sting dâu 330ml"}</w:t>
      </w:r>
    </w:p>
    <w:p>
      <w:pPr>
        <w:spacing w:after="60" w:line="245" w:lineRule="auto"/>
        <w:ind w:left="216"/>
      </w:pPr>
      <w:r>
        <w:rPr>
          <w:rFonts w:ascii="Times New Roman" w:hAnsi="Times New Roman"/>
          <w:sz w:val="20"/>
        </w:rPr>
        <w:t>{"id": "q_01235", "type": "number", "answer": 48250000}</w:t>
      </w:r>
    </w:p>
    <w:p>
      <w:pPr>
        <w:spacing w:after="60" w:line="245" w:lineRule="auto"/>
        <w:ind w:left="216"/>
      </w:pPr>
      <w:r>
        <w:rPr>
          <w:rFonts w:ascii="Times New Roman" w:hAnsi="Times New Roman"/>
          <w:sz w:val="20"/>
        </w:rPr>
        <w:t>{"id": "q_01236", "type": "percent", "answer": -12.45}</w:t>
      </w:r>
    </w:p>
    <w:p>
      <w:pPr>
        <w:spacing w:after="60" w:line="245" w:lineRule="auto"/>
        <w:ind w:left="216"/>
      </w:pPr>
      <w:r>
        <w:rPr>
          <w:rFonts w:ascii="Times New Roman" w:hAnsi="Times New Roman"/>
          <w:sz w:val="20"/>
        </w:rPr>
        <w:t>{"id": "q_01237", "type": "date", "answer": "2026-08-15"}</w:t>
      </w:r>
    </w:p>
    <w:p>
      <w:pPr>
        <w:spacing w:after="60" w:line="245" w:lineRule="auto"/>
        <w:ind w:left="216"/>
      </w:pPr>
      <w:r>
        <w:rPr>
          <w:rFonts w:ascii="Times New Roman" w:hAnsi="Times New Roman"/>
          <w:sz w:val="20"/>
        </w:rPr>
        <w:t>{"id": "q_01238", "type": "boolean", "answer": true}</w:t>
      </w:r>
    </w:p>
    <w:p>
      <w:pPr>
        <w:spacing w:after="60" w:line="245" w:lineRule="auto"/>
        <w:ind w:left="216"/>
      </w:pPr>
      <w:r>
        <w:rPr>
          <w:rFonts w:ascii="Times New Roman" w:hAnsi="Times New Roman"/>
          <w:sz w:val="20"/>
        </w:rPr>
        <w:t>{"id": "q_01239", "type": "list", "answer": ["Cà phê sữa", "Bạc xỉu", "Trà đào"]}</w:t>
      </w:r>
    </w:p>
    <w:p>
      <w:pPr>
        <w:spacing w:after="60" w:line="245" w:lineRule="auto"/>
        <w:ind w:left="216"/>
      </w:pPr>
      <w:r>
        <w:rPr>
          <w:rFonts w:ascii="Times New Roman" w:hAnsi="Times New Roman"/>
          <w:sz w:val="20"/>
        </w:rPr>
        <w:t>{"id": "q_01240", "type": "table", "answer": {"columns": ["khach_hang", "so_tien_no"], "rows": [["Chị Lan", 3200000], ["Anh Tú", 1500000]]}}</w:t>
      </w:r>
    </w:p>
    <w:p>
      <w:pPr>
        <w:spacing w:after="60" w:line="245" w:lineRule="auto"/>
        <w:ind w:left="216"/>
      </w:pPr>
      <w:r>
        <w:rPr>
          <w:rFonts w:ascii="Times New Roman" w:hAnsi="Times New Roman"/>
          <w:sz w:val="20"/>
        </w:rPr>
        <w:t>{"id": "q_01241", "type": "unanswerable", "reason": "Dữ liệu không có giá vốn nên không tính được lợi nhuận"}</w:t>
      </w:r>
    </w:p>
    <w:p>
      <w:pPr>
        <w:spacing w:after="60" w:line="245" w:lineRule="auto"/>
        <w:ind w:left="216"/>
      </w:pPr>
      <w:r>
        <w:rPr>
          <w:rFonts w:ascii="Times New Roman" w:hAnsi="Times New Roman"/>
          <w:sz w:val="20"/>
        </w:rPr>
        <w:t>{"id": "q_01242", "type": "abstain"}</w:t>
      </w:r>
    </w:p>
    <w:p>
      <w:r>
        <w:t>Questions missing from the file are scored as abstain. The reason field is optional. The number of submissions per day follows the general regulations.</w:t>
      </w:r>
    </w:p>
    <w:p>
      <w:r>
        <w:rPr>
          <w:i/>
        </w:rPr>
        <w:t xml:space="preserve">Docker image. </w:t>
      </w:r>
      <w:r>
        <w:t>The image (see Competition rounds in the Rule section) must contain the source code (training and inference), the model weights and a predict.sh that reads the test set from /data and writes /result/submission.jsonl, together with a README. It should also write a per-question log to /result/logs/, in any format, containing at least the question id, the final answer and the elapsed time — plus anything else that shows how the answer was reached (e.g. generated code, execution output). The organizers use these logs to resolve differences between your uploaded result and their re-run (Rule 8).</w:t>
      </w:r>
    </w:p>
    <w:p>
      <w:pPr>
        <w:spacing w:after="20"/>
      </w:pPr>
      <w:r>
        <w:rPr>
          <w:b/>
        </w:rPr>
        <w:t xml:space="preserve">Data Train: </w:t>
      </w:r>
      <w:r>
        <w:t>Download</w:t>
      </w:r>
    </w:p>
    <w:p>
      <w:r>
        <w:rPr>
          <w:b/>
        </w:rPr>
        <w:t xml:space="preserve">Public Test: </w:t>
      </w:r>
      <w:r>
        <w:t>Download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types and submission format</dc:title>
  <dc:subject>Zalo AI Challenge dataset package, business rules, and submission examples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