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Per-question scoring</w:t>
      </w:r>
    </w:p>
    <w:p>
      <w:r>
        <w:t xml:space="preserve">Each answer is scored </w:t>
      </w:r>
      <w:r>
        <w:rPr>
          <w:b/>
        </w:rPr>
        <w:t>correct, wrong or abstain</w:t>
      </w:r>
      <w:r>
        <w:t>. An answer of type abstain (or a missing answer) is an abstain. Any other answer is correct only if its type equals the reference type and its value matches the reference as follows; otherwise it is wrong. No partial credit.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1872"/>
        <w:gridCol w:w="1757"/>
        <w:gridCol w:w="5227"/>
      </w:tblGrid>
      <w:tr>
        <w:trPr>
          <w:tblHeader w:val="true"/>
          <w:cantSplit/>
        </w:trPr>
        <w:tc>
          <w:tcPr>
            <w:tcW w:type="dxa" w:w="1512"/>
            <w:shd w:fill="EDEDED"/>
            <w:tcMar>
              <w:top w:w="72" w:type="dxa"/>
              <w:start w:w="85" w:type="dxa"/>
              <w:bottom w:w="72" w:type="dxa"/>
              <w:end w:w="85" w:type="dxa"/>
            </w:tcMar>
            <w:vAlign w:val="center"/>
          </w:tcPr>
          <w:p>
            <w:r>
              <w:rPr>
                <w:b/>
                <w:sz w:val="19"/>
              </w:rPr>
              <w:t>Type</w:t>
            </w:r>
          </w:p>
        </w:tc>
        <w:tc>
          <w:tcPr>
            <w:tcW w:type="dxa" w:w="1872"/>
            <w:shd w:fill="EDEDED"/>
            <w:tcMar>
              <w:top w:w="72" w:type="dxa"/>
              <w:start w:w="85" w:type="dxa"/>
              <w:bottom w:w="72" w:type="dxa"/>
              <w:end w:w="85" w:type="dxa"/>
            </w:tcMar>
            <w:vAlign w:val="center"/>
          </w:tcPr>
          <w:p>
            <w:r>
              <w:rPr>
                <w:b/>
                <w:sz w:val="19"/>
              </w:rPr>
              <w:t>Answer content</w:t>
            </w:r>
          </w:p>
        </w:tc>
        <w:tc>
          <w:tcPr>
            <w:tcW w:type="dxa" w:w="1757"/>
            <w:shd w:fill="EDEDED"/>
            <w:tcMar>
              <w:top w:w="72" w:type="dxa"/>
              <w:start w:w="85" w:type="dxa"/>
              <w:bottom w:w="72" w:type="dxa"/>
              <w:end w:w="85" w:type="dxa"/>
            </w:tcMar>
            <w:vAlign w:val="center"/>
          </w:tcPr>
          <w:p>
            <w:r>
              <w:rPr>
                <w:b/>
                <w:sz w:val="19"/>
              </w:rPr>
              <w:t>Example</w:t>
            </w:r>
          </w:p>
        </w:tc>
        <w:tc>
          <w:tcPr>
            <w:tcW w:type="dxa" w:w="5227"/>
            <w:shd w:fill="EDEDED"/>
            <w:tcMar>
              <w:top w:w="72" w:type="dxa"/>
              <w:start w:w="85" w:type="dxa"/>
              <w:bottom w:w="72" w:type="dxa"/>
              <w:end w:w="85" w:type="dxa"/>
            </w:tcMar>
            <w:vAlign w:val="center"/>
          </w:tcPr>
          <w:p>
            <w:r>
              <w:rPr>
                <w:b/>
                <w:sz w:val="19"/>
              </w:rPr>
              <w:t>Matching rule</w:t>
            </w:r>
          </w:p>
        </w:tc>
      </w:tr>
      <w:tr>
        <w:trPr>
          <w:cantSplit/>
        </w:trPr>
        <w:tc>
          <w:tcPr>
            <w:tcW w:type="dxa" w:w="1512"/>
            <w:vAlign w:val="center"/>
            <w:tcMar>
              <w:top w:w="48" w:type="dxa"/>
              <w:start w:w="85" w:type="dxa"/>
              <w:bottom w:w="48" w:type="dxa"/>
              <w:end w:w="85" w:type="dxa"/>
            </w:tcMar>
          </w:tcPr>
          <w:p>
            <w:pPr>
              <w:spacing w:after="0" w:line="245" w:lineRule="auto"/>
            </w:pPr>
            <w:r>
              <w:rPr>
                <w:rFonts w:ascii="Times New Roman" w:hAnsi="Times New Roman"/>
                <w:sz w:val="19"/>
              </w:rPr>
              <w:t>number</w:t>
            </w:r>
          </w:p>
        </w:tc>
        <w:tc>
          <w:tcPr>
            <w:tcW w:type="dxa" w:w="1872"/>
            <w:vAlign w:val="center"/>
            <w:tcMar>
              <w:top w:w="48" w:type="dxa"/>
              <w:start w:w="85" w:type="dxa"/>
              <w:bottom w:w="48" w:type="dxa"/>
              <w:end w:w="85" w:type="dxa"/>
            </w:tcMar>
          </w:tcPr>
          <w:p>
            <w:pPr>
              <w:spacing w:after="0" w:line="245" w:lineRule="auto"/>
            </w:pPr>
            <w:r>
              <w:rPr>
                <w:rFonts w:ascii="Times New Roman" w:hAnsi="Times New Roman"/>
                <w:sz w:val="19"/>
              </w:rPr>
              <w:t>A numeric value (VND amounts, counts, quantities)</w:t>
            </w:r>
          </w:p>
        </w:tc>
        <w:tc>
          <w:tcPr>
            <w:tcW w:type="dxa" w:w="1757"/>
            <w:vAlign w:val="center"/>
            <w:tcMar>
              <w:top w:w="48" w:type="dxa"/>
              <w:start w:w="85" w:type="dxa"/>
              <w:bottom w:w="48" w:type="dxa"/>
              <w:end w:w="85" w:type="dxa"/>
            </w:tcMar>
          </w:tcPr>
          <w:p>
            <w:pPr>
              <w:spacing w:after="0" w:line="245" w:lineRule="auto"/>
            </w:pPr>
            <w:r>
              <w:rPr>
                <w:rFonts w:ascii="Times New Roman" w:hAnsi="Times New Roman"/>
                <w:sz w:val="19"/>
              </w:rPr>
              <w:t>48250000</w:t>
            </w:r>
          </w:p>
        </w:tc>
        <w:tc>
          <w:tcPr>
            <w:tcW w:type="dxa" w:w="5227"/>
            <w:vAlign w:val="center"/>
            <w:tcMar>
              <w:top w:w="48" w:type="dxa"/>
              <w:start w:w="85" w:type="dxa"/>
              <w:bottom w:w="48" w:type="dxa"/>
              <w:end w:w="85" w:type="dxa"/>
            </w:tcMar>
          </w:tcPr>
          <w:p>
            <w:pPr>
              <w:spacing w:after="0" w:line="245" w:lineRule="auto"/>
            </w:pPr>
            <w:r>
              <w:rPr>
                <w:rFonts w:ascii="Times New Roman" w:hAnsi="Times New Roman"/>
                <w:sz w:val="19"/>
              </w:rPr>
              <w:t>Exact match. Reference values are integers (VND amounts, counts, quantities) or rounded to 2 decimals.</w:t>
            </w:r>
          </w:p>
        </w:tc>
      </w:tr>
      <w:tr>
        <w:trPr>
          <w:cantSplit/>
        </w:trPr>
        <w:tc>
          <w:tcPr>
            <w:tcW w:type="dxa" w:w="1512"/>
            <w:vAlign w:val="center"/>
            <w:tcMar>
              <w:top w:w="48" w:type="dxa"/>
              <w:start w:w="85" w:type="dxa"/>
              <w:bottom w:w="48" w:type="dxa"/>
              <w:end w:w="85" w:type="dxa"/>
            </w:tcMar>
            <w:shd w:fill="FAFAFA"/>
          </w:tcPr>
          <w:p>
            <w:pPr>
              <w:spacing w:after="0" w:line="245" w:lineRule="auto"/>
            </w:pPr>
            <w:r>
              <w:rPr>
                <w:rFonts w:ascii="Times New Roman" w:hAnsi="Times New Roman"/>
                <w:sz w:val="19"/>
              </w:rPr>
              <w:t>percent</w:t>
            </w:r>
          </w:p>
        </w:tc>
        <w:tc>
          <w:tcPr>
            <w:tcW w:type="dxa" w:w="1872"/>
            <w:vAlign w:val="center"/>
            <w:tcMar>
              <w:top w:w="48" w:type="dxa"/>
              <w:start w:w="85" w:type="dxa"/>
              <w:bottom w:w="48" w:type="dxa"/>
              <w:end w:w="85" w:type="dxa"/>
            </w:tcMar>
            <w:shd w:fill="FAFAFA"/>
          </w:tcPr>
          <w:p>
            <w:pPr>
              <w:spacing w:after="0" w:line="245" w:lineRule="auto"/>
            </w:pPr>
            <w:r>
              <w:rPr>
                <w:rFonts w:ascii="Times New Roman" w:hAnsi="Times New Roman"/>
                <w:sz w:val="19"/>
              </w:rPr>
              <w:t>A percentage value, in percent</w:t>
            </w:r>
          </w:p>
        </w:tc>
        <w:tc>
          <w:tcPr>
            <w:tcW w:type="dxa" w:w="1757"/>
            <w:vAlign w:val="center"/>
            <w:tcMar>
              <w:top w:w="48" w:type="dxa"/>
              <w:start w:w="85" w:type="dxa"/>
              <w:bottom w:w="48" w:type="dxa"/>
              <w:end w:w="85" w:type="dxa"/>
            </w:tcMar>
            <w:shd w:fill="FAFAFA"/>
          </w:tcPr>
          <w:p>
            <w:pPr>
              <w:spacing w:after="0" w:line="245" w:lineRule="auto"/>
            </w:pPr>
            <w:r>
              <w:rPr>
                <w:rFonts w:ascii="Times New Roman" w:hAnsi="Times New Roman"/>
                <w:sz w:val="19"/>
              </w:rPr>
              <w:t>-12.45</w:t>
            </w:r>
          </w:p>
        </w:tc>
        <w:tc>
          <w:tcPr>
            <w:tcW w:type="dxa" w:w="5227"/>
            <w:vAlign w:val="center"/>
            <w:tcMar>
              <w:top w:w="48" w:type="dxa"/>
              <w:start w:w="85" w:type="dxa"/>
              <w:bottom w:w="48" w:type="dxa"/>
              <w:end w:w="85" w:type="dxa"/>
            </w:tcMar>
            <w:shd w:fill="FAFAFA"/>
          </w:tcPr>
          <w:p>
            <w:pPr>
              <w:spacing w:after="0" w:line="245" w:lineRule="auto"/>
            </w:pPr>
            <w:r>
              <w:rPr>
                <w:rFonts w:ascii="Times New Roman" w:hAnsi="Times New Roman"/>
                <w:sz w:val="19"/>
              </w:rPr>
              <w:t>Exact match after rounding to 2 decimal places; the sign must be correct.</w:t>
            </w:r>
          </w:p>
        </w:tc>
      </w:tr>
      <w:tr>
        <w:trPr>
          <w:cantSplit/>
        </w:trPr>
        <w:tc>
          <w:tcPr>
            <w:tcW w:type="dxa" w:w="1512"/>
            <w:vAlign w:val="center"/>
            <w:tcMar>
              <w:top w:w="48" w:type="dxa"/>
              <w:start w:w="85" w:type="dxa"/>
              <w:bottom w:w="48" w:type="dxa"/>
              <w:end w:w="85" w:type="dxa"/>
            </w:tcMar>
          </w:tcPr>
          <w:p>
            <w:pPr>
              <w:spacing w:after="0" w:line="245" w:lineRule="auto"/>
            </w:pPr>
            <w:r>
              <w:rPr>
                <w:rFonts w:ascii="Times New Roman" w:hAnsi="Times New Roman"/>
                <w:sz w:val="19"/>
              </w:rPr>
              <w:t>string</w:t>
            </w:r>
          </w:p>
        </w:tc>
        <w:tc>
          <w:tcPr>
            <w:tcW w:type="dxa" w:w="1872"/>
            <w:vAlign w:val="center"/>
            <w:tcMar>
              <w:top w:w="48" w:type="dxa"/>
              <w:start w:w="85" w:type="dxa"/>
              <w:bottom w:w="48" w:type="dxa"/>
              <w:end w:w="85" w:type="dxa"/>
            </w:tcMar>
          </w:tcPr>
          <w:p>
            <w:pPr>
              <w:spacing w:after="0" w:line="245" w:lineRule="auto"/>
            </w:pPr>
            <w:r>
              <w:rPr>
                <w:rFonts w:ascii="Times New Roman" w:hAnsi="Times New Roman"/>
                <w:sz w:val="19"/>
              </w:rPr>
              <w:t>A name (product, customer, branch, weekday, ...)</w:t>
            </w:r>
          </w:p>
        </w:tc>
        <w:tc>
          <w:tcPr>
            <w:tcW w:type="dxa" w:w="1757"/>
            <w:vAlign w:val="center"/>
            <w:tcMar>
              <w:top w:w="48" w:type="dxa"/>
              <w:start w:w="85" w:type="dxa"/>
              <w:bottom w:w="48" w:type="dxa"/>
              <w:end w:w="85" w:type="dxa"/>
            </w:tcMar>
          </w:tcPr>
          <w:p>
            <w:pPr>
              <w:spacing w:after="0" w:line="245" w:lineRule="auto"/>
            </w:pPr>
            <w:r>
              <w:rPr>
                <w:rFonts w:ascii="Times New Roman" w:hAnsi="Times New Roman"/>
                <w:sz w:val="19"/>
              </w:rPr>
              <w:t>"Sting dâu 330ml"</w:t>
            </w:r>
          </w:p>
        </w:tc>
        <w:tc>
          <w:tcPr>
            <w:tcW w:type="dxa" w:w="5227"/>
            <w:vAlign w:val="center"/>
            <w:tcMar>
              <w:top w:w="48" w:type="dxa"/>
              <w:start w:w="85" w:type="dxa"/>
              <w:bottom w:w="48" w:type="dxa"/>
              <w:end w:w="85" w:type="dxa"/>
            </w:tcMar>
          </w:tcPr>
          <w:p>
            <w:pPr>
              <w:spacing w:after="0" w:line="245" w:lineRule="auto"/>
            </w:pPr>
            <w:r>
              <w:rPr>
                <w:rFonts w:ascii="Times New Roman" w:hAnsi="Times New Roman"/>
                <w:sz w:val="19"/>
              </w:rPr>
              <w:t>Both the answer and each accepted form of the reference are normalized, then compared for exact equality. Normalization: (1) Unicode NFC; (2) lowercase; (3) every character that is not a letter, a digit or whitespace is replaced by a space; (4) leading/trailing whitespace removed and runs of whitespace collapsed to one space. Diacritics are not removed. Each reference lists its accepted forms: every spelling of the name that occurs in that business’s data, plus its code — after normalization, e.g. sting dâu 330ml, sp0042.</w:t>
            </w:r>
          </w:p>
        </w:tc>
      </w:tr>
      <w:tr>
        <w:trPr>
          <w:cantSplit/>
        </w:trPr>
        <w:tc>
          <w:tcPr>
            <w:tcW w:type="dxa" w:w="1512"/>
            <w:vAlign w:val="center"/>
            <w:tcMar>
              <w:top w:w="48" w:type="dxa"/>
              <w:start w:w="85" w:type="dxa"/>
              <w:bottom w:w="48" w:type="dxa"/>
              <w:end w:w="85" w:type="dxa"/>
            </w:tcMar>
            <w:shd w:fill="FAFAFA"/>
          </w:tcPr>
          <w:p>
            <w:pPr>
              <w:spacing w:after="0" w:line="245" w:lineRule="auto"/>
            </w:pPr>
            <w:r>
              <w:rPr>
                <w:rFonts w:ascii="Times New Roman" w:hAnsi="Times New Roman"/>
                <w:sz w:val="19"/>
              </w:rPr>
              <w:t>date</w:t>
            </w:r>
          </w:p>
        </w:tc>
        <w:tc>
          <w:tcPr>
            <w:tcW w:type="dxa" w:w="1872"/>
            <w:vAlign w:val="center"/>
            <w:tcMar>
              <w:top w:w="48" w:type="dxa"/>
              <w:start w:w="85" w:type="dxa"/>
              <w:bottom w:w="48" w:type="dxa"/>
              <w:end w:w="85" w:type="dxa"/>
            </w:tcMar>
            <w:shd w:fill="FAFAFA"/>
          </w:tcPr>
          <w:p>
            <w:pPr>
              <w:spacing w:after="0" w:line="245" w:lineRule="auto"/>
            </w:pPr>
            <w:r>
              <w:rPr>
                <w:rFonts w:ascii="Times New Roman" w:hAnsi="Times New Roman"/>
                <w:sz w:val="19"/>
              </w:rPr>
              <w:t>A date in ISO format</w:t>
            </w:r>
          </w:p>
        </w:tc>
        <w:tc>
          <w:tcPr>
            <w:tcW w:type="dxa" w:w="1757"/>
            <w:vAlign w:val="center"/>
            <w:tcMar>
              <w:top w:w="48" w:type="dxa"/>
              <w:start w:w="85" w:type="dxa"/>
              <w:bottom w:w="48" w:type="dxa"/>
              <w:end w:w="85" w:type="dxa"/>
            </w:tcMar>
            <w:shd w:fill="FAFAFA"/>
          </w:tcPr>
          <w:p>
            <w:pPr>
              <w:spacing w:after="0" w:line="245" w:lineRule="auto"/>
            </w:pPr>
            <w:r>
              <w:rPr>
                <w:rFonts w:ascii="Times New Roman" w:hAnsi="Times New Roman"/>
                <w:sz w:val="19"/>
              </w:rPr>
              <w:t>"2026-08-15", "2025-09"</w:t>
            </w:r>
          </w:p>
        </w:tc>
        <w:tc>
          <w:tcPr>
            <w:tcW w:type="dxa" w:w="5227"/>
            <w:vAlign w:val="center"/>
            <w:tcMar>
              <w:top w:w="48" w:type="dxa"/>
              <w:start w:w="85" w:type="dxa"/>
              <w:bottom w:w="48" w:type="dxa"/>
              <w:end w:w="85" w:type="dxa"/>
            </w:tcMar>
            <w:shd w:fill="FAFAFA"/>
          </w:tcPr>
          <w:p>
            <w:pPr>
              <w:spacing w:after="0" w:line="245" w:lineRule="auto"/>
            </w:pPr>
            <w:r>
              <w:rPr>
                <w:rFonts w:ascii="Times New Roman" w:hAnsi="Times New Roman"/>
                <w:sz w:val="19"/>
              </w:rPr>
              <w:t>Exact match. yyyy-mm-dd; questions about a month: yyyy-mm (e.g. "2025-09").</w:t>
            </w:r>
          </w:p>
        </w:tc>
      </w:tr>
      <w:tr>
        <w:trPr>
          <w:cantSplit/>
        </w:trPr>
        <w:tc>
          <w:tcPr>
            <w:tcW w:type="dxa" w:w="1512"/>
            <w:vAlign w:val="center"/>
            <w:tcMar>
              <w:top w:w="48" w:type="dxa"/>
              <w:start w:w="85" w:type="dxa"/>
              <w:bottom w:w="48" w:type="dxa"/>
              <w:end w:w="85" w:type="dxa"/>
            </w:tcMar>
          </w:tcPr>
          <w:p>
            <w:pPr>
              <w:spacing w:after="0" w:line="245" w:lineRule="auto"/>
            </w:pPr>
            <w:r>
              <w:rPr>
                <w:rFonts w:ascii="Times New Roman" w:hAnsi="Times New Roman"/>
                <w:sz w:val="19"/>
              </w:rPr>
              <w:t>boolean</w:t>
            </w:r>
          </w:p>
        </w:tc>
        <w:tc>
          <w:tcPr>
            <w:tcW w:type="dxa" w:w="1872"/>
            <w:vAlign w:val="center"/>
            <w:tcMar>
              <w:top w:w="48" w:type="dxa"/>
              <w:start w:w="85" w:type="dxa"/>
              <w:bottom w:w="48" w:type="dxa"/>
              <w:end w:w="85" w:type="dxa"/>
            </w:tcMar>
          </w:tcPr>
          <w:p>
            <w:pPr>
              <w:spacing w:after="0" w:line="245" w:lineRule="auto"/>
            </w:pPr>
            <w:r>
              <w:rPr>
                <w:rFonts w:ascii="Times New Roman" w:hAnsi="Times New Roman"/>
                <w:sz w:val="19"/>
              </w:rPr>
              <w:t>true / false</w:t>
            </w:r>
          </w:p>
        </w:tc>
        <w:tc>
          <w:tcPr>
            <w:tcW w:type="dxa" w:w="1757"/>
            <w:vAlign w:val="center"/>
            <w:tcMar>
              <w:top w:w="48" w:type="dxa"/>
              <w:start w:w="85" w:type="dxa"/>
              <w:bottom w:w="48" w:type="dxa"/>
              <w:end w:w="85" w:type="dxa"/>
            </w:tcMar>
          </w:tcPr>
          <w:p>
            <w:pPr>
              <w:spacing w:after="0" w:line="245" w:lineRule="auto"/>
            </w:pPr>
            <w:r>
              <w:rPr>
                <w:rFonts w:ascii="Times New Roman" w:hAnsi="Times New Roman"/>
                <w:sz w:val="19"/>
              </w:rPr>
              <w:t>true</w:t>
            </w:r>
          </w:p>
        </w:tc>
        <w:tc>
          <w:tcPr>
            <w:tcW w:type="dxa" w:w="5227"/>
            <w:vAlign w:val="center"/>
            <w:tcMar>
              <w:top w:w="48" w:type="dxa"/>
              <w:start w:w="85" w:type="dxa"/>
              <w:bottom w:w="48" w:type="dxa"/>
              <w:end w:w="85" w:type="dxa"/>
            </w:tcMar>
          </w:tcPr>
          <w:p>
            <w:pPr>
              <w:spacing w:after="0" w:line="245" w:lineRule="auto"/>
            </w:pPr>
            <w:r>
              <w:rPr>
                <w:rFonts w:ascii="Times New Roman" w:hAnsi="Times New Roman"/>
                <w:sz w:val="19"/>
              </w:rPr>
              <w:t>Exact match.</w:t>
            </w:r>
          </w:p>
        </w:tc>
      </w:tr>
      <w:tr>
        <w:trPr>
          <w:cantSplit/>
        </w:trPr>
        <w:tc>
          <w:tcPr>
            <w:tcW w:type="dxa" w:w="1512"/>
            <w:vAlign w:val="center"/>
            <w:tcMar>
              <w:top w:w="48" w:type="dxa"/>
              <w:start w:w="85" w:type="dxa"/>
              <w:bottom w:w="48" w:type="dxa"/>
              <w:end w:w="85" w:type="dxa"/>
            </w:tcMar>
            <w:shd w:fill="FAFAFA"/>
          </w:tcPr>
          <w:p>
            <w:pPr>
              <w:spacing w:after="0" w:line="245" w:lineRule="auto"/>
            </w:pPr>
            <w:r>
              <w:rPr>
                <w:rFonts w:ascii="Times New Roman" w:hAnsi="Times New Roman"/>
                <w:sz w:val="19"/>
              </w:rPr>
              <w:t>list</w:t>
            </w:r>
          </w:p>
        </w:tc>
        <w:tc>
          <w:tcPr>
            <w:tcW w:type="dxa" w:w="1872"/>
            <w:vAlign w:val="center"/>
            <w:tcMar>
              <w:top w:w="48" w:type="dxa"/>
              <w:start w:w="85" w:type="dxa"/>
              <w:bottom w:w="48" w:type="dxa"/>
              <w:end w:w="85" w:type="dxa"/>
            </w:tcMar>
            <w:shd w:fill="FAFAFA"/>
          </w:tcPr>
          <w:p>
            <w:pPr>
              <w:spacing w:after="0" w:line="245" w:lineRule="auto"/>
            </w:pPr>
            <w:r>
              <w:rPr>
                <w:rFonts w:ascii="Times New Roman" w:hAnsi="Times New Roman"/>
                <w:sz w:val="19"/>
              </w:rPr>
              <w:t>An ordered list of names or numbers, in the order the question asks for (or the rulebook default)</w:t>
            </w:r>
          </w:p>
        </w:tc>
        <w:tc>
          <w:tcPr>
            <w:tcW w:type="dxa" w:w="1757"/>
            <w:vAlign w:val="center"/>
            <w:tcMar>
              <w:top w:w="48" w:type="dxa"/>
              <w:start w:w="85" w:type="dxa"/>
              <w:bottom w:w="48" w:type="dxa"/>
              <w:end w:w="85" w:type="dxa"/>
            </w:tcMar>
            <w:shd w:fill="FAFAFA"/>
          </w:tcPr>
          <w:p>
            <w:pPr>
              <w:spacing w:after="0" w:line="245" w:lineRule="auto"/>
            </w:pPr>
            <w:r>
              <w:rPr>
                <w:rFonts w:ascii="Times New Roman" w:hAnsi="Times New Roman"/>
                <w:sz w:val="19"/>
              </w:rPr>
              <w:t>["Cà phê sữa", "Bạc xỉu", "Trà đào"]</w:t>
            </w:r>
          </w:p>
        </w:tc>
        <w:tc>
          <w:tcPr>
            <w:tcW w:type="dxa" w:w="5227"/>
            <w:vAlign w:val="center"/>
            <w:tcMar>
              <w:top w:w="48" w:type="dxa"/>
              <w:start w:w="85" w:type="dxa"/>
              <w:bottom w:w="48" w:type="dxa"/>
              <w:end w:w="85" w:type="dxa"/>
            </w:tcMar>
            <w:shd w:fill="FAFAFA"/>
          </w:tcPr>
          <w:p>
            <w:pPr>
              <w:spacing w:after="0" w:line="245" w:lineRule="auto"/>
            </w:pPr>
            <w:r>
              <w:rPr>
                <w:rFonts w:ascii="Times New Roman" w:hAnsi="Times New Roman"/>
                <w:sz w:val="19"/>
              </w:rPr>
              <w:t>Always ordered, and matched position by position. The order is the one the question asks for, or the rulebook default when the question gives none (see Ranking questions below). Elements are matched with the string or number rule.</w:t>
            </w:r>
          </w:p>
        </w:tc>
      </w:tr>
      <w:tr>
        <w:trPr>
          <w:cantSplit/>
        </w:trPr>
        <w:tc>
          <w:tcPr>
            <w:tcW w:type="dxa" w:w="1512"/>
            <w:vAlign w:val="center"/>
            <w:tcMar>
              <w:top w:w="48" w:type="dxa"/>
              <w:start w:w="85" w:type="dxa"/>
              <w:bottom w:w="48" w:type="dxa"/>
              <w:end w:w="85" w:type="dxa"/>
            </w:tcMar>
          </w:tcPr>
          <w:p>
            <w:pPr>
              <w:spacing w:after="0" w:line="245" w:lineRule="auto"/>
            </w:pPr>
            <w:r>
              <w:rPr>
                <w:rFonts w:ascii="Times New Roman" w:hAnsi="Times New Roman"/>
                <w:sz w:val="19"/>
              </w:rPr>
              <w:t>table</w:t>
            </w:r>
          </w:p>
        </w:tc>
        <w:tc>
          <w:tcPr>
            <w:tcW w:type="dxa" w:w="1872"/>
            <w:vAlign w:val="center"/>
            <w:tcMar>
              <w:top w:w="48" w:type="dxa"/>
              <w:start w:w="85" w:type="dxa"/>
              <w:bottom w:w="48" w:type="dxa"/>
              <w:end w:w="85" w:type="dxa"/>
            </w:tcMar>
          </w:tcPr>
          <w:p>
            <w:pPr>
              <w:spacing w:after="0" w:line="245" w:lineRule="auto"/>
            </w:pPr>
            <w:r>
              <w:rPr>
                <w:rFonts w:ascii="Times New Roman" w:hAnsi="Times New Roman"/>
                <w:sz w:val="19"/>
              </w:rPr>
              <w:t>A small table: column names and rows</w:t>
            </w:r>
          </w:p>
        </w:tc>
        <w:tc>
          <w:tcPr>
            <w:tcW w:type="dxa" w:w="1757"/>
            <w:vAlign w:val="center"/>
            <w:tcMar>
              <w:top w:w="48" w:type="dxa"/>
              <w:start w:w="85" w:type="dxa"/>
              <w:bottom w:w="48" w:type="dxa"/>
              <w:end w:w="85" w:type="dxa"/>
            </w:tcMar>
          </w:tcPr>
          <w:p>
            <w:pPr>
              <w:spacing w:after="0" w:line="245" w:lineRule="auto"/>
            </w:pPr>
            <w:r>
              <w:rPr>
                <w:rFonts w:ascii="Times New Roman" w:hAnsi="Times New Roman"/>
                <w:sz w:val="19"/>
              </w:rPr>
              <w:t>{"columns": [...], "rows": [[...], ...]}</w:t>
            </w:r>
          </w:p>
        </w:tc>
        <w:tc>
          <w:tcPr>
            <w:tcW w:type="dxa" w:w="5227"/>
            <w:vAlign w:val="center"/>
            <w:tcMar>
              <w:top w:w="48" w:type="dxa"/>
              <w:start w:w="85" w:type="dxa"/>
              <w:bottom w:w="48" w:type="dxa"/>
              <w:end w:w="85" w:type="dxa"/>
            </w:tcMar>
          </w:tcPr>
          <w:p>
            <w:pPr>
              <w:spacing w:after="0" w:line="245" w:lineRule="auto"/>
            </w:pPr>
            <w:r>
              <w:rPr>
                <w:rFonts w:ascii="Times New Roman" w:hAnsi="Times New Roman"/>
                <w:sz w:val="19"/>
              </w:rPr>
              <w:t>Columns are matched by normalized name; if the names do not match, by position. Rows are matched as a set; name cells with the stringrule, numeric cells with the number rule.</w:t>
            </w:r>
          </w:p>
        </w:tc>
      </w:tr>
      <w:tr>
        <w:trPr>
          <w:cantSplit/>
        </w:trPr>
        <w:tc>
          <w:tcPr>
            <w:tcW w:type="dxa" w:w="1512"/>
            <w:vAlign w:val="center"/>
            <w:tcMar>
              <w:top w:w="48" w:type="dxa"/>
              <w:start w:w="85" w:type="dxa"/>
              <w:bottom w:w="48" w:type="dxa"/>
              <w:end w:w="85" w:type="dxa"/>
            </w:tcMar>
            <w:shd w:fill="FAFAFA"/>
          </w:tcPr>
          <w:p>
            <w:pPr>
              <w:spacing w:after="0" w:line="245" w:lineRule="auto"/>
            </w:pPr>
            <w:r>
              <w:rPr>
                <w:rFonts w:ascii="Times New Roman" w:hAnsi="Times New Roman"/>
                <w:sz w:val="19"/>
              </w:rPr>
              <w:t>unanswerable</w:t>
            </w:r>
          </w:p>
        </w:tc>
        <w:tc>
          <w:tcPr>
            <w:tcW w:type="dxa" w:w="1872"/>
            <w:vAlign w:val="center"/>
            <w:tcMar>
              <w:top w:w="48" w:type="dxa"/>
              <w:start w:w="85" w:type="dxa"/>
              <w:bottom w:w="48" w:type="dxa"/>
              <w:end w:w="85" w:type="dxa"/>
            </w:tcMar>
            <w:shd w:fill="FAFAFA"/>
          </w:tcPr>
          <w:p>
            <w:pPr>
              <w:spacing w:after="0" w:line="245" w:lineRule="auto"/>
            </w:pPr>
            <w:r>
              <w:rPr>
                <w:rFonts w:ascii="Times New Roman" w:hAnsi="Times New Roman"/>
                <w:sz w:val="19"/>
              </w:rPr>
              <w:t>The data does not contain what is needed to answer</w:t>
            </w:r>
          </w:p>
        </w:tc>
        <w:tc>
          <w:tcPr>
            <w:tcW w:type="dxa" w:w="1757"/>
            <w:vAlign w:val="center"/>
            <w:tcMar>
              <w:top w:w="48" w:type="dxa"/>
              <w:start w:w="85" w:type="dxa"/>
              <w:bottom w:w="48" w:type="dxa"/>
              <w:end w:w="85" w:type="dxa"/>
            </w:tcMar>
            <w:shd w:fill="FAFAFA"/>
          </w:tcPr>
          <w:p>
            <w:pPr>
              <w:spacing w:after="0" w:line="245" w:lineRule="auto"/>
            </w:pPr>
            <w:r>
              <w:rPr>
                <w:rFonts w:ascii="Times New Roman" w:hAnsi="Times New Roman"/>
                <w:sz w:val="19"/>
              </w:rPr>
              <w:t>—</w:t>
            </w:r>
          </w:p>
        </w:tc>
        <w:tc>
          <w:tcPr>
            <w:tcW w:type="dxa" w:w="5227"/>
            <w:vAlign w:val="center"/>
            <w:tcMar>
              <w:top w:w="48" w:type="dxa"/>
              <w:start w:w="85" w:type="dxa"/>
              <w:bottom w:w="48" w:type="dxa"/>
              <w:end w:w="85" w:type="dxa"/>
            </w:tcMar>
            <w:shd w:fill="FAFAFA"/>
          </w:tcPr>
          <w:p>
            <w:pPr>
              <w:spacing w:after="0" w:line="245" w:lineRule="auto"/>
            </w:pPr>
            <w:r>
              <w:rPr>
                <w:rFonts w:ascii="Times New Roman" w:hAnsi="Times New Roman"/>
                <w:sz w:val="19"/>
              </w:rPr>
              <w:t>Correct if and only if the reference is unanswerable.</w:t>
            </w:r>
          </w:p>
        </w:tc>
      </w:tr>
      <w:tr>
        <w:trPr>
          <w:cantSplit/>
        </w:trPr>
        <w:tc>
          <w:tcPr>
            <w:tcW w:type="dxa" w:w="1512"/>
            <w:vAlign w:val="center"/>
            <w:tcMar>
              <w:top w:w="48" w:type="dxa"/>
              <w:start w:w="85" w:type="dxa"/>
              <w:bottom w:w="48" w:type="dxa"/>
              <w:end w:w="85" w:type="dxa"/>
            </w:tcMar>
          </w:tcPr>
          <w:p>
            <w:pPr>
              <w:spacing w:after="0" w:line="245" w:lineRule="auto"/>
            </w:pPr>
            <w:r>
              <w:rPr>
                <w:rFonts w:ascii="Times New Roman" w:hAnsi="Times New Roman"/>
                <w:sz w:val="19"/>
              </w:rPr>
              <w:t>abstain</w:t>
            </w:r>
          </w:p>
        </w:tc>
        <w:tc>
          <w:tcPr>
            <w:tcW w:type="dxa" w:w="1872"/>
            <w:vAlign w:val="center"/>
            <w:tcMar>
              <w:top w:w="48" w:type="dxa"/>
              <w:start w:w="85" w:type="dxa"/>
              <w:bottom w:w="48" w:type="dxa"/>
              <w:end w:w="85" w:type="dxa"/>
            </w:tcMar>
          </w:tcPr>
          <w:p>
            <w:pPr>
              <w:spacing w:after="0" w:line="245" w:lineRule="auto"/>
            </w:pPr>
            <w:r>
              <w:rPr>
                <w:rFonts w:ascii="Times New Roman" w:hAnsi="Times New Roman"/>
                <w:sz w:val="19"/>
              </w:rPr>
              <w:t>The agent chooses not to answer</w:t>
            </w:r>
          </w:p>
        </w:tc>
        <w:tc>
          <w:tcPr>
            <w:tcW w:type="dxa" w:w="1757"/>
            <w:vAlign w:val="center"/>
            <w:tcMar>
              <w:top w:w="48" w:type="dxa"/>
              <w:start w:w="85" w:type="dxa"/>
              <w:bottom w:w="48" w:type="dxa"/>
              <w:end w:w="85" w:type="dxa"/>
            </w:tcMar>
          </w:tcPr>
          <w:p>
            <w:pPr>
              <w:spacing w:after="0" w:line="245" w:lineRule="auto"/>
            </w:pPr>
            <w:r>
              <w:rPr>
                <w:rFonts w:ascii="Times New Roman" w:hAnsi="Times New Roman"/>
                <w:sz w:val="19"/>
              </w:rPr>
              <w:t>—</w:t>
            </w:r>
          </w:p>
        </w:tc>
        <w:tc>
          <w:tcPr>
            <w:tcW w:type="dxa" w:w="5227"/>
            <w:vAlign w:val="center"/>
            <w:tcMar>
              <w:top w:w="48" w:type="dxa"/>
              <w:start w:w="85" w:type="dxa"/>
              <w:bottom w:w="48" w:type="dxa"/>
              <w:end w:w="85" w:type="dxa"/>
            </w:tcMar>
          </w:tcPr>
          <w:p>
            <w:pPr>
              <w:spacing w:after="0" w:line="245" w:lineRule="auto"/>
            </w:pPr>
            <w:r>
              <w:rPr>
                <w:rFonts w:ascii="Times New Roman" w:hAnsi="Times New Roman"/>
                <w:sz w:val="19"/>
              </w:rPr>
              <w:t>Scored as abstain regardless of the reference.</w:t>
            </w:r>
          </w:p>
        </w:tc>
      </w:tr>
    </w:tbl>
    <w:p>
      <w:pPr>
        <w:pStyle w:val="Heading1"/>
      </w:pPr>
      <w:r>
        <w:t>Ranking questions</w:t>
      </w:r>
    </w:p>
    <w:p>
      <w:r>
        <w:t>Rankings use the criterion stated in the question, or the rulebook default when the question gives none, in descending order of that criterion over valid orders only; elements with equal values are ordered by code, ascending. Questions whose reference ranking has a tie at the k boundary (or at rank 1 for “... nhất” questions) are excluded from the test sets. When fewer than k candidates exist, the reference answer is all of them.</w:t>
      </w:r>
    </w:p>
    <w:p>
      <w:pPr>
        <w:pStyle w:val="Heading1"/>
      </w:pPr>
      <w:r>
        <w:t>Score</w:t>
      </w:r>
    </w:p>
    <w:p>
      <w:r>
        <w:t xml:space="preserve">The leaderboard metric is </w:t>
      </w:r>
      <w:r>
        <w:rPr>
          <w:b/>
        </w:rPr>
        <w:t>Penalized Accuracy (PA)</w:t>
      </w:r>
      <w:r>
        <w:t xml:space="preserve"> over the N questions of a test set:</w:t>
      </w:r>
    </w:p>
    <w:p>
      <w:pPr>
        <w:spacing w:before="100" w:after="100"/>
        <w:jc w:val="center"/>
      </w:pPr>
      <w:r>
        <w:rPr>
          <w:sz w:val="24"/>
        </w:rPr>
        <w:t>PA = (1 / N) × ∑(i = 1 to N) s_i</w:t>
      </w:r>
    </w:p>
    <w:p>
      <w:pPr>
        <w:spacing w:after="20"/>
        <w:jc w:val="center"/>
      </w:pPr>
      <w:r>
        <w:t>s_i = 1, if answer i is correct</w:t>
      </w:r>
    </w:p>
    <w:p>
      <w:pPr>
        <w:spacing w:after="20"/>
        <w:jc w:val="center"/>
      </w:pPr>
      <w:r>
        <w:t>s_i = 0, if answer i is abstain</w:t>
      </w:r>
    </w:p>
    <w:p>
      <w:pPr>
        <w:spacing w:after="20"/>
        <w:jc w:val="center"/>
      </w:pPr>
      <w:r>
        <w:t>s_i = -1, if answer i is wrong</w:t>
      </w:r>
    </w:p>
    <w:p>
      <w:r>
        <w:t>Any answer given to an unanswerable question counts as wrong. All questions carry equal weight. Ties in the final ranking are broken by total inference time in the organizers’ re-run, then by earlier submission.</w:t>
      </w:r>
    </w:p>
    <w:sectPr w:rsidR="00FC693F" w:rsidRPr="0006063C" w:rsidSect="00034616">
      <w:pgSz w:w="12240" w:h="15840"/>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Per-question scoring</dc:title>
  <dc:subject>Evaluation rules and Penalized Accuracy scoring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