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SOARisk Enhancement Documentation</w:t>
      </w:r>
    </w:p>
    <w:p>
      <w:pPr>
        <w:jc w:val="center"/>
      </w:pPr>
      <w:r>
        <w:rPr>
          <w:i/>
          <w:sz w:val="22"/>
        </w:rPr>
        <w:t>Structured Playbook Dataset • Recommendation Scoring Model • Evaluation Dataset</w:t>
      </w:r>
    </w:p>
    <w:p>
      <w:pPr>
        <w:jc w:val="center"/>
      </w:pPr>
      <w:r>
        <w:rPr>
          <w:sz w:val="18"/>
        </w:rPr>
        <w:t>Prepared for Codex implementation and report defense readiness</w:t>
        <w:br/>
        <w:t>Date: 2026-05-08</w:t>
      </w:r>
    </w:p>
    <w:p>
      <w:pPr>
        <w:pStyle w:val="Heading1"/>
      </w:pPr>
      <w:r>
        <w:t>1. Executive decision</w:t>
      </w:r>
    </w:p>
    <w:p>
      <w:r>
        <w:t>SOARisk should remain a SOAR-oriented post-alert response prototype. The project should not expand into full IDS, packet inspection, or SIEM replacement. The strongest next step is to improve the structured playbook dataset, recommendation scoring model, and evaluation dataset so the demo becomes report-defense-ready rather than only app-demo-ready.</w:t>
      </w:r>
    </w:p>
    <w:p>
      <w:r>
        <w:t>The proposed direction is deterministic, transparent and explainable. This is more defensible than adding opaque AI or a heavy machine learning model without real SOC-scale labeled data.</w:t>
      </w:r>
    </w:p>
    <w:p>
      <w:pPr>
        <w:pStyle w:val="Heading1"/>
      </w:pPr>
      <w:r>
        <w:t>2. Research basis and design alignment</w:t>
      </w:r>
    </w:p>
    <w:p>
      <w:pPr>
        <w:pStyle w:val="ListBullet"/>
      </w:pPr>
      <w:r>
        <w:t>NIST SP 800-61 Rev. 3 frames incident response as part of broader cybersecurity risk management and CSF 2.0 activities, so SOARisk should connect alerts, response decisions, recovery and lessons learned rather than stop at detection.</w:t>
      </w:r>
    </w:p>
    <w:p>
      <w:pPr>
        <w:pStyle w:val="ListBullet"/>
      </w:pPr>
      <w:r>
        <w:t>CISA incident and vulnerability response playbooks emphasize standardized response procedures, coordination, remediation, recovery and tracking; this supports structured playbooks and workflow status tracking.</w:t>
      </w:r>
    </w:p>
    <w:p>
      <w:pPr>
        <w:pStyle w:val="ListBullet"/>
      </w:pPr>
      <w:r>
        <w:t>MITRE ATT&amp;CK provides a common threat-language layer for mapping alerts and playbooks to adversary behavior such as active scanning, exploitation, brute force, phishing, webshells and exfiltration.</w:t>
      </w:r>
    </w:p>
    <w:p>
      <w:pPr>
        <w:pStyle w:val="ListBullet"/>
      </w:pPr>
      <w:r>
        <w:t>CACAO/OASIS confirms the value of machine-processable playbooks, workflow steps, commands, targets and agents; SOARisk can borrow the structure without implementing the full CACAO standard.</w:t>
      </w:r>
    </w:p>
    <w:p>
      <w:pPr>
        <w:pStyle w:val="Heading1"/>
      </w:pPr>
      <w:r>
        <w:t>3. Target deliverables</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shd w:fill="D9EAF7"/>
          </w:tcPr>
          <w:p>
            <w:r/>
            <w:r>
              <w:rPr>
                <w:b/>
                <w:sz w:val="17"/>
              </w:rPr>
              <w:t>Deliverable</w:t>
            </w:r>
          </w:p>
        </w:tc>
        <w:tc>
          <w:tcPr>
            <w:tcW w:type="dxa" w:w="3408"/>
            <w:vAlign w:val="center"/>
            <w:shd w:fill="D9EAF7"/>
          </w:tcPr>
          <w:p>
            <w:r/>
            <w:r>
              <w:rPr>
                <w:b/>
                <w:sz w:val="17"/>
              </w:rPr>
              <w:t>Purpose</w:t>
            </w:r>
          </w:p>
        </w:tc>
        <w:tc>
          <w:tcPr>
            <w:tcW w:type="dxa" w:w="3408"/>
            <w:vAlign w:val="center"/>
            <w:shd w:fill="D9EAF7"/>
          </w:tcPr>
          <w:p>
            <w:r/>
            <w:r>
              <w:rPr>
                <w:b/>
                <w:sz w:val="17"/>
              </w:rPr>
              <w:t>File</w:t>
            </w:r>
          </w:p>
        </w:tc>
      </w:tr>
      <w:tr>
        <w:tc>
          <w:tcPr>
            <w:tcW w:type="dxa" w:w="3408"/>
            <w:vAlign w:val="center"/>
          </w:tcPr>
          <w:p>
            <w:r/>
            <w:r>
              <w:rPr>
                <w:b w:val="0"/>
                <w:sz w:val="17"/>
              </w:rPr>
              <w:t>Structured Playbook Dataset</w:t>
            </w:r>
          </w:p>
        </w:tc>
        <w:tc>
          <w:tcPr>
            <w:tcW w:type="dxa" w:w="3408"/>
            <w:vAlign w:val="center"/>
          </w:tcPr>
          <w:p>
            <w:r/>
            <w:r>
              <w:rPr>
                <w:b w:val="0"/>
                <w:sz w:val="17"/>
              </w:rPr>
              <w:t>30 playbooks with metadata, required fields, MITRE mapping, approval risk, automation suitability and workflow steps.</w:t>
            </w:r>
          </w:p>
        </w:tc>
        <w:tc>
          <w:tcPr>
            <w:tcW w:type="dxa" w:w="3408"/>
            <w:vAlign w:val="center"/>
          </w:tcPr>
          <w:p>
            <w:r/>
            <w:r>
              <w:rPr>
                <w:b w:val="0"/>
                <w:sz w:val="17"/>
              </w:rPr>
              <w:t>playbooks.v2.seed.json</w:t>
            </w:r>
          </w:p>
        </w:tc>
      </w:tr>
      <w:tr>
        <w:tc>
          <w:tcPr>
            <w:tcW w:type="dxa" w:w="3408"/>
            <w:vAlign w:val="center"/>
          </w:tcPr>
          <w:p>
            <w:r/>
            <w:r>
              <w:rPr>
                <w:b w:val="0"/>
                <w:sz w:val="17"/>
              </w:rPr>
              <w:t>Recommendation Scoring Model</w:t>
            </w:r>
          </w:p>
        </w:tc>
        <w:tc>
          <w:tcPr>
            <w:tcW w:type="dxa" w:w="3408"/>
            <w:vAlign w:val="center"/>
          </w:tcPr>
          <w:p>
            <w:r/>
            <w:r>
              <w:rPr>
                <w:b w:val="0"/>
                <w:sz w:val="17"/>
              </w:rPr>
              <w:t>Explainable weighted scoring, penalties, thresholds, tie-breakers and explanation template.</w:t>
            </w:r>
          </w:p>
        </w:tc>
        <w:tc>
          <w:tcPr>
            <w:tcW w:type="dxa" w:w="3408"/>
            <w:vAlign w:val="center"/>
          </w:tcPr>
          <w:p>
            <w:r/>
            <w:r>
              <w:rPr>
                <w:b w:val="0"/>
                <w:sz w:val="17"/>
              </w:rPr>
              <w:t>scoring_model.v1.json</w:t>
            </w:r>
          </w:p>
        </w:tc>
      </w:tr>
      <w:tr>
        <w:tc>
          <w:tcPr>
            <w:tcW w:type="dxa" w:w="3408"/>
            <w:vAlign w:val="center"/>
          </w:tcPr>
          <w:p>
            <w:r/>
            <w:r>
              <w:rPr>
                <w:b w:val="0"/>
                <w:sz w:val="17"/>
              </w:rPr>
              <w:t>Evaluation Dataset</w:t>
            </w:r>
          </w:p>
        </w:tc>
        <w:tc>
          <w:tcPr>
            <w:tcW w:type="dxa" w:w="3408"/>
            <w:vAlign w:val="center"/>
          </w:tcPr>
          <w:p>
            <w:r/>
            <w:r>
              <w:rPr>
                <w:b w:val="0"/>
                <w:sz w:val="17"/>
              </w:rPr>
              <w:t>75 cases with expected Top-1, acceptable Top-3, rationale, difficulty and baseline trap.</w:t>
            </w:r>
          </w:p>
        </w:tc>
        <w:tc>
          <w:tcPr>
            <w:tcW w:type="dxa" w:w="3408"/>
            <w:vAlign w:val="center"/>
          </w:tcPr>
          <w:p>
            <w:r/>
            <w:r>
              <w:rPr>
                <w:b w:val="0"/>
                <w:sz w:val="17"/>
              </w:rPr>
              <w:t>evaluation_cases.v1.json</w:t>
            </w:r>
          </w:p>
        </w:tc>
      </w:tr>
      <w:tr>
        <w:tc>
          <w:tcPr>
            <w:tcW w:type="dxa" w:w="3408"/>
            <w:vAlign w:val="center"/>
          </w:tcPr>
          <w:p>
            <w:r/>
            <w:r>
              <w:rPr>
                <w:b w:val="0"/>
                <w:sz w:val="17"/>
              </w:rPr>
              <w:t>Codex Prompt</w:t>
            </w:r>
          </w:p>
        </w:tc>
        <w:tc>
          <w:tcPr>
            <w:tcW w:type="dxa" w:w="3408"/>
            <w:vAlign w:val="center"/>
          </w:tcPr>
          <w:p>
            <w:r/>
            <w:r>
              <w:rPr>
                <w:b w:val="0"/>
                <w:sz w:val="17"/>
              </w:rPr>
              <w:t>Direct implementation prompt for Codex.</w:t>
            </w:r>
          </w:p>
        </w:tc>
        <w:tc>
          <w:tcPr>
            <w:tcW w:type="dxa" w:w="3408"/>
            <w:vAlign w:val="center"/>
          </w:tcPr>
          <w:p>
            <w:r/>
            <w:r>
              <w:rPr>
                <w:b w:val="0"/>
                <w:sz w:val="17"/>
              </w:rPr>
              <w:t>SOARisk_Codex_Implementation_Prompt.md</w:t>
            </w:r>
          </w:p>
        </w:tc>
      </w:tr>
      <w:tr>
        <w:tc>
          <w:tcPr>
            <w:tcW w:type="dxa" w:w="3408"/>
            <w:vAlign w:val="center"/>
          </w:tcPr>
          <w:p>
            <w:r/>
            <w:r>
              <w:rPr>
                <w:b w:val="0"/>
                <w:sz w:val="17"/>
              </w:rPr>
              <w:t>Report Methodology</w:t>
            </w:r>
          </w:p>
        </w:tc>
        <w:tc>
          <w:tcPr>
            <w:tcW w:type="dxa" w:w="3408"/>
            <w:vAlign w:val="center"/>
          </w:tcPr>
          <w:p>
            <w:r/>
            <w:r>
              <w:rPr>
                <w:b w:val="0"/>
                <w:sz w:val="17"/>
              </w:rPr>
              <w:t>Ready-to-paste section for report methodology/evaluation.</w:t>
            </w:r>
          </w:p>
        </w:tc>
        <w:tc>
          <w:tcPr>
            <w:tcW w:type="dxa" w:w="3408"/>
            <w:vAlign w:val="center"/>
          </w:tcPr>
          <w:p>
            <w:r/>
            <w:r>
              <w:rPr>
                <w:b w:val="0"/>
                <w:sz w:val="17"/>
              </w:rPr>
              <w:t>SOARisk_Report_Methodology_Section.md</w:t>
            </w:r>
          </w:p>
        </w:tc>
      </w:tr>
    </w:tbl>
    <w:p>
      <w:pPr>
        <w:pStyle w:val="Heading1"/>
      </w:pPr>
      <w:r>
        <w:t>4. Structured Playbook Dataset</w:t>
      </w:r>
    </w:p>
    <w:p>
      <w:r>
        <w:t>Each playbook should be treated as structured response knowledge, not plain text. Required fields ensure the system only recommends a playbook when enough context exists to execute or simulate its workflow safely. Approval risk prevents dangerous automation from running without analyst confirmation.</w:t>
      </w:r>
    </w:p>
    <w:p>
      <w:pPr>
        <w:spacing w:after="120"/>
      </w:pPr>
      <w:r>
        <w:rPr>
          <w:rFonts w:ascii="Courier New" w:hAnsi="Courier New"/>
          <w:sz w:val="16"/>
        </w:rPr>
        <w:t>interface StructuredPlaybook {</w:t>
        <w:br/>
        <w:t xml:space="preserve">  id: string;</w:t>
        <w:br/>
        <w:t xml:space="preserve">  version: string;</w:t>
        <w:br/>
        <w:t xml:space="preserve">  status: 'active' | 'draft' | 'deprecated';</w:t>
        <w:br/>
        <w:t xml:space="preserve">  name: string;</w:t>
        <w:br/>
        <w:t xml:space="preserve">  category: string;</w:t>
        <w:br/>
        <w:t xml:space="preserve">  alertTypes: string[];</w:t>
        <w:br/>
        <w:t xml:space="preserve">  severityAffinity: Severity[];</w:t>
        <w:br/>
        <w:t xml:space="preserve">  requiredFields: string[];</w:t>
        <w:br/>
        <w:t xml:space="preserve">  mitreTechniques: { id: string; name: string; tactic: string }[];</w:t>
        <w:br/>
        <w:t xml:space="preserve">  assetCriticalityAffinity: Severity[];</w:t>
        <w:br/>
        <w:t xml:space="preserve">  automationSuitability: number;</w:t>
        <w:br/>
        <w:t xml:space="preserve">  approvalRisk: 'low' | 'medium' | 'high' | 'critical';</w:t>
        <w:br/>
        <w:t xml:space="preserve">  scoringHints: { positiveSignals: string[]; negativeSignals: string[] };</w:t>
        <w:br/>
        <w:t xml:space="preserve">  workflowSteps: WorkflowStep[];</w:t>
        <w:br/>
        <w:t>}</w:t>
      </w:r>
    </w:p>
    <w:p>
      <w:pPr>
        <w:pStyle w:val="Heading2"/>
      </w:pPr>
      <w:r>
        <w:t>4.1 Playbook coverage</w:t>
      </w:r>
    </w:p>
    <w:tbl>
      <w:tblPr>
        <w:tblStyle w:val="TableGrid"/>
        <w:tblW w:type="auto" w:w="0"/>
        <w:jc w:val="center"/>
        <w:tblLook w:firstColumn="1" w:firstRow="1" w:lastColumn="0" w:lastRow="0" w:noHBand="0" w:noVBand="1" w:val="04A0"/>
      </w:tblPr>
      <w:tblGrid>
        <w:gridCol w:w="1704"/>
        <w:gridCol w:w="1704"/>
        <w:gridCol w:w="1704"/>
        <w:gridCol w:w="1704"/>
        <w:gridCol w:w="1704"/>
        <w:gridCol w:w="1704"/>
      </w:tblGrid>
      <w:tr>
        <w:tc>
          <w:tcPr>
            <w:tcW w:type="dxa" w:w="1704"/>
            <w:vAlign w:val="center"/>
            <w:shd w:fill="D9EAF7"/>
          </w:tcPr>
          <w:p>
            <w:r/>
            <w:r>
              <w:rPr>
                <w:b/>
                <w:sz w:val="17"/>
              </w:rPr>
              <w:t>ID</w:t>
            </w:r>
          </w:p>
        </w:tc>
        <w:tc>
          <w:tcPr>
            <w:tcW w:type="dxa" w:w="1704"/>
            <w:vAlign w:val="center"/>
            <w:shd w:fill="D9EAF7"/>
          </w:tcPr>
          <w:p>
            <w:r/>
            <w:r>
              <w:rPr>
                <w:b/>
                <w:sz w:val="17"/>
              </w:rPr>
              <w:t>Category</w:t>
            </w:r>
          </w:p>
        </w:tc>
        <w:tc>
          <w:tcPr>
            <w:tcW w:type="dxa" w:w="1704"/>
            <w:vAlign w:val="center"/>
            <w:shd w:fill="D9EAF7"/>
          </w:tcPr>
          <w:p>
            <w:r/>
            <w:r>
              <w:rPr>
                <w:b/>
                <w:sz w:val="17"/>
              </w:rPr>
              <w:t>Name</w:t>
            </w:r>
          </w:p>
        </w:tc>
        <w:tc>
          <w:tcPr>
            <w:tcW w:type="dxa" w:w="1704"/>
            <w:vAlign w:val="center"/>
            <w:shd w:fill="D9EAF7"/>
          </w:tcPr>
          <w:p>
            <w:r/>
            <w:r>
              <w:rPr>
                <w:b/>
                <w:sz w:val="17"/>
              </w:rPr>
              <w:t>Severity</w:t>
            </w:r>
          </w:p>
        </w:tc>
        <w:tc>
          <w:tcPr>
            <w:tcW w:type="dxa" w:w="1704"/>
            <w:vAlign w:val="center"/>
            <w:shd w:fill="D9EAF7"/>
          </w:tcPr>
          <w:p>
            <w:r/>
            <w:r>
              <w:rPr>
                <w:b/>
                <w:sz w:val="17"/>
              </w:rPr>
              <w:t>Risk</w:t>
            </w:r>
          </w:p>
        </w:tc>
        <w:tc>
          <w:tcPr>
            <w:tcW w:type="dxa" w:w="1704"/>
            <w:vAlign w:val="center"/>
            <w:shd w:fill="D9EAF7"/>
          </w:tcPr>
          <w:p>
            <w:r/>
            <w:r>
              <w:rPr>
                <w:b/>
                <w:sz w:val="17"/>
              </w:rPr>
              <w:t>Auto</w:t>
            </w:r>
          </w:p>
        </w:tc>
      </w:tr>
      <w:tr>
        <w:tc>
          <w:tcPr>
            <w:tcW w:type="dxa" w:w="1704"/>
            <w:vAlign w:val="center"/>
          </w:tcPr>
          <w:p>
            <w:r/>
            <w:r>
              <w:rPr>
                <w:b w:val="0"/>
                <w:sz w:val="17"/>
              </w:rPr>
              <w:t>PB-001</w:t>
            </w:r>
          </w:p>
        </w:tc>
        <w:tc>
          <w:tcPr>
            <w:tcW w:type="dxa" w:w="1704"/>
            <w:vAlign w:val="center"/>
          </w:tcPr>
          <w:p>
            <w:r/>
            <w:r>
              <w:rPr>
                <w:b w:val="0"/>
                <w:sz w:val="17"/>
              </w:rPr>
              <w:t>port_scan</w:t>
            </w:r>
          </w:p>
        </w:tc>
        <w:tc>
          <w:tcPr>
            <w:tcW w:type="dxa" w:w="1704"/>
            <w:vAlign w:val="center"/>
          </w:tcPr>
          <w:p>
            <w:r/>
            <w:r>
              <w:rPr>
                <w:b w:val="0"/>
                <w:sz w:val="17"/>
              </w:rPr>
              <w:t>External Port Scan Investigation</w:t>
            </w:r>
          </w:p>
        </w:tc>
        <w:tc>
          <w:tcPr>
            <w:tcW w:type="dxa" w:w="1704"/>
            <w:vAlign w:val="center"/>
          </w:tcPr>
          <w:p>
            <w:r/>
            <w:r>
              <w:rPr>
                <w:b w:val="0"/>
                <w:sz w:val="17"/>
              </w:rPr>
              <w:t>low, medium</w:t>
            </w:r>
          </w:p>
        </w:tc>
        <w:tc>
          <w:tcPr>
            <w:tcW w:type="dxa" w:w="1704"/>
            <w:vAlign w:val="center"/>
          </w:tcPr>
          <w:p>
            <w:r/>
            <w:r>
              <w:rPr>
                <w:b w:val="0"/>
                <w:sz w:val="17"/>
              </w:rPr>
              <w:t>low</w:t>
            </w:r>
          </w:p>
        </w:tc>
        <w:tc>
          <w:tcPr>
            <w:tcW w:type="dxa" w:w="1704"/>
            <w:vAlign w:val="center"/>
          </w:tcPr>
          <w:p>
            <w:r/>
            <w:r>
              <w:rPr>
                <w:b w:val="0"/>
                <w:sz w:val="17"/>
              </w:rPr>
              <w:t>0.75</w:t>
            </w:r>
          </w:p>
        </w:tc>
      </w:tr>
      <w:tr>
        <w:tc>
          <w:tcPr>
            <w:tcW w:type="dxa" w:w="1704"/>
            <w:vAlign w:val="center"/>
          </w:tcPr>
          <w:p>
            <w:r/>
            <w:r>
              <w:rPr>
                <w:b w:val="0"/>
                <w:sz w:val="17"/>
              </w:rPr>
              <w:t>PB-002</w:t>
            </w:r>
          </w:p>
        </w:tc>
        <w:tc>
          <w:tcPr>
            <w:tcW w:type="dxa" w:w="1704"/>
            <w:vAlign w:val="center"/>
          </w:tcPr>
          <w:p>
            <w:r/>
            <w:r>
              <w:rPr>
                <w:b w:val="0"/>
                <w:sz w:val="17"/>
              </w:rPr>
              <w:t>port_scan</w:t>
            </w:r>
          </w:p>
        </w:tc>
        <w:tc>
          <w:tcPr>
            <w:tcW w:type="dxa" w:w="1704"/>
            <w:vAlign w:val="center"/>
          </w:tcPr>
          <w:p>
            <w:r/>
            <w:r>
              <w:rPr>
                <w:b w:val="0"/>
                <w:sz w:val="17"/>
              </w:rPr>
              <w:t>Internal Lateral Movement Scan</w:t>
            </w:r>
          </w:p>
        </w:tc>
        <w:tc>
          <w:tcPr>
            <w:tcW w:type="dxa" w:w="1704"/>
            <w:vAlign w:val="center"/>
          </w:tcPr>
          <w:p>
            <w:r/>
            <w:r>
              <w:rPr>
                <w:b w:val="0"/>
                <w:sz w:val="17"/>
              </w:rPr>
              <w:t>medium, high</w:t>
            </w:r>
          </w:p>
        </w:tc>
        <w:tc>
          <w:tcPr>
            <w:tcW w:type="dxa" w:w="1704"/>
            <w:vAlign w:val="center"/>
          </w:tcPr>
          <w:p>
            <w:r/>
            <w:r>
              <w:rPr>
                <w:b w:val="0"/>
                <w:sz w:val="17"/>
              </w:rPr>
              <w:t>medium</w:t>
            </w:r>
          </w:p>
        </w:tc>
        <w:tc>
          <w:tcPr>
            <w:tcW w:type="dxa" w:w="1704"/>
            <w:vAlign w:val="center"/>
          </w:tcPr>
          <w:p>
            <w:r/>
            <w:r>
              <w:rPr>
                <w:b w:val="0"/>
                <w:sz w:val="17"/>
              </w:rPr>
              <w:t>0.55</w:t>
            </w:r>
          </w:p>
        </w:tc>
      </w:tr>
      <w:tr>
        <w:tc>
          <w:tcPr>
            <w:tcW w:type="dxa" w:w="1704"/>
            <w:vAlign w:val="center"/>
          </w:tcPr>
          <w:p>
            <w:r/>
            <w:r>
              <w:rPr>
                <w:b w:val="0"/>
                <w:sz w:val="17"/>
              </w:rPr>
              <w:t>PB-003</w:t>
            </w:r>
          </w:p>
        </w:tc>
        <w:tc>
          <w:tcPr>
            <w:tcW w:type="dxa" w:w="1704"/>
            <w:vAlign w:val="center"/>
          </w:tcPr>
          <w:p>
            <w:r/>
            <w:r>
              <w:rPr>
                <w:b w:val="0"/>
                <w:sz w:val="17"/>
              </w:rPr>
              <w:t>port_scan</w:t>
            </w:r>
          </w:p>
        </w:tc>
        <w:tc>
          <w:tcPr>
            <w:tcW w:type="dxa" w:w="1704"/>
            <w:vAlign w:val="center"/>
          </w:tcPr>
          <w:p>
            <w:r/>
            <w:r>
              <w:rPr>
                <w:b w:val="0"/>
                <w:sz w:val="17"/>
              </w:rPr>
              <w:t>Critical Asset Reconnaissance</w:t>
            </w:r>
          </w:p>
        </w:tc>
        <w:tc>
          <w:tcPr>
            <w:tcW w:type="dxa" w:w="1704"/>
            <w:vAlign w:val="center"/>
          </w:tcPr>
          <w:p>
            <w:r/>
            <w:r>
              <w:rPr>
                <w:b w:val="0"/>
                <w:sz w:val="17"/>
              </w:rPr>
              <w:t>medium, high, critical</w:t>
            </w:r>
          </w:p>
        </w:tc>
        <w:tc>
          <w:tcPr>
            <w:tcW w:type="dxa" w:w="1704"/>
            <w:vAlign w:val="center"/>
          </w:tcPr>
          <w:p>
            <w:r/>
            <w:r>
              <w:rPr>
                <w:b w:val="0"/>
                <w:sz w:val="17"/>
              </w:rPr>
              <w:t>medium</w:t>
            </w:r>
          </w:p>
        </w:tc>
        <w:tc>
          <w:tcPr>
            <w:tcW w:type="dxa" w:w="1704"/>
            <w:vAlign w:val="center"/>
          </w:tcPr>
          <w:p>
            <w:r/>
            <w:r>
              <w:rPr>
                <w:b w:val="0"/>
                <w:sz w:val="17"/>
              </w:rPr>
              <w:t>0.5</w:t>
            </w:r>
          </w:p>
        </w:tc>
      </w:tr>
      <w:tr>
        <w:tc>
          <w:tcPr>
            <w:tcW w:type="dxa" w:w="1704"/>
            <w:vAlign w:val="center"/>
          </w:tcPr>
          <w:p>
            <w:r/>
            <w:r>
              <w:rPr>
                <w:b w:val="0"/>
                <w:sz w:val="17"/>
              </w:rPr>
              <w:t>PB-004</w:t>
            </w:r>
          </w:p>
        </w:tc>
        <w:tc>
          <w:tcPr>
            <w:tcW w:type="dxa" w:w="1704"/>
            <w:vAlign w:val="center"/>
          </w:tcPr>
          <w:p>
            <w:r/>
            <w:r>
              <w:rPr>
                <w:b w:val="0"/>
                <w:sz w:val="17"/>
              </w:rPr>
              <w:t>port_scan</w:t>
            </w:r>
          </w:p>
        </w:tc>
        <w:tc>
          <w:tcPr>
            <w:tcW w:type="dxa" w:w="1704"/>
            <w:vAlign w:val="center"/>
          </w:tcPr>
          <w:p>
            <w:r/>
            <w:r>
              <w:rPr>
                <w:b w:val="0"/>
                <w:sz w:val="17"/>
              </w:rPr>
              <w:t>Vulnerability Scan Against Exposed Service</w:t>
            </w:r>
          </w:p>
        </w:tc>
        <w:tc>
          <w:tcPr>
            <w:tcW w:type="dxa" w:w="1704"/>
            <w:vAlign w:val="center"/>
          </w:tcPr>
          <w:p>
            <w:r/>
            <w:r>
              <w:rPr>
                <w:b w:val="0"/>
                <w:sz w:val="17"/>
              </w:rPr>
              <w:t>medium, high</w:t>
            </w:r>
          </w:p>
        </w:tc>
        <w:tc>
          <w:tcPr>
            <w:tcW w:type="dxa" w:w="1704"/>
            <w:vAlign w:val="center"/>
          </w:tcPr>
          <w:p>
            <w:r/>
            <w:r>
              <w:rPr>
                <w:b w:val="0"/>
                <w:sz w:val="17"/>
              </w:rPr>
              <w:t>medium</w:t>
            </w:r>
          </w:p>
        </w:tc>
        <w:tc>
          <w:tcPr>
            <w:tcW w:type="dxa" w:w="1704"/>
            <w:vAlign w:val="center"/>
          </w:tcPr>
          <w:p>
            <w:r/>
            <w:r>
              <w:rPr>
                <w:b w:val="0"/>
                <w:sz w:val="17"/>
              </w:rPr>
              <w:t>0.6</w:t>
            </w:r>
          </w:p>
        </w:tc>
      </w:tr>
      <w:tr>
        <w:tc>
          <w:tcPr>
            <w:tcW w:type="dxa" w:w="1704"/>
            <w:vAlign w:val="center"/>
          </w:tcPr>
          <w:p>
            <w:r/>
            <w:r>
              <w:rPr>
                <w:b w:val="0"/>
                <w:sz w:val="17"/>
              </w:rPr>
              <w:t>PB-005</w:t>
            </w:r>
          </w:p>
        </w:tc>
        <w:tc>
          <w:tcPr>
            <w:tcW w:type="dxa" w:w="1704"/>
            <w:vAlign w:val="center"/>
          </w:tcPr>
          <w:p>
            <w:r/>
            <w:r>
              <w:rPr>
                <w:b w:val="0"/>
                <w:sz w:val="17"/>
              </w:rPr>
              <w:t>web_sql_injection</w:t>
            </w:r>
          </w:p>
        </w:tc>
        <w:tc>
          <w:tcPr>
            <w:tcW w:type="dxa" w:w="1704"/>
            <w:vAlign w:val="center"/>
          </w:tcPr>
          <w:p>
            <w:r/>
            <w:r>
              <w:rPr>
                <w:b w:val="0"/>
                <w:sz w:val="17"/>
              </w:rPr>
              <w:t>Basic SQLi Triage</w:t>
            </w:r>
          </w:p>
        </w:tc>
        <w:tc>
          <w:tcPr>
            <w:tcW w:type="dxa" w:w="1704"/>
            <w:vAlign w:val="center"/>
          </w:tcPr>
          <w:p>
            <w:r/>
            <w:r>
              <w:rPr>
                <w:b w:val="0"/>
                <w:sz w:val="17"/>
              </w:rPr>
              <w:t>low, medium</w:t>
            </w:r>
          </w:p>
        </w:tc>
        <w:tc>
          <w:tcPr>
            <w:tcW w:type="dxa" w:w="1704"/>
            <w:vAlign w:val="center"/>
          </w:tcPr>
          <w:p>
            <w:r/>
            <w:r>
              <w:rPr>
                <w:b w:val="0"/>
                <w:sz w:val="17"/>
              </w:rPr>
              <w:t>low</w:t>
            </w:r>
          </w:p>
        </w:tc>
        <w:tc>
          <w:tcPr>
            <w:tcW w:type="dxa" w:w="1704"/>
            <w:vAlign w:val="center"/>
          </w:tcPr>
          <w:p>
            <w:r/>
            <w:r>
              <w:rPr>
                <w:b w:val="0"/>
                <w:sz w:val="17"/>
              </w:rPr>
              <w:t>0.8</w:t>
            </w:r>
          </w:p>
        </w:tc>
      </w:tr>
      <w:tr>
        <w:tc>
          <w:tcPr>
            <w:tcW w:type="dxa" w:w="1704"/>
            <w:vAlign w:val="center"/>
          </w:tcPr>
          <w:p>
            <w:r/>
            <w:r>
              <w:rPr>
                <w:b w:val="0"/>
                <w:sz w:val="17"/>
              </w:rPr>
              <w:t>PB-006</w:t>
            </w:r>
          </w:p>
        </w:tc>
        <w:tc>
          <w:tcPr>
            <w:tcW w:type="dxa" w:w="1704"/>
            <w:vAlign w:val="center"/>
          </w:tcPr>
          <w:p>
            <w:r/>
            <w:r>
              <w:rPr>
                <w:b w:val="0"/>
                <w:sz w:val="17"/>
              </w:rPr>
              <w:t>web_sql_injection</w:t>
            </w:r>
          </w:p>
        </w:tc>
        <w:tc>
          <w:tcPr>
            <w:tcW w:type="dxa" w:w="1704"/>
            <w:vAlign w:val="center"/>
          </w:tcPr>
          <w:p>
            <w:r/>
            <w:r>
              <w:rPr>
                <w:b w:val="0"/>
                <w:sz w:val="17"/>
              </w:rPr>
              <w:t>SQLi Against Authentication Endpoint</w:t>
            </w:r>
          </w:p>
        </w:tc>
        <w:tc>
          <w:tcPr>
            <w:tcW w:type="dxa" w:w="1704"/>
            <w:vAlign w:val="center"/>
          </w:tcPr>
          <w:p>
            <w:r/>
            <w:r>
              <w:rPr>
                <w:b w:val="0"/>
                <w:sz w:val="17"/>
              </w:rPr>
              <w:t>medium, high</w:t>
            </w:r>
          </w:p>
        </w:tc>
        <w:tc>
          <w:tcPr>
            <w:tcW w:type="dxa" w:w="1704"/>
            <w:vAlign w:val="center"/>
          </w:tcPr>
          <w:p>
            <w:r/>
            <w:r>
              <w:rPr>
                <w:b w:val="0"/>
                <w:sz w:val="17"/>
              </w:rPr>
              <w:t>medium</w:t>
            </w:r>
          </w:p>
        </w:tc>
        <w:tc>
          <w:tcPr>
            <w:tcW w:type="dxa" w:w="1704"/>
            <w:vAlign w:val="center"/>
          </w:tcPr>
          <w:p>
            <w:r/>
            <w:r>
              <w:rPr>
                <w:b w:val="0"/>
                <w:sz w:val="17"/>
              </w:rPr>
              <w:t>0.65</w:t>
            </w:r>
          </w:p>
        </w:tc>
      </w:tr>
      <w:tr>
        <w:tc>
          <w:tcPr>
            <w:tcW w:type="dxa" w:w="1704"/>
            <w:vAlign w:val="center"/>
          </w:tcPr>
          <w:p>
            <w:r/>
            <w:r>
              <w:rPr>
                <w:b w:val="0"/>
                <w:sz w:val="17"/>
              </w:rPr>
              <w:t>PB-007</w:t>
            </w:r>
          </w:p>
        </w:tc>
        <w:tc>
          <w:tcPr>
            <w:tcW w:type="dxa" w:w="1704"/>
            <w:vAlign w:val="center"/>
          </w:tcPr>
          <w:p>
            <w:r/>
            <w:r>
              <w:rPr>
                <w:b w:val="0"/>
                <w:sz w:val="17"/>
              </w:rPr>
              <w:t>web_sql_injection</w:t>
            </w:r>
          </w:p>
        </w:tc>
        <w:tc>
          <w:tcPr>
            <w:tcW w:type="dxa" w:w="1704"/>
            <w:vAlign w:val="center"/>
          </w:tcPr>
          <w:p>
            <w:r/>
            <w:r>
              <w:rPr>
                <w:b w:val="0"/>
                <w:sz w:val="17"/>
              </w:rPr>
              <w:t>SQLi With Possible Data Access</w:t>
            </w:r>
          </w:p>
        </w:tc>
        <w:tc>
          <w:tcPr>
            <w:tcW w:type="dxa" w:w="1704"/>
            <w:vAlign w:val="center"/>
          </w:tcPr>
          <w:p>
            <w:r/>
            <w:r>
              <w:rPr>
                <w:b w:val="0"/>
                <w:sz w:val="17"/>
              </w:rPr>
              <w:t>high, critical</w:t>
            </w:r>
          </w:p>
        </w:tc>
        <w:tc>
          <w:tcPr>
            <w:tcW w:type="dxa" w:w="1704"/>
            <w:vAlign w:val="center"/>
          </w:tcPr>
          <w:p>
            <w:r/>
            <w:r>
              <w:rPr>
                <w:b w:val="0"/>
                <w:sz w:val="17"/>
              </w:rPr>
              <w:t>high</w:t>
            </w:r>
          </w:p>
        </w:tc>
        <w:tc>
          <w:tcPr>
            <w:tcW w:type="dxa" w:w="1704"/>
            <w:vAlign w:val="center"/>
          </w:tcPr>
          <w:p>
            <w:r/>
            <w:r>
              <w:rPr>
                <w:b w:val="0"/>
                <w:sz w:val="17"/>
              </w:rPr>
              <w:t>0.35</w:t>
            </w:r>
          </w:p>
        </w:tc>
      </w:tr>
      <w:tr>
        <w:tc>
          <w:tcPr>
            <w:tcW w:type="dxa" w:w="1704"/>
            <w:vAlign w:val="center"/>
          </w:tcPr>
          <w:p>
            <w:r/>
            <w:r>
              <w:rPr>
                <w:b w:val="0"/>
                <w:sz w:val="17"/>
              </w:rPr>
              <w:t>PB-008</w:t>
            </w:r>
          </w:p>
        </w:tc>
        <w:tc>
          <w:tcPr>
            <w:tcW w:type="dxa" w:w="1704"/>
            <w:vAlign w:val="center"/>
          </w:tcPr>
          <w:p>
            <w:r/>
            <w:r>
              <w:rPr>
                <w:b w:val="0"/>
                <w:sz w:val="17"/>
              </w:rPr>
              <w:t>web_sql_injection</w:t>
            </w:r>
          </w:p>
        </w:tc>
        <w:tc>
          <w:tcPr>
            <w:tcW w:type="dxa" w:w="1704"/>
            <w:vAlign w:val="center"/>
          </w:tcPr>
          <w:p>
            <w:r/>
            <w:r>
              <w:rPr>
                <w:b w:val="0"/>
                <w:sz w:val="17"/>
              </w:rPr>
              <w:t>SQLi Followed By Webshell Indicator</w:t>
            </w:r>
          </w:p>
        </w:tc>
        <w:tc>
          <w:tcPr>
            <w:tcW w:type="dxa" w:w="1704"/>
            <w:vAlign w:val="center"/>
          </w:tcPr>
          <w:p>
            <w:r/>
            <w:r>
              <w:rPr>
                <w:b w:val="0"/>
                <w:sz w:val="17"/>
              </w:rPr>
              <w:t>high, critical</w:t>
            </w:r>
          </w:p>
        </w:tc>
        <w:tc>
          <w:tcPr>
            <w:tcW w:type="dxa" w:w="1704"/>
            <w:vAlign w:val="center"/>
          </w:tcPr>
          <w:p>
            <w:r/>
            <w:r>
              <w:rPr>
                <w:b w:val="0"/>
                <w:sz w:val="17"/>
              </w:rPr>
              <w:t>critical</w:t>
            </w:r>
          </w:p>
        </w:tc>
        <w:tc>
          <w:tcPr>
            <w:tcW w:type="dxa" w:w="1704"/>
            <w:vAlign w:val="center"/>
          </w:tcPr>
          <w:p>
            <w:r/>
            <w:r>
              <w:rPr>
                <w:b w:val="0"/>
                <w:sz w:val="17"/>
              </w:rPr>
              <w:t>0.25</w:t>
            </w:r>
          </w:p>
        </w:tc>
      </w:tr>
      <w:tr>
        <w:tc>
          <w:tcPr>
            <w:tcW w:type="dxa" w:w="1704"/>
            <w:vAlign w:val="center"/>
          </w:tcPr>
          <w:p>
            <w:r/>
            <w:r>
              <w:rPr>
                <w:b w:val="0"/>
                <w:sz w:val="17"/>
              </w:rPr>
              <w:t>PB-009</w:t>
            </w:r>
          </w:p>
        </w:tc>
        <w:tc>
          <w:tcPr>
            <w:tcW w:type="dxa" w:w="1704"/>
            <w:vAlign w:val="center"/>
          </w:tcPr>
          <w:p>
            <w:r/>
            <w:r>
              <w:rPr>
                <w:b w:val="0"/>
                <w:sz w:val="17"/>
              </w:rPr>
              <w:t>web_sql_injection</w:t>
            </w:r>
          </w:p>
        </w:tc>
        <w:tc>
          <w:tcPr>
            <w:tcW w:type="dxa" w:w="1704"/>
            <w:vAlign w:val="center"/>
          </w:tcPr>
          <w:p>
            <w:r/>
            <w:r>
              <w:rPr>
                <w:b w:val="0"/>
                <w:sz w:val="17"/>
              </w:rPr>
              <w:t>WAF Event Correlation and IP Blocking</w:t>
            </w:r>
          </w:p>
        </w:tc>
        <w:tc>
          <w:tcPr>
            <w:tcW w:type="dxa" w:w="1704"/>
            <w:vAlign w:val="center"/>
          </w:tcPr>
          <w:p>
            <w:r/>
            <w:r>
              <w:rPr>
                <w:b w:val="0"/>
                <w:sz w:val="17"/>
              </w:rPr>
              <w:t>medium, high</w:t>
            </w:r>
          </w:p>
        </w:tc>
        <w:tc>
          <w:tcPr>
            <w:tcW w:type="dxa" w:w="1704"/>
            <w:vAlign w:val="center"/>
          </w:tcPr>
          <w:p>
            <w:r/>
            <w:r>
              <w:rPr>
                <w:b w:val="0"/>
                <w:sz w:val="17"/>
              </w:rPr>
              <w:t>medium</w:t>
            </w:r>
          </w:p>
        </w:tc>
        <w:tc>
          <w:tcPr>
            <w:tcW w:type="dxa" w:w="1704"/>
            <w:vAlign w:val="center"/>
          </w:tcPr>
          <w:p>
            <w:r/>
            <w:r>
              <w:rPr>
                <w:b w:val="0"/>
                <w:sz w:val="17"/>
              </w:rPr>
              <w:t>0.85</w:t>
            </w:r>
          </w:p>
        </w:tc>
      </w:tr>
      <w:tr>
        <w:tc>
          <w:tcPr>
            <w:tcW w:type="dxa" w:w="1704"/>
            <w:vAlign w:val="center"/>
          </w:tcPr>
          <w:p>
            <w:r/>
            <w:r>
              <w:rPr>
                <w:b w:val="0"/>
                <w:sz w:val="17"/>
              </w:rPr>
              <w:t>PB-010</w:t>
            </w:r>
          </w:p>
        </w:tc>
        <w:tc>
          <w:tcPr>
            <w:tcW w:type="dxa" w:w="1704"/>
            <w:vAlign w:val="center"/>
          </w:tcPr>
          <w:p>
            <w:r/>
            <w:r>
              <w:rPr>
                <w:b w:val="0"/>
                <w:sz w:val="17"/>
              </w:rPr>
              <w:t>suspicious_dns_query</w:t>
            </w:r>
          </w:p>
        </w:tc>
        <w:tc>
          <w:tcPr>
            <w:tcW w:type="dxa" w:w="1704"/>
            <w:vAlign w:val="center"/>
          </w:tcPr>
          <w:p>
            <w:r/>
            <w:r>
              <w:rPr>
                <w:b w:val="0"/>
                <w:sz w:val="17"/>
              </w:rPr>
              <w:t>DGA Domain Investigation</w:t>
            </w:r>
          </w:p>
        </w:tc>
        <w:tc>
          <w:tcPr>
            <w:tcW w:type="dxa" w:w="1704"/>
            <w:vAlign w:val="center"/>
          </w:tcPr>
          <w:p>
            <w:r/>
            <w:r>
              <w:rPr>
                <w:b w:val="0"/>
                <w:sz w:val="17"/>
              </w:rPr>
              <w:t>medium, high</w:t>
            </w:r>
          </w:p>
        </w:tc>
        <w:tc>
          <w:tcPr>
            <w:tcW w:type="dxa" w:w="1704"/>
            <w:vAlign w:val="center"/>
          </w:tcPr>
          <w:p>
            <w:r/>
            <w:r>
              <w:rPr>
                <w:b w:val="0"/>
                <w:sz w:val="17"/>
              </w:rPr>
              <w:t>medium</w:t>
            </w:r>
          </w:p>
        </w:tc>
        <w:tc>
          <w:tcPr>
            <w:tcW w:type="dxa" w:w="1704"/>
            <w:vAlign w:val="center"/>
          </w:tcPr>
          <w:p>
            <w:r/>
            <w:r>
              <w:rPr>
                <w:b w:val="0"/>
                <w:sz w:val="17"/>
              </w:rPr>
              <w:t>0.7</w:t>
            </w:r>
          </w:p>
        </w:tc>
      </w:tr>
      <w:tr>
        <w:tc>
          <w:tcPr>
            <w:tcW w:type="dxa" w:w="1704"/>
            <w:vAlign w:val="center"/>
          </w:tcPr>
          <w:p>
            <w:r/>
            <w:r>
              <w:rPr>
                <w:b w:val="0"/>
                <w:sz w:val="17"/>
              </w:rPr>
              <w:t>PB-011</w:t>
            </w:r>
          </w:p>
        </w:tc>
        <w:tc>
          <w:tcPr>
            <w:tcW w:type="dxa" w:w="1704"/>
            <w:vAlign w:val="center"/>
          </w:tcPr>
          <w:p>
            <w:r/>
            <w:r>
              <w:rPr>
                <w:b w:val="0"/>
                <w:sz w:val="17"/>
              </w:rPr>
              <w:t>suspicious_dns_query</w:t>
            </w:r>
          </w:p>
        </w:tc>
        <w:tc>
          <w:tcPr>
            <w:tcW w:type="dxa" w:w="1704"/>
            <w:vAlign w:val="center"/>
          </w:tcPr>
          <w:p>
            <w:r/>
            <w:r>
              <w:rPr>
                <w:b w:val="0"/>
                <w:sz w:val="17"/>
              </w:rPr>
              <w:t>Newly Registered Domain Lookup</w:t>
            </w:r>
          </w:p>
        </w:tc>
        <w:tc>
          <w:tcPr>
            <w:tcW w:type="dxa" w:w="1704"/>
            <w:vAlign w:val="center"/>
          </w:tcPr>
          <w:p>
            <w:r/>
            <w:r>
              <w:rPr>
                <w:b w:val="0"/>
                <w:sz w:val="17"/>
              </w:rPr>
              <w:t>low, medium, high</w:t>
            </w:r>
          </w:p>
        </w:tc>
        <w:tc>
          <w:tcPr>
            <w:tcW w:type="dxa" w:w="1704"/>
            <w:vAlign w:val="center"/>
          </w:tcPr>
          <w:p>
            <w:r/>
            <w:r>
              <w:rPr>
                <w:b w:val="0"/>
                <w:sz w:val="17"/>
              </w:rPr>
              <w:t>low</w:t>
            </w:r>
          </w:p>
        </w:tc>
        <w:tc>
          <w:tcPr>
            <w:tcW w:type="dxa" w:w="1704"/>
            <w:vAlign w:val="center"/>
          </w:tcPr>
          <w:p>
            <w:r/>
            <w:r>
              <w:rPr>
                <w:b w:val="0"/>
                <w:sz w:val="17"/>
              </w:rPr>
              <w:t>0.8</w:t>
            </w:r>
          </w:p>
        </w:tc>
      </w:tr>
      <w:tr>
        <w:tc>
          <w:tcPr>
            <w:tcW w:type="dxa" w:w="1704"/>
            <w:vAlign w:val="center"/>
          </w:tcPr>
          <w:p>
            <w:r/>
            <w:r>
              <w:rPr>
                <w:b w:val="0"/>
                <w:sz w:val="17"/>
              </w:rPr>
              <w:t>PB-012</w:t>
            </w:r>
          </w:p>
        </w:tc>
        <w:tc>
          <w:tcPr>
            <w:tcW w:type="dxa" w:w="1704"/>
            <w:vAlign w:val="center"/>
          </w:tcPr>
          <w:p>
            <w:r/>
            <w:r>
              <w:rPr>
                <w:b w:val="0"/>
                <w:sz w:val="17"/>
              </w:rPr>
              <w:t>suspicious_dns_query</w:t>
            </w:r>
          </w:p>
        </w:tc>
        <w:tc>
          <w:tcPr>
            <w:tcW w:type="dxa" w:w="1704"/>
            <w:vAlign w:val="center"/>
          </w:tcPr>
          <w:p>
            <w:r/>
            <w:r>
              <w:rPr>
                <w:b w:val="0"/>
                <w:sz w:val="17"/>
              </w:rPr>
              <w:t>DNS Tunneling Suspicion</w:t>
            </w:r>
          </w:p>
        </w:tc>
        <w:tc>
          <w:tcPr>
            <w:tcW w:type="dxa" w:w="1704"/>
            <w:vAlign w:val="center"/>
          </w:tcPr>
          <w:p>
            <w:r/>
            <w:r>
              <w:rPr>
                <w:b w:val="0"/>
                <w:sz w:val="17"/>
              </w:rPr>
              <w:t>high, critical</w:t>
            </w:r>
          </w:p>
        </w:tc>
        <w:tc>
          <w:tcPr>
            <w:tcW w:type="dxa" w:w="1704"/>
            <w:vAlign w:val="center"/>
          </w:tcPr>
          <w:p>
            <w:r/>
            <w:r>
              <w:rPr>
                <w:b w:val="0"/>
                <w:sz w:val="17"/>
              </w:rPr>
              <w:t>high</w:t>
            </w:r>
          </w:p>
        </w:tc>
        <w:tc>
          <w:tcPr>
            <w:tcW w:type="dxa" w:w="1704"/>
            <w:vAlign w:val="center"/>
          </w:tcPr>
          <w:p>
            <w:r/>
            <w:r>
              <w:rPr>
                <w:b w:val="0"/>
                <w:sz w:val="17"/>
              </w:rPr>
              <w:t>0.3</w:t>
            </w:r>
          </w:p>
        </w:tc>
      </w:tr>
      <w:tr>
        <w:tc>
          <w:tcPr>
            <w:tcW w:type="dxa" w:w="1704"/>
            <w:vAlign w:val="center"/>
          </w:tcPr>
          <w:p>
            <w:r/>
            <w:r>
              <w:rPr>
                <w:b w:val="0"/>
                <w:sz w:val="17"/>
              </w:rPr>
              <w:t>PB-013</w:t>
            </w:r>
          </w:p>
        </w:tc>
        <w:tc>
          <w:tcPr>
            <w:tcW w:type="dxa" w:w="1704"/>
            <w:vAlign w:val="center"/>
          </w:tcPr>
          <w:p>
            <w:r/>
            <w:r>
              <w:rPr>
                <w:b w:val="0"/>
                <w:sz w:val="17"/>
              </w:rPr>
              <w:t>suspicious_dns_query</w:t>
            </w:r>
          </w:p>
        </w:tc>
        <w:tc>
          <w:tcPr>
            <w:tcW w:type="dxa" w:w="1704"/>
            <w:vAlign w:val="center"/>
          </w:tcPr>
          <w:p>
            <w:r/>
            <w:r>
              <w:rPr>
                <w:b w:val="0"/>
                <w:sz w:val="17"/>
              </w:rPr>
              <w:t>C2 Domain Communication</w:t>
            </w:r>
          </w:p>
        </w:tc>
        <w:tc>
          <w:tcPr>
            <w:tcW w:type="dxa" w:w="1704"/>
            <w:vAlign w:val="center"/>
          </w:tcPr>
          <w:p>
            <w:r/>
            <w:r>
              <w:rPr>
                <w:b w:val="0"/>
                <w:sz w:val="17"/>
              </w:rPr>
              <w:t>high, critical</w:t>
            </w:r>
          </w:p>
        </w:tc>
        <w:tc>
          <w:tcPr>
            <w:tcW w:type="dxa" w:w="1704"/>
            <w:vAlign w:val="center"/>
          </w:tcPr>
          <w:p>
            <w:r/>
            <w:r>
              <w:rPr>
                <w:b w:val="0"/>
                <w:sz w:val="17"/>
              </w:rPr>
              <w:t>high</w:t>
            </w:r>
          </w:p>
        </w:tc>
        <w:tc>
          <w:tcPr>
            <w:tcW w:type="dxa" w:w="1704"/>
            <w:vAlign w:val="center"/>
          </w:tcPr>
          <w:p>
            <w:r/>
            <w:r>
              <w:rPr>
                <w:b w:val="0"/>
                <w:sz w:val="17"/>
              </w:rPr>
              <w:t>0.45</w:t>
            </w:r>
          </w:p>
        </w:tc>
      </w:tr>
      <w:tr>
        <w:tc>
          <w:tcPr>
            <w:tcW w:type="dxa" w:w="1704"/>
            <w:vAlign w:val="center"/>
          </w:tcPr>
          <w:p>
            <w:r/>
            <w:r>
              <w:rPr>
                <w:b w:val="0"/>
                <w:sz w:val="17"/>
              </w:rPr>
              <w:t>PB-014</w:t>
            </w:r>
          </w:p>
        </w:tc>
        <w:tc>
          <w:tcPr>
            <w:tcW w:type="dxa" w:w="1704"/>
            <w:vAlign w:val="center"/>
          </w:tcPr>
          <w:p>
            <w:r/>
            <w:r>
              <w:rPr>
                <w:b w:val="0"/>
                <w:sz w:val="17"/>
              </w:rPr>
              <w:t>suspicious_dns_query</w:t>
            </w:r>
          </w:p>
        </w:tc>
        <w:tc>
          <w:tcPr>
            <w:tcW w:type="dxa" w:w="1704"/>
            <w:vAlign w:val="center"/>
          </w:tcPr>
          <w:p>
            <w:r/>
            <w:r>
              <w:rPr>
                <w:b w:val="0"/>
                <w:sz w:val="17"/>
              </w:rPr>
              <w:t>High-Risk DNS on Critical Asset</w:t>
            </w:r>
          </w:p>
        </w:tc>
        <w:tc>
          <w:tcPr>
            <w:tcW w:type="dxa" w:w="1704"/>
            <w:vAlign w:val="center"/>
          </w:tcPr>
          <w:p>
            <w:r/>
            <w:r>
              <w:rPr>
                <w:b w:val="0"/>
                <w:sz w:val="17"/>
              </w:rPr>
              <w:t>medium, high, critical</w:t>
            </w:r>
          </w:p>
        </w:tc>
        <w:tc>
          <w:tcPr>
            <w:tcW w:type="dxa" w:w="1704"/>
            <w:vAlign w:val="center"/>
          </w:tcPr>
          <w:p>
            <w:r/>
            <w:r>
              <w:rPr>
                <w:b w:val="0"/>
                <w:sz w:val="17"/>
              </w:rPr>
              <w:t>high</w:t>
            </w:r>
          </w:p>
        </w:tc>
        <w:tc>
          <w:tcPr>
            <w:tcW w:type="dxa" w:w="1704"/>
            <w:vAlign w:val="center"/>
          </w:tcPr>
          <w:p>
            <w:r/>
            <w:r>
              <w:rPr>
                <w:b w:val="0"/>
                <w:sz w:val="17"/>
              </w:rPr>
              <w:t>0.4</w:t>
            </w:r>
          </w:p>
        </w:tc>
      </w:tr>
      <w:tr>
        <w:tc>
          <w:tcPr>
            <w:tcW w:type="dxa" w:w="1704"/>
            <w:vAlign w:val="center"/>
          </w:tcPr>
          <w:p>
            <w:r/>
            <w:r>
              <w:rPr>
                <w:b w:val="0"/>
                <w:sz w:val="17"/>
              </w:rPr>
              <w:t>PB-015</w:t>
            </w:r>
          </w:p>
        </w:tc>
        <w:tc>
          <w:tcPr>
            <w:tcW w:type="dxa" w:w="1704"/>
            <w:vAlign w:val="center"/>
          </w:tcPr>
          <w:p>
            <w:r/>
            <w:r>
              <w:rPr>
                <w:b w:val="0"/>
                <w:sz w:val="17"/>
              </w:rPr>
              <w:t>brute_force</w:t>
            </w:r>
          </w:p>
        </w:tc>
        <w:tc>
          <w:tcPr>
            <w:tcW w:type="dxa" w:w="1704"/>
            <w:vAlign w:val="center"/>
          </w:tcPr>
          <w:p>
            <w:r/>
            <w:r>
              <w:rPr>
                <w:b w:val="0"/>
                <w:sz w:val="17"/>
              </w:rPr>
              <w:t>Single Account Brute Force</w:t>
            </w:r>
          </w:p>
        </w:tc>
        <w:tc>
          <w:tcPr>
            <w:tcW w:type="dxa" w:w="1704"/>
            <w:vAlign w:val="center"/>
          </w:tcPr>
          <w:p>
            <w:r/>
            <w:r>
              <w:rPr>
                <w:b w:val="0"/>
                <w:sz w:val="17"/>
              </w:rPr>
              <w:t>low, medium, high</w:t>
            </w:r>
          </w:p>
        </w:tc>
        <w:tc>
          <w:tcPr>
            <w:tcW w:type="dxa" w:w="1704"/>
            <w:vAlign w:val="center"/>
          </w:tcPr>
          <w:p>
            <w:r/>
            <w:r>
              <w:rPr>
                <w:b w:val="0"/>
                <w:sz w:val="17"/>
              </w:rPr>
              <w:t>low</w:t>
            </w:r>
          </w:p>
        </w:tc>
        <w:tc>
          <w:tcPr>
            <w:tcW w:type="dxa" w:w="1704"/>
            <w:vAlign w:val="center"/>
          </w:tcPr>
          <w:p>
            <w:r/>
            <w:r>
              <w:rPr>
                <w:b w:val="0"/>
                <w:sz w:val="17"/>
              </w:rPr>
              <w:t>0.8</w:t>
            </w:r>
          </w:p>
        </w:tc>
      </w:tr>
      <w:tr>
        <w:tc>
          <w:tcPr>
            <w:tcW w:type="dxa" w:w="1704"/>
            <w:vAlign w:val="center"/>
          </w:tcPr>
          <w:p>
            <w:r/>
            <w:r>
              <w:rPr>
                <w:b w:val="0"/>
                <w:sz w:val="17"/>
              </w:rPr>
              <w:t>PB-016</w:t>
            </w:r>
          </w:p>
        </w:tc>
        <w:tc>
          <w:tcPr>
            <w:tcW w:type="dxa" w:w="1704"/>
            <w:vAlign w:val="center"/>
          </w:tcPr>
          <w:p>
            <w:r/>
            <w:r>
              <w:rPr>
                <w:b w:val="0"/>
                <w:sz w:val="17"/>
              </w:rPr>
              <w:t>brute_force</w:t>
            </w:r>
          </w:p>
        </w:tc>
        <w:tc>
          <w:tcPr>
            <w:tcW w:type="dxa" w:w="1704"/>
            <w:vAlign w:val="center"/>
          </w:tcPr>
          <w:p>
            <w:r/>
            <w:r>
              <w:rPr>
                <w:b w:val="0"/>
                <w:sz w:val="17"/>
              </w:rPr>
              <w:t>Password Spraying</w:t>
            </w:r>
          </w:p>
        </w:tc>
        <w:tc>
          <w:tcPr>
            <w:tcW w:type="dxa" w:w="1704"/>
            <w:vAlign w:val="center"/>
          </w:tcPr>
          <w:p>
            <w:r/>
            <w:r>
              <w:rPr>
                <w:b w:val="0"/>
                <w:sz w:val="17"/>
              </w:rPr>
              <w:t>medium, high</w:t>
            </w:r>
          </w:p>
        </w:tc>
        <w:tc>
          <w:tcPr>
            <w:tcW w:type="dxa" w:w="1704"/>
            <w:vAlign w:val="center"/>
          </w:tcPr>
          <w:p>
            <w:r/>
            <w:r>
              <w:rPr>
                <w:b w:val="0"/>
                <w:sz w:val="17"/>
              </w:rPr>
              <w:t>medium</w:t>
            </w:r>
          </w:p>
        </w:tc>
        <w:tc>
          <w:tcPr>
            <w:tcW w:type="dxa" w:w="1704"/>
            <w:vAlign w:val="center"/>
          </w:tcPr>
          <w:p>
            <w:r/>
            <w:r>
              <w:rPr>
                <w:b w:val="0"/>
                <w:sz w:val="17"/>
              </w:rPr>
              <w:t>0.65</w:t>
            </w:r>
          </w:p>
        </w:tc>
      </w:tr>
      <w:tr>
        <w:tc>
          <w:tcPr>
            <w:tcW w:type="dxa" w:w="1704"/>
            <w:vAlign w:val="center"/>
          </w:tcPr>
          <w:p>
            <w:r/>
            <w:r>
              <w:rPr>
                <w:b w:val="0"/>
                <w:sz w:val="17"/>
              </w:rPr>
              <w:t>PB-017</w:t>
            </w:r>
          </w:p>
        </w:tc>
        <w:tc>
          <w:tcPr>
            <w:tcW w:type="dxa" w:w="1704"/>
            <w:vAlign w:val="center"/>
          </w:tcPr>
          <w:p>
            <w:r/>
            <w:r>
              <w:rPr>
                <w:b w:val="0"/>
                <w:sz w:val="17"/>
              </w:rPr>
              <w:t>brute_force</w:t>
            </w:r>
          </w:p>
        </w:tc>
        <w:tc>
          <w:tcPr>
            <w:tcW w:type="dxa" w:w="1704"/>
            <w:vAlign w:val="center"/>
          </w:tcPr>
          <w:p>
            <w:r/>
            <w:r>
              <w:rPr>
                <w:b w:val="0"/>
                <w:sz w:val="17"/>
              </w:rPr>
              <w:t>Privileged Account Attack</w:t>
            </w:r>
          </w:p>
        </w:tc>
        <w:tc>
          <w:tcPr>
            <w:tcW w:type="dxa" w:w="1704"/>
            <w:vAlign w:val="center"/>
          </w:tcPr>
          <w:p>
            <w:r/>
            <w:r>
              <w:rPr>
                <w:b w:val="0"/>
                <w:sz w:val="17"/>
              </w:rPr>
              <w:t>high, critical</w:t>
            </w:r>
          </w:p>
        </w:tc>
        <w:tc>
          <w:tcPr>
            <w:tcW w:type="dxa" w:w="1704"/>
            <w:vAlign w:val="center"/>
          </w:tcPr>
          <w:p>
            <w:r/>
            <w:r>
              <w:rPr>
                <w:b w:val="0"/>
                <w:sz w:val="17"/>
              </w:rPr>
              <w:t>high</w:t>
            </w:r>
          </w:p>
        </w:tc>
        <w:tc>
          <w:tcPr>
            <w:tcW w:type="dxa" w:w="1704"/>
            <w:vAlign w:val="center"/>
          </w:tcPr>
          <w:p>
            <w:r/>
            <w:r>
              <w:rPr>
                <w:b w:val="0"/>
                <w:sz w:val="17"/>
              </w:rPr>
              <w:t>0.45</w:t>
            </w:r>
          </w:p>
        </w:tc>
      </w:tr>
      <w:tr>
        <w:tc>
          <w:tcPr>
            <w:tcW w:type="dxa" w:w="1704"/>
            <w:vAlign w:val="center"/>
          </w:tcPr>
          <w:p>
            <w:r/>
            <w:r>
              <w:rPr>
                <w:b w:val="0"/>
                <w:sz w:val="17"/>
              </w:rPr>
              <w:t>PB-018</w:t>
            </w:r>
          </w:p>
        </w:tc>
        <w:tc>
          <w:tcPr>
            <w:tcW w:type="dxa" w:w="1704"/>
            <w:vAlign w:val="center"/>
          </w:tcPr>
          <w:p>
            <w:r/>
            <w:r>
              <w:rPr>
                <w:b w:val="0"/>
                <w:sz w:val="17"/>
              </w:rPr>
              <w:t>brute_force</w:t>
            </w:r>
          </w:p>
        </w:tc>
        <w:tc>
          <w:tcPr>
            <w:tcW w:type="dxa" w:w="1704"/>
            <w:vAlign w:val="center"/>
          </w:tcPr>
          <w:p>
            <w:r/>
            <w:r>
              <w:rPr>
                <w:b w:val="0"/>
                <w:sz w:val="17"/>
              </w:rPr>
              <w:t>Successful Login After Failures</w:t>
            </w:r>
          </w:p>
        </w:tc>
        <w:tc>
          <w:tcPr>
            <w:tcW w:type="dxa" w:w="1704"/>
            <w:vAlign w:val="center"/>
          </w:tcPr>
          <w:p>
            <w:r/>
            <w:r>
              <w:rPr>
                <w:b w:val="0"/>
                <w:sz w:val="17"/>
              </w:rPr>
              <w:t>high, critical</w:t>
            </w:r>
          </w:p>
        </w:tc>
        <w:tc>
          <w:tcPr>
            <w:tcW w:type="dxa" w:w="1704"/>
            <w:vAlign w:val="center"/>
          </w:tcPr>
          <w:p>
            <w:r/>
            <w:r>
              <w:rPr>
                <w:b w:val="0"/>
                <w:sz w:val="17"/>
              </w:rPr>
              <w:t>high</w:t>
            </w:r>
          </w:p>
        </w:tc>
        <w:tc>
          <w:tcPr>
            <w:tcW w:type="dxa" w:w="1704"/>
            <w:vAlign w:val="center"/>
          </w:tcPr>
          <w:p>
            <w:r/>
            <w:r>
              <w:rPr>
                <w:b w:val="0"/>
                <w:sz w:val="17"/>
              </w:rPr>
              <w:t>0.35</w:t>
            </w:r>
          </w:p>
        </w:tc>
      </w:tr>
      <w:tr>
        <w:tc>
          <w:tcPr>
            <w:tcW w:type="dxa" w:w="1704"/>
            <w:vAlign w:val="center"/>
          </w:tcPr>
          <w:p>
            <w:r/>
            <w:r>
              <w:rPr>
                <w:b w:val="0"/>
                <w:sz w:val="17"/>
              </w:rPr>
              <w:t>PB-019</w:t>
            </w:r>
          </w:p>
        </w:tc>
        <w:tc>
          <w:tcPr>
            <w:tcW w:type="dxa" w:w="1704"/>
            <w:vAlign w:val="center"/>
          </w:tcPr>
          <w:p>
            <w:r/>
            <w:r>
              <w:rPr>
                <w:b w:val="0"/>
                <w:sz w:val="17"/>
              </w:rPr>
              <w:t>brute_force</w:t>
            </w:r>
          </w:p>
        </w:tc>
        <w:tc>
          <w:tcPr>
            <w:tcW w:type="dxa" w:w="1704"/>
            <w:vAlign w:val="center"/>
          </w:tcPr>
          <w:p>
            <w:r/>
            <w:r>
              <w:rPr>
                <w:b w:val="0"/>
                <w:sz w:val="17"/>
              </w:rPr>
              <w:t>Remote Service Brute Force</w:t>
            </w:r>
          </w:p>
        </w:tc>
        <w:tc>
          <w:tcPr>
            <w:tcW w:type="dxa" w:w="1704"/>
            <w:vAlign w:val="center"/>
          </w:tcPr>
          <w:p>
            <w:r/>
            <w:r>
              <w:rPr>
                <w:b w:val="0"/>
                <w:sz w:val="17"/>
              </w:rPr>
              <w:t>medium, high</w:t>
            </w:r>
          </w:p>
        </w:tc>
        <w:tc>
          <w:tcPr>
            <w:tcW w:type="dxa" w:w="1704"/>
            <w:vAlign w:val="center"/>
          </w:tcPr>
          <w:p>
            <w:r/>
            <w:r>
              <w:rPr>
                <w:b w:val="0"/>
                <w:sz w:val="17"/>
              </w:rPr>
              <w:t>medium</w:t>
            </w:r>
          </w:p>
        </w:tc>
        <w:tc>
          <w:tcPr>
            <w:tcW w:type="dxa" w:w="1704"/>
            <w:vAlign w:val="center"/>
          </w:tcPr>
          <w:p>
            <w:r/>
            <w:r>
              <w:rPr>
                <w:b w:val="0"/>
                <w:sz w:val="17"/>
              </w:rPr>
              <w:t>0.55</w:t>
            </w:r>
          </w:p>
        </w:tc>
      </w:tr>
      <w:tr>
        <w:tc>
          <w:tcPr>
            <w:tcW w:type="dxa" w:w="1704"/>
            <w:vAlign w:val="center"/>
          </w:tcPr>
          <w:p>
            <w:r/>
            <w:r>
              <w:rPr>
                <w:b w:val="0"/>
                <w:sz w:val="17"/>
              </w:rPr>
              <w:t>PB-020</w:t>
            </w:r>
          </w:p>
        </w:tc>
        <w:tc>
          <w:tcPr>
            <w:tcW w:type="dxa" w:w="1704"/>
            <w:vAlign w:val="center"/>
          </w:tcPr>
          <w:p>
            <w:r/>
            <w:r>
              <w:rPr>
                <w:b w:val="0"/>
                <w:sz w:val="17"/>
              </w:rPr>
              <w:t>phishing</w:t>
            </w:r>
          </w:p>
        </w:tc>
        <w:tc>
          <w:tcPr>
            <w:tcW w:type="dxa" w:w="1704"/>
            <w:vAlign w:val="center"/>
          </w:tcPr>
          <w:p>
            <w:r/>
            <w:r>
              <w:rPr>
                <w:b w:val="0"/>
                <w:sz w:val="17"/>
              </w:rPr>
              <w:t>Mailbox Triage</w:t>
            </w:r>
          </w:p>
        </w:tc>
        <w:tc>
          <w:tcPr>
            <w:tcW w:type="dxa" w:w="1704"/>
            <w:vAlign w:val="center"/>
          </w:tcPr>
          <w:p>
            <w:r/>
            <w:r>
              <w:rPr>
                <w:b w:val="0"/>
                <w:sz w:val="17"/>
              </w:rPr>
              <w:t>low, medium</w:t>
            </w:r>
          </w:p>
        </w:tc>
        <w:tc>
          <w:tcPr>
            <w:tcW w:type="dxa" w:w="1704"/>
            <w:vAlign w:val="center"/>
          </w:tcPr>
          <w:p>
            <w:r/>
            <w:r>
              <w:rPr>
                <w:b w:val="0"/>
                <w:sz w:val="17"/>
              </w:rPr>
              <w:t>low</w:t>
            </w:r>
          </w:p>
        </w:tc>
        <w:tc>
          <w:tcPr>
            <w:tcW w:type="dxa" w:w="1704"/>
            <w:vAlign w:val="center"/>
          </w:tcPr>
          <w:p>
            <w:r/>
            <w:r>
              <w:rPr>
                <w:b w:val="0"/>
                <w:sz w:val="17"/>
              </w:rPr>
              <w:t>0.85</w:t>
            </w:r>
          </w:p>
        </w:tc>
      </w:tr>
      <w:tr>
        <w:tc>
          <w:tcPr>
            <w:tcW w:type="dxa" w:w="1704"/>
            <w:vAlign w:val="center"/>
          </w:tcPr>
          <w:p>
            <w:r/>
            <w:r>
              <w:rPr>
                <w:b w:val="0"/>
                <w:sz w:val="17"/>
              </w:rPr>
              <w:t>PB-021</w:t>
            </w:r>
          </w:p>
        </w:tc>
        <w:tc>
          <w:tcPr>
            <w:tcW w:type="dxa" w:w="1704"/>
            <w:vAlign w:val="center"/>
          </w:tcPr>
          <w:p>
            <w:r/>
            <w:r>
              <w:rPr>
                <w:b w:val="0"/>
                <w:sz w:val="17"/>
              </w:rPr>
              <w:t>phishing</w:t>
            </w:r>
          </w:p>
        </w:tc>
        <w:tc>
          <w:tcPr>
            <w:tcW w:type="dxa" w:w="1704"/>
            <w:vAlign w:val="center"/>
          </w:tcPr>
          <w:p>
            <w:r/>
            <w:r>
              <w:rPr>
                <w:b w:val="0"/>
                <w:sz w:val="17"/>
              </w:rPr>
              <w:t>Credential Harvesting Link</w:t>
            </w:r>
          </w:p>
        </w:tc>
        <w:tc>
          <w:tcPr>
            <w:tcW w:type="dxa" w:w="1704"/>
            <w:vAlign w:val="center"/>
          </w:tcPr>
          <w:p>
            <w:r/>
            <w:r>
              <w:rPr>
                <w:b w:val="0"/>
                <w:sz w:val="17"/>
              </w:rPr>
              <w:t>medium, high</w:t>
            </w:r>
          </w:p>
        </w:tc>
        <w:tc>
          <w:tcPr>
            <w:tcW w:type="dxa" w:w="1704"/>
            <w:vAlign w:val="center"/>
          </w:tcPr>
          <w:p>
            <w:r/>
            <w:r>
              <w:rPr>
                <w:b w:val="0"/>
                <w:sz w:val="17"/>
              </w:rPr>
              <w:t>medium</w:t>
            </w:r>
          </w:p>
        </w:tc>
        <w:tc>
          <w:tcPr>
            <w:tcW w:type="dxa" w:w="1704"/>
            <w:vAlign w:val="center"/>
          </w:tcPr>
          <w:p>
            <w:r/>
            <w:r>
              <w:rPr>
                <w:b w:val="0"/>
                <w:sz w:val="17"/>
              </w:rPr>
              <w:t>0.55</w:t>
            </w:r>
          </w:p>
        </w:tc>
      </w:tr>
      <w:tr>
        <w:tc>
          <w:tcPr>
            <w:tcW w:type="dxa" w:w="1704"/>
            <w:vAlign w:val="center"/>
          </w:tcPr>
          <w:p>
            <w:r/>
            <w:r>
              <w:rPr>
                <w:b w:val="0"/>
                <w:sz w:val="17"/>
              </w:rPr>
              <w:t>PB-022</w:t>
            </w:r>
          </w:p>
        </w:tc>
        <w:tc>
          <w:tcPr>
            <w:tcW w:type="dxa" w:w="1704"/>
            <w:vAlign w:val="center"/>
          </w:tcPr>
          <w:p>
            <w:r/>
            <w:r>
              <w:rPr>
                <w:b w:val="0"/>
                <w:sz w:val="17"/>
              </w:rPr>
              <w:t>phishing</w:t>
            </w:r>
          </w:p>
        </w:tc>
        <w:tc>
          <w:tcPr>
            <w:tcW w:type="dxa" w:w="1704"/>
            <w:vAlign w:val="center"/>
          </w:tcPr>
          <w:p>
            <w:r/>
            <w:r>
              <w:rPr>
                <w:b w:val="0"/>
                <w:sz w:val="17"/>
              </w:rPr>
              <w:t>Attachment Malware Suspicion</w:t>
            </w:r>
          </w:p>
        </w:tc>
        <w:tc>
          <w:tcPr>
            <w:tcW w:type="dxa" w:w="1704"/>
            <w:vAlign w:val="center"/>
          </w:tcPr>
          <w:p>
            <w:r/>
            <w:r>
              <w:rPr>
                <w:b w:val="0"/>
                <w:sz w:val="17"/>
              </w:rPr>
              <w:t>medium, high, critical</w:t>
            </w:r>
          </w:p>
        </w:tc>
        <w:tc>
          <w:tcPr>
            <w:tcW w:type="dxa" w:w="1704"/>
            <w:vAlign w:val="center"/>
          </w:tcPr>
          <w:p>
            <w:r/>
            <w:r>
              <w:rPr>
                <w:b w:val="0"/>
                <w:sz w:val="17"/>
              </w:rPr>
              <w:t>high</w:t>
            </w:r>
          </w:p>
        </w:tc>
        <w:tc>
          <w:tcPr>
            <w:tcW w:type="dxa" w:w="1704"/>
            <w:vAlign w:val="center"/>
          </w:tcPr>
          <w:p>
            <w:r/>
            <w:r>
              <w:rPr>
                <w:b w:val="0"/>
                <w:sz w:val="17"/>
              </w:rPr>
              <w:t>0.45</w:t>
            </w:r>
          </w:p>
        </w:tc>
      </w:tr>
      <w:tr>
        <w:tc>
          <w:tcPr>
            <w:tcW w:type="dxa" w:w="1704"/>
            <w:vAlign w:val="center"/>
          </w:tcPr>
          <w:p>
            <w:r/>
            <w:r>
              <w:rPr>
                <w:b w:val="0"/>
                <w:sz w:val="17"/>
              </w:rPr>
              <w:t>PB-023</w:t>
            </w:r>
          </w:p>
        </w:tc>
        <w:tc>
          <w:tcPr>
            <w:tcW w:type="dxa" w:w="1704"/>
            <w:vAlign w:val="center"/>
          </w:tcPr>
          <w:p>
            <w:r/>
            <w:r>
              <w:rPr>
                <w:b w:val="0"/>
                <w:sz w:val="17"/>
              </w:rPr>
              <w:t>phishing</w:t>
            </w:r>
          </w:p>
        </w:tc>
        <w:tc>
          <w:tcPr>
            <w:tcW w:type="dxa" w:w="1704"/>
            <w:vAlign w:val="center"/>
          </w:tcPr>
          <w:p>
            <w:r/>
            <w:r>
              <w:rPr>
                <w:b w:val="0"/>
                <w:sz w:val="17"/>
              </w:rPr>
              <w:t>Business Email Compromise Triage</w:t>
            </w:r>
          </w:p>
        </w:tc>
        <w:tc>
          <w:tcPr>
            <w:tcW w:type="dxa" w:w="1704"/>
            <w:vAlign w:val="center"/>
          </w:tcPr>
          <w:p>
            <w:r/>
            <w:r>
              <w:rPr>
                <w:b w:val="0"/>
                <w:sz w:val="17"/>
              </w:rPr>
              <w:t>medium, high</w:t>
            </w:r>
          </w:p>
        </w:tc>
        <w:tc>
          <w:tcPr>
            <w:tcW w:type="dxa" w:w="1704"/>
            <w:vAlign w:val="center"/>
          </w:tcPr>
          <w:p>
            <w:r/>
            <w:r>
              <w:rPr>
                <w:b w:val="0"/>
                <w:sz w:val="17"/>
              </w:rPr>
              <w:t>medium</w:t>
            </w:r>
          </w:p>
        </w:tc>
        <w:tc>
          <w:tcPr>
            <w:tcW w:type="dxa" w:w="1704"/>
            <w:vAlign w:val="center"/>
          </w:tcPr>
          <w:p>
            <w:r/>
            <w:r>
              <w:rPr>
                <w:b w:val="0"/>
                <w:sz w:val="17"/>
              </w:rPr>
              <w:t>0.6</w:t>
            </w:r>
          </w:p>
        </w:tc>
      </w:tr>
      <w:tr>
        <w:tc>
          <w:tcPr>
            <w:tcW w:type="dxa" w:w="1704"/>
            <w:vAlign w:val="center"/>
          </w:tcPr>
          <w:p>
            <w:r/>
            <w:r>
              <w:rPr>
                <w:b w:val="0"/>
                <w:sz w:val="17"/>
              </w:rPr>
              <w:t>PB-024</w:t>
            </w:r>
          </w:p>
        </w:tc>
        <w:tc>
          <w:tcPr>
            <w:tcW w:type="dxa" w:w="1704"/>
            <w:vAlign w:val="center"/>
          </w:tcPr>
          <w:p>
            <w:r/>
            <w:r>
              <w:rPr>
                <w:b w:val="0"/>
                <w:sz w:val="17"/>
              </w:rPr>
              <w:t>phishing</w:t>
            </w:r>
          </w:p>
        </w:tc>
        <w:tc>
          <w:tcPr>
            <w:tcW w:type="dxa" w:w="1704"/>
            <w:vAlign w:val="center"/>
          </w:tcPr>
          <w:p>
            <w:r/>
            <w:r>
              <w:rPr>
                <w:b w:val="0"/>
                <w:sz w:val="17"/>
              </w:rPr>
              <w:t>Phishing With Successful Click/Login</w:t>
            </w:r>
          </w:p>
        </w:tc>
        <w:tc>
          <w:tcPr>
            <w:tcW w:type="dxa" w:w="1704"/>
            <w:vAlign w:val="center"/>
          </w:tcPr>
          <w:p>
            <w:r/>
            <w:r>
              <w:rPr>
                <w:b w:val="0"/>
                <w:sz w:val="17"/>
              </w:rPr>
              <w:t>high, critical</w:t>
            </w:r>
          </w:p>
        </w:tc>
        <w:tc>
          <w:tcPr>
            <w:tcW w:type="dxa" w:w="1704"/>
            <w:vAlign w:val="center"/>
          </w:tcPr>
          <w:p>
            <w:r/>
            <w:r>
              <w:rPr>
                <w:b w:val="0"/>
                <w:sz w:val="17"/>
              </w:rPr>
              <w:t>high</w:t>
            </w:r>
          </w:p>
        </w:tc>
        <w:tc>
          <w:tcPr>
            <w:tcW w:type="dxa" w:w="1704"/>
            <w:vAlign w:val="center"/>
          </w:tcPr>
          <w:p>
            <w:r/>
            <w:r>
              <w:rPr>
                <w:b w:val="0"/>
                <w:sz w:val="17"/>
              </w:rPr>
              <w:t>0.3</w:t>
            </w:r>
          </w:p>
        </w:tc>
      </w:tr>
      <w:tr>
        <w:tc>
          <w:tcPr>
            <w:tcW w:type="dxa" w:w="1704"/>
            <w:vAlign w:val="center"/>
          </w:tcPr>
          <w:p>
            <w:r/>
            <w:r>
              <w:rPr>
                <w:b w:val="0"/>
                <w:sz w:val="17"/>
              </w:rPr>
              <w:t>PB-025</w:t>
            </w:r>
          </w:p>
        </w:tc>
        <w:tc>
          <w:tcPr>
            <w:tcW w:type="dxa" w:w="1704"/>
            <w:vAlign w:val="center"/>
          </w:tcPr>
          <w:p>
            <w:r/>
            <w:r>
              <w:rPr>
                <w:b w:val="0"/>
                <w:sz w:val="17"/>
              </w:rPr>
              <w:t>malware</w:t>
            </w:r>
          </w:p>
        </w:tc>
        <w:tc>
          <w:tcPr>
            <w:tcW w:type="dxa" w:w="1704"/>
            <w:vAlign w:val="center"/>
          </w:tcPr>
          <w:p>
            <w:r/>
            <w:r>
              <w:rPr>
                <w:b w:val="0"/>
                <w:sz w:val="17"/>
              </w:rPr>
              <w:t>Endpoint Malware Triage</w:t>
            </w:r>
          </w:p>
        </w:tc>
        <w:tc>
          <w:tcPr>
            <w:tcW w:type="dxa" w:w="1704"/>
            <w:vAlign w:val="center"/>
          </w:tcPr>
          <w:p>
            <w:r/>
            <w:r>
              <w:rPr>
                <w:b w:val="0"/>
                <w:sz w:val="17"/>
              </w:rPr>
              <w:t>medium, high</w:t>
            </w:r>
          </w:p>
        </w:tc>
        <w:tc>
          <w:tcPr>
            <w:tcW w:type="dxa" w:w="1704"/>
            <w:vAlign w:val="center"/>
          </w:tcPr>
          <w:p>
            <w:r/>
            <w:r>
              <w:rPr>
                <w:b w:val="0"/>
                <w:sz w:val="17"/>
              </w:rPr>
              <w:t>medium</w:t>
            </w:r>
          </w:p>
        </w:tc>
        <w:tc>
          <w:tcPr>
            <w:tcW w:type="dxa" w:w="1704"/>
            <w:vAlign w:val="center"/>
          </w:tcPr>
          <w:p>
            <w:r/>
            <w:r>
              <w:rPr>
                <w:b w:val="0"/>
                <w:sz w:val="17"/>
              </w:rPr>
              <w:t>0.65</w:t>
            </w:r>
          </w:p>
        </w:tc>
      </w:tr>
      <w:tr>
        <w:tc>
          <w:tcPr>
            <w:tcW w:type="dxa" w:w="1704"/>
            <w:vAlign w:val="center"/>
          </w:tcPr>
          <w:p>
            <w:r/>
            <w:r>
              <w:rPr>
                <w:b w:val="0"/>
                <w:sz w:val="17"/>
              </w:rPr>
              <w:t>PB-026</w:t>
            </w:r>
          </w:p>
        </w:tc>
        <w:tc>
          <w:tcPr>
            <w:tcW w:type="dxa" w:w="1704"/>
            <w:vAlign w:val="center"/>
          </w:tcPr>
          <w:p>
            <w:r/>
            <w:r>
              <w:rPr>
                <w:b w:val="0"/>
                <w:sz w:val="17"/>
              </w:rPr>
              <w:t>malware</w:t>
            </w:r>
          </w:p>
        </w:tc>
        <w:tc>
          <w:tcPr>
            <w:tcW w:type="dxa" w:w="1704"/>
            <w:vAlign w:val="center"/>
          </w:tcPr>
          <w:p>
            <w:r/>
            <w:r>
              <w:rPr>
                <w:b w:val="0"/>
                <w:sz w:val="17"/>
              </w:rPr>
              <w:t>Suspicious Process or Script Execution</w:t>
            </w:r>
          </w:p>
        </w:tc>
        <w:tc>
          <w:tcPr>
            <w:tcW w:type="dxa" w:w="1704"/>
            <w:vAlign w:val="center"/>
          </w:tcPr>
          <w:p>
            <w:r/>
            <w:r>
              <w:rPr>
                <w:b w:val="0"/>
                <w:sz w:val="17"/>
              </w:rPr>
              <w:t>medium, high</w:t>
            </w:r>
          </w:p>
        </w:tc>
        <w:tc>
          <w:tcPr>
            <w:tcW w:type="dxa" w:w="1704"/>
            <w:vAlign w:val="center"/>
          </w:tcPr>
          <w:p>
            <w:r/>
            <w:r>
              <w:rPr>
                <w:b w:val="0"/>
                <w:sz w:val="17"/>
              </w:rPr>
              <w:t>medium</w:t>
            </w:r>
          </w:p>
        </w:tc>
        <w:tc>
          <w:tcPr>
            <w:tcW w:type="dxa" w:w="1704"/>
            <w:vAlign w:val="center"/>
          </w:tcPr>
          <w:p>
            <w:r/>
            <w:r>
              <w:rPr>
                <w:b w:val="0"/>
                <w:sz w:val="17"/>
              </w:rPr>
              <w:t>0.5</w:t>
            </w:r>
          </w:p>
        </w:tc>
      </w:tr>
      <w:tr>
        <w:tc>
          <w:tcPr>
            <w:tcW w:type="dxa" w:w="1704"/>
            <w:vAlign w:val="center"/>
          </w:tcPr>
          <w:p>
            <w:r/>
            <w:r>
              <w:rPr>
                <w:b w:val="0"/>
                <w:sz w:val="17"/>
              </w:rPr>
              <w:t>PB-027</w:t>
            </w:r>
          </w:p>
        </w:tc>
        <w:tc>
          <w:tcPr>
            <w:tcW w:type="dxa" w:w="1704"/>
            <w:vAlign w:val="center"/>
          </w:tcPr>
          <w:p>
            <w:r/>
            <w:r>
              <w:rPr>
                <w:b w:val="0"/>
                <w:sz w:val="17"/>
              </w:rPr>
              <w:t>malware</w:t>
            </w:r>
          </w:p>
        </w:tc>
        <w:tc>
          <w:tcPr>
            <w:tcW w:type="dxa" w:w="1704"/>
            <w:vAlign w:val="center"/>
          </w:tcPr>
          <w:p>
            <w:r/>
            <w:r>
              <w:rPr>
                <w:b w:val="0"/>
                <w:sz w:val="17"/>
              </w:rPr>
              <w:t>Malware With C2 Indicator</w:t>
            </w:r>
          </w:p>
        </w:tc>
        <w:tc>
          <w:tcPr>
            <w:tcW w:type="dxa" w:w="1704"/>
            <w:vAlign w:val="center"/>
          </w:tcPr>
          <w:p>
            <w:r/>
            <w:r>
              <w:rPr>
                <w:b w:val="0"/>
                <w:sz w:val="17"/>
              </w:rPr>
              <w:t>high, critical</w:t>
            </w:r>
          </w:p>
        </w:tc>
        <w:tc>
          <w:tcPr>
            <w:tcW w:type="dxa" w:w="1704"/>
            <w:vAlign w:val="center"/>
          </w:tcPr>
          <w:p>
            <w:r/>
            <w:r>
              <w:rPr>
                <w:b w:val="0"/>
                <w:sz w:val="17"/>
              </w:rPr>
              <w:t>high</w:t>
            </w:r>
          </w:p>
        </w:tc>
        <w:tc>
          <w:tcPr>
            <w:tcW w:type="dxa" w:w="1704"/>
            <w:vAlign w:val="center"/>
          </w:tcPr>
          <w:p>
            <w:r/>
            <w:r>
              <w:rPr>
                <w:b w:val="0"/>
                <w:sz w:val="17"/>
              </w:rPr>
              <w:t>0.35</w:t>
            </w:r>
          </w:p>
        </w:tc>
      </w:tr>
      <w:tr>
        <w:tc>
          <w:tcPr>
            <w:tcW w:type="dxa" w:w="1704"/>
            <w:vAlign w:val="center"/>
          </w:tcPr>
          <w:p>
            <w:r/>
            <w:r>
              <w:rPr>
                <w:b w:val="0"/>
                <w:sz w:val="17"/>
              </w:rPr>
              <w:t>PB-028</w:t>
            </w:r>
          </w:p>
        </w:tc>
        <w:tc>
          <w:tcPr>
            <w:tcW w:type="dxa" w:w="1704"/>
            <w:vAlign w:val="center"/>
          </w:tcPr>
          <w:p>
            <w:r/>
            <w:r>
              <w:rPr>
                <w:b w:val="0"/>
                <w:sz w:val="17"/>
              </w:rPr>
              <w:t>malware</w:t>
            </w:r>
          </w:p>
        </w:tc>
        <w:tc>
          <w:tcPr>
            <w:tcW w:type="dxa" w:w="1704"/>
            <w:vAlign w:val="center"/>
          </w:tcPr>
          <w:p>
            <w:r/>
            <w:r>
              <w:rPr>
                <w:b w:val="0"/>
                <w:sz w:val="17"/>
              </w:rPr>
              <w:t>Ransomware Early Indicator</w:t>
            </w:r>
          </w:p>
        </w:tc>
        <w:tc>
          <w:tcPr>
            <w:tcW w:type="dxa" w:w="1704"/>
            <w:vAlign w:val="center"/>
          </w:tcPr>
          <w:p>
            <w:r/>
            <w:r>
              <w:rPr>
                <w:b w:val="0"/>
                <w:sz w:val="17"/>
              </w:rPr>
              <w:t>high, critical</w:t>
            </w:r>
          </w:p>
        </w:tc>
        <w:tc>
          <w:tcPr>
            <w:tcW w:type="dxa" w:w="1704"/>
            <w:vAlign w:val="center"/>
          </w:tcPr>
          <w:p>
            <w:r/>
            <w:r>
              <w:rPr>
                <w:b w:val="0"/>
                <w:sz w:val="17"/>
              </w:rPr>
              <w:t>critical</w:t>
            </w:r>
          </w:p>
        </w:tc>
        <w:tc>
          <w:tcPr>
            <w:tcW w:type="dxa" w:w="1704"/>
            <w:vAlign w:val="center"/>
          </w:tcPr>
          <w:p>
            <w:r/>
            <w:r>
              <w:rPr>
                <w:b w:val="0"/>
                <w:sz w:val="17"/>
              </w:rPr>
              <w:t>0.2</w:t>
            </w:r>
          </w:p>
        </w:tc>
      </w:tr>
      <w:tr>
        <w:tc>
          <w:tcPr>
            <w:tcW w:type="dxa" w:w="1704"/>
            <w:vAlign w:val="center"/>
          </w:tcPr>
          <w:p>
            <w:r/>
            <w:r>
              <w:rPr>
                <w:b w:val="0"/>
                <w:sz w:val="17"/>
              </w:rPr>
              <w:t>PB-029</w:t>
            </w:r>
          </w:p>
        </w:tc>
        <w:tc>
          <w:tcPr>
            <w:tcW w:type="dxa" w:w="1704"/>
            <w:vAlign w:val="center"/>
          </w:tcPr>
          <w:p>
            <w:r/>
            <w:r>
              <w:rPr>
                <w:b w:val="0"/>
                <w:sz w:val="17"/>
              </w:rPr>
              <w:t>data_exfiltration</w:t>
            </w:r>
          </w:p>
        </w:tc>
        <w:tc>
          <w:tcPr>
            <w:tcW w:type="dxa" w:w="1704"/>
            <w:vAlign w:val="center"/>
          </w:tcPr>
          <w:p>
            <w:r/>
            <w:r>
              <w:rPr>
                <w:b w:val="0"/>
                <w:sz w:val="17"/>
              </w:rPr>
              <w:t>Large Outbound Transfer Investigation</w:t>
            </w:r>
          </w:p>
        </w:tc>
        <w:tc>
          <w:tcPr>
            <w:tcW w:type="dxa" w:w="1704"/>
            <w:vAlign w:val="center"/>
          </w:tcPr>
          <w:p>
            <w:r/>
            <w:r>
              <w:rPr>
                <w:b w:val="0"/>
                <w:sz w:val="17"/>
              </w:rPr>
              <w:t>medium, high, critical</w:t>
            </w:r>
          </w:p>
        </w:tc>
        <w:tc>
          <w:tcPr>
            <w:tcW w:type="dxa" w:w="1704"/>
            <w:vAlign w:val="center"/>
          </w:tcPr>
          <w:p>
            <w:r/>
            <w:r>
              <w:rPr>
                <w:b w:val="0"/>
                <w:sz w:val="17"/>
              </w:rPr>
              <w:t>high</w:t>
            </w:r>
          </w:p>
        </w:tc>
        <w:tc>
          <w:tcPr>
            <w:tcW w:type="dxa" w:w="1704"/>
            <w:vAlign w:val="center"/>
          </w:tcPr>
          <w:p>
            <w:r/>
            <w:r>
              <w:rPr>
                <w:b w:val="0"/>
                <w:sz w:val="17"/>
              </w:rPr>
              <w:t>0.45</w:t>
            </w:r>
          </w:p>
        </w:tc>
      </w:tr>
      <w:tr>
        <w:tc>
          <w:tcPr>
            <w:tcW w:type="dxa" w:w="1704"/>
            <w:vAlign w:val="center"/>
          </w:tcPr>
          <w:p>
            <w:r/>
            <w:r>
              <w:rPr>
                <w:b w:val="0"/>
                <w:sz w:val="17"/>
              </w:rPr>
              <w:t>PB-030</w:t>
            </w:r>
          </w:p>
        </w:tc>
        <w:tc>
          <w:tcPr>
            <w:tcW w:type="dxa" w:w="1704"/>
            <w:vAlign w:val="center"/>
          </w:tcPr>
          <w:p>
            <w:r/>
            <w:r>
              <w:rPr>
                <w:b w:val="0"/>
                <w:sz w:val="17"/>
              </w:rPr>
              <w:t>data_exfiltration</w:t>
            </w:r>
          </w:p>
        </w:tc>
        <w:tc>
          <w:tcPr>
            <w:tcW w:type="dxa" w:w="1704"/>
            <w:vAlign w:val="center"/>
          </w:tcPr>
          <w:p>
            <w:r/>
            <w:r>
              <w:rPr>
                <w:b w:val="0"/>
                <w:sz w:val="17"/>
              </w:rPr>
              <w:t>Exfiltration Over C2 or DNS Channel</w:t>
            </w:r>
          </w:p>
        </w:tc>
        <w:tc>
          <w:tcPr>
            <w:tcW w:type="dxa" w:w="1704"/>
            <w:vAlign w:val="center"/>
          </w:tcPr>
          <w:p>
            <w:r/>
            <w:r>
              <w:rPr>
                <w:b w:val="0"/>
                <w:sz w:val="17"/>
              </w:rPr>
              <w:t>high, critical</w:t>
            </w:r>
          </w:p>
        </w:tc>
        <w:tc>
          <w:tcPr>
            <w:tcW w:type="dxa" w:w="1704"/>
            <w:vAlign w:val="center"/>
          </w:tcPr>
          <w:p>
            <w:r/>
            <w:r>
              <w:rPr>
                <w:b w:val="0"/>
                <w:sz w:val="17"/>
              </w:rPr>
              <w:t>critical</w:t>
            </w:r>
          </w:p>
        </w:tc>
        <w:tc>
          <w:tcPr>
            <w:tcW w:type="dxa" w:w="1704"/>
            <w:vAlign w:val="center"/>
          </w:tcPr>
          <w:p>
            <w:r/>
            <w:r>
              <w:rPr>
                <w:b w:val="0"/>
                <w:sz w:val="17"/>
              </w:rPr>
              <w:t>0.25</w:t>
            </w:r>
          </w:p>
        </w:tc>
      </w:tr>
    </w:tbl>
    <w:p>
      <w:pPr>
        <w:pStyle w:val="Heading1"/>
      </w:pPr>
      <w:r>
        <w:t>5. Recommendation Scoring Model</w:t>
      </w:r>
    </w:p>
    <w:p>
      <w:r>
        <w:t>The scoring model ranks candidate playbooks using auditable criteria. The output must include a score breakdown so the analyst can understand why the system selected a playbook and what evidence or missing fields affected the score.</w:t>
      </w:r>
    </w:p>
    <w:p>
      <w:pPr>
        <w:spacing w:after="120"/>
      </w:pPr>
      <w:r>
        <w:rPr>
          <w:rFonts w:ascii="Courier New" w:hAnsi="Courier New"/>
          <w:sz w:val="16"/>
        </w:rPr>
        <w:t>score = 100 * sum(weight_i * component_i) - 100 * sum(penalty_j)</w:t>
        <w:br/>
        <w:t>score = clamp(score, 0, 100)</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shd w:fill="D9EAF7"/>
          </w:tcPr>
          <w:p>
            <w:r/>
            <w:r>
              <w:rPr>
                <w:b/>
                <w:sz w:val="17"/>
              </w:rPr>
              <w:t>Criterion</w:t>
            </w:r>
          </w:p>
        </w:tc>
        <w:tc>
          <w:tcPr>
            <w:tcW w:type="dxa" w:w="3408"/>
            <w:vAlign w:val="center"/>
            <w:shd w:fill="D9EAF7"/>
          </w:tcPr>
          <w:p>
            <w:r/>
            <w:r>
              <w:rPr>
                <w:b/>
                <w:sz w:val="17"/>
              </w:rPr>
              <w:t>Weight</w:t>
            </w:r>
          </w:p>
        </w:tc>
        <w:tc>
          <w:tcPr>
            <w:tcW w:type="dxa" w:w="3408"/>
            <w:vAlign w:val="center"/>
            <w:shd w:fill="D9EAF7"/>
          </w:tcPr>
          <w:p>
            <w:r/>
            <w:r>
              <w:rPr>
                <w:b/>
                <w:sz w:val="17"/>
              </w:rPr>
              <w:t>Definition</w:t>
            </w:r>
          </w:p>
        </w:tc>
      </w:tr>
      <w:tr>
        <w:tc>
          <w:tcPr>
            <w:tcW w:type="dxa" w:w="3408"/>
            <w:vAlign w:val="center"/>
          </w:tcPr>
          <w:p>
            <w:r/>
            <w:r>
              <w:rPr>
                <w:b w:val="0"/>
                <w:sz w:val="17"/>
              </w:rPr>
              <w:t>alertTypeMatch</w:t>
            </w:r>
          </w:p>
        </w:tc>
        <w:tc>
          <w:tcPr>
            <w:tcW w:type="dxa" w:w="3408"/>
            <w:vAlign w:val="center"/>
          </w:tcPr>
          <w:p>
            <w:r/>
            <w:r>
              <w:rPr>
                <w:b w:val="0"/>
                <w:sz w:val="17"/>
              </w:rPr>
              <w:t>0.25</w:t>
            </w:r>
          </w:p>
        </w:tc>
        <w:tc>
          <w:tcPr>
            <w:tcW w:type="dxa" w:w="3408"/>
            <w:vAlign w:val="center"/>
          </w:tcPr>
          <w:p>
            <w:r/>
            <w:r>
              <w:rPr>
                <w:b w:val="0"/>
                <w:sz w:val="17"/>
              </w:rPr>
              <w:t>1 when normalizedAlert.alertType is in playbook.alertTypes; 0.35 for related category; 0 otherwise.</w:t>
            </w:r>
          </w:p>
        </w:tc>
      </w:tr>
      <w:tr>
        <w:tc>
          <w:tcPr>
            <w:tcW w:type="dxa" w:w="3408"/>
            <w:vAlign w:val="center"/>
          </w:tcPr>
          <w:p>
            <w:r/>
            <w:r>
              <w:rPr>
                <w:b w:val="0"/>
                <w:sz w:val="17"/>
              </w:rPr>
              <w:t>mitreTechniqueMatch</w:t>
            </w:r>
          </w:p>
        </w:tc>
        <w:tc>
          <w:tcPr>
            <w:tcW w:type="dxa" w:w="3408"/>
            <w:vAlign w:val="center"/>
          </w:tcPr>
          <w:p>
            <w:r/>
            <w:r>
              <w:rPr>
                <w:b w:val="0"/>
                <w:sz w:val="17"/>
              </w:rPr>
              <w:t>0.15</w:t>
            </w:r>
          </w:p>
        </w:tc>
        <w:tc>
          <w:tcPr>
            <w:tcW w:type="dxa" w:w="3408"/>
            <w:vAlign w:val="center"/>
          </w:tcPr>
          <w:p>
            <w:r/>
            <w:r>
              <w:rPr>
                <w:b w:val="0"/>
                <w:sz w:val="17"/>
              </w:rPr>
              <w:t>1 when at least one alert MITRE technique exactly matches the playbook; 0.7 for same tactic; 0 when unavailable; neutral 0.5 may be used only when alert lacks MITRE mapping.</w:t>
            </w:r>
          </w:p>
        </w:tc>
      </w:tr>
      <w:tr>
        <w:tc>
          <w:tcPr>
            <w:tcW w:type="dxa" w:w="3408"/>
            <w:vAlign w:val="center"/>
          </w:tcPr>
          <w:p>
            <w:r/>
            <w:r>
              <w:rPr>
                <w:b w:val="0"/>
                <w:sz w:val="17"/>
              </w:rPr>
              <w:t>severityMatch</w:t>
            </w:r>
          </w:p>
        </w:tc>
        <w:tc>
          <w:tcPr>
            <w:tcW w:type="dxa" w:w="3408"/>
            <w:vAlign w:val="center"/>
          </w:tcPr>
          <w:p>
            <w:r/>
            <w:r>
              <w:rPr>
                <w:b w:val="0"/>
                <w:sz w:val="17"/>
              </w:rPr>
              <w:t>0.13</w:t>
            </w:r>
          </w:p>
        </w:tc>
        <w:tc>
          <w:tcPr>
            <w:tcW w:type="dxa" w:w="3408"/>
            <w:vAlign w:val="center"/>
          </w:tcPr>
          <w:p>
            <w:r/>
            <w:r>
              <w:rPr>
                <w:b w:val="0"/>
                <w:sz w:val="17"/>
              </w:rPr>
              <w:t>1 exact/in-range match; 0.7 if adjacent severity; 0.3 otherwise.</w:t>
            </w:r>
          </w:p>
        </w:tc>
      </w:tr>
      <w:tr>
        <w:tc>
          <w:tcPr>
            <w:tcW w:type="dxa" w:w="3408"/>
            <w:vAlign w:val="center"/>
          </w:tcPr>
          <w:p>
            <w:r/>
            <w:r>
              <w:rPr>
                <w:b w:val="0"/>
                <w:sz w:val="17"/>
              </w:rPr>
              <w:t>requiredFieldCoverage</w:t>
            </w:r>
          </w:p>
        </w:tc>
        <w:tc>
          <w:tcPr>
            <w:tcW w:type="dxa" w:w="3408"/>
            <w:vAlign w:val="center"/>
          </w:tcPr>
          <w:p>
            <w:r/>
            <w:r>
              <w:rPr>
                <w:b w:val="0"/>
                <w:sz w:val="17"/>
              </w:rPr>
              <w:t>0.12</w:t>
            </w:r>
          </w:p>
        </w:tc>
        <w:tc>
          <w:tcPr>
            <w:tcW w:type="dxa" w:w="3408"/>
            <w:vAlign w:val="center"/>
          </w:tcPr>
          <w:p>
            <w:r/>
            <w:r>
              <w:rPr>
                <w:b w:val="0"/>
                <w:sz w:val="17"/>
              </w:rPr>
              <w:t>count(requiredFields present and non-empty) / count(requiredFields).</w:t>
            </w:r>
          </w:p>
        </w:tc>
      </w:tr>
      <w:tr>
        <w:tc>
          <w:tcPr>
            <w:tcW w:type="dxa" w:w="3408"/>
            <w:vAlign w:val="center"/>
          </w:tcPr>
          <w:p>
            <w:r/>
            <w:r>
              <w:rPr>
                <w:b w:val="0"/>
                <w:sz w:val="17"/>
              </w:rPr>
              <w:t>assetCriticalityMatch</w:t>
            </w:r>
          </w:p>
        </w:tc>
        <w:tc>
          <w:tcPr>
            <w:tcW w:type="dxa" w:w="3408"/>
            <w:vAlign w:val="center"/>
          </w:tcPr>
          <w:p>
            <w:r/>
            <w:r>
              <w:rPr>
                <w:b w:val="0"/>
                <w:sz w:val="17"/>
              </w:rPr>
              <w:t>0.1</w:t>
            </w:r>
          </w:p>
        </w:tc>
        <w:tc>
          <w:tcPr>
            <w:tcW w:type="dxa" w:w="3408"/>
            <w:vAlign w:val="center"/>
          </w:tcPr>
          <w:p>
            <w:r/>
            <w:r>
              <w:rPr>
                <w:b w:val="0"/>
                <w:sz w:val="17"/>
              </w:rPr>
              <w:t>1 if alert asset criticality is in affinity list; 0.7 if adjacent; 0.4 if missing; 0.2 if mismatched.</w:t>
            </w:r>
          </w:p>
        </w:tc>
      </w:tr>
      <w:tr>
        <w:tc>
          <w:tcPr>
            <w:tcW w:type="dxa" w:w="3408"/>
            <w:vAlign w:val="center"/>
          </w:tcPr>
          <w:p>
            <w:r/>
            <w:r>
              <w:rPr>
                <w:b w:val="0"/>
                <w:sz w:val="17"/>
              </w:rPr>
              <w:t>indicatorContextMatch</w:t>
            </w:r>
          </w:p>
        </w:tc>
        <w:tc>
          <w:tcPr>
            <w:tcW w:type="dxa" w:w="3408"/>
            <w:vAlign w:val="center"/>
          </w:tcPr>
          <w:p>
            <w:r/>
            <w:r>
              <w:rPr>
                <w:b w:val="0"/>
                <w:sz w:val="17"/>
              </w:rPr>
              <w:t>0.08</w:t>
            </w:r>
          </w:p>
        </w:tc>
        <w:tc>
          <w:tcPr>
            <w:tcW w:type="dxa" w:w="3408"/>
            <w:vAlign w:val="center"/>
          </w:tcPr>
          <w:p>
            <w:r/>
            <w:r>
              <w:rPr>
                <w:b w:val="0"/>
                <w:sz w:val="17"/>
              </w:rPr>
              <w:t>Positive signal coverage minus benign/conflicting signal pressure, normalized to [0,1].</w:t>
            </w:r>
          </w:p>
        </w:tc>
      </w:tr>
      <w:tr>
        <w:tc>
          <w:tcPr>
            <w:tcW w:type="dxa" w:w="3408"/>
            <w:vAlign w:val="center"/>
          </w:tcPr>
          <w:p>
            <w:r/>
            <w:r>
              <w:rPr>
                <w:b w:val="0"/>
                <w:sz w:val="17"/>
              </w:rPr>
              <w:t>alertConfidence</w:t>
            </w:r>
          </w:p>
        </w:tc>
        <w:tc>
          <w:tcPr>
            <w:tcW w:type="dxa" w:w="3408"/>
            <w:vAlign w:val="center"/>
          </w:tcPr>
          <w:p>
            <w:r/>
            <w:r>
              <w:rPr>
                <w:b w:val="0"/>
                <w:sz w:val="17"/>
              </w:rPr>
              <w:t>0.07</w:t>
            </w:r>
          </w:p>
        </w:tc>
        <w:tc>
          <w:tcPr>
            <w:tcW w:type="dxa" w:w="3408"/>
            <w:vAlign w:val="center"/>
          </w:tcPr>
          <w:p>
            <w:r/>
            <w:r>
              <w:rPr>
                <w:b w:val="0"/>
                <w:sz w:val="17"/>
              </w:rPr>
              <w:t>normalizedAlert.confidence or 0.5 default for demo alerts.</w:t>
            </w:r>
          </w:p>
        </w:tc>
      </w:tr>
      <w:tr>
        <w:tc>
          <w:tcPr>
            <w:tcW w:type="dxa" w:w="3408"/>
            <w:vAlign w:val="center"/>
          </w:tcPr>
          <w:p>
            <w:r/>
            <w:r>
              <w:rPr>
                <w:b w:val="0"/>
                <w:sz w:val="17"/>
              </w:rPr>
              <w:t>sourceReliability</w:t>
            </w:r>
          </w:p>
        </w:tc>
        <w:tc>
          <w:tcPr>
            <w:tcW w:type="dxa" w:w="3408"/>
            <w:vAlign w:val="center"/>
          </w:tcPr>
          <w:p>
            <w:r/>
            <w:r>
              <w:rPr>
                <w:b w:val="0"/>
                <w:sz w:val="17"/>
              </w:rPr>
              <w:t>0.04</w:t>
            </w:r>
          </w:p>
        </w:tc>
        <w:tc>
          <w:tcPr>
            <w:tcW w:type="dxa" w:w="3408"/>
            <w:vAlign w:val="center"/>
          </w:tcPr>
          <w:p>
            <w:r/>
            <w:r>
              <w:rPr>
                <w:b w:val="0"/>
                <w:sz w:val="17"/>
              </w:rPr>
              <w:t>Reliability of alert source, e.g., EDR/WAF/SIEM/manual report, default 0.6.</w:t>
            </w:r>
          </w:p>
        </w:tc>
      </w:tr>
      <w:tr>
        <w:tc>
          <w:tcPr>
            <w:tcW w:type="dxa" w:w="3408"/>
            <w:vAlign w:val="center"/>
          </w:tcPr>
          <w:p>
            <w:r/>
            <w:r>
              <w:rPr>
                <w:b w:val="0"/>
                <w:sz w:val="17"/>
              </w:rPr>
              <w:t>automationSuitability</w:t>
            </w:r>
          </w:p>
        </w:tc>
        <w:tc>
          <w:tcPr>
            <w:tcW w:type="dxa" w:w="3408"/>
            <w:vAlign w:val="center"/>
          </w:tcPr>
          <w:p>
            <w:r/>
            <w:r>
              <w:rPr>
                <w:b w:val="0"/>
                <w:sz w:val="17"/>
              </w:rPr>
              <w:t>0.04</w:t>
            </w:r>
          </w:p>
        </w:tc>
        <w:tc>
          <w:tcPr>
            <w:tcW w:type="dxa" w:w="3408"/>
            <w:vAlign w:val="center"/>
          </w:tcPr>
          <w:p>
            <w:r/>
            <w:r>
              <w:rPr>
                <w:b w:val="0"/>
                <w:sz w:val="17"/>
              </w:rPr>
              <w:t>playbook.automationSuitability adjusted down when analyst approval risk is high.</w:t>
            </w:r>
          </w:p>
        </w:tc>
      </w:tr>
      <w:tr>
        <w:tc>
          <w:tcPr>
            <w:tcW w:type="dxa" w:w="3408"/>
            <w:vAlign w:val="center"/>
          </w:tcPr>
          <w:p>
            <w:r/>
            <w:r>
              <w:rPr>
                <w:b w:val="0"/>
                <w:sz w:val="17"/>
              </w:rPr>
              <w:t>historicalPerformance</w:t>
            </w:r>
          </w:p>
        </w:tc>
        <w:tc>
          <w:tcPr>
            <w:tcW w:type="dxa" w:w="3408"/>
            <w:vAlign w:val="center"/>
          </w:tcPr>
          <w:p>
            <w:r/>
            <w:r>
              <w:rPr>
                <w:b w:val="0"/>
                <w:sz w:val="17"/>
              </w:rPr>
              <w:t>0.02</w:t>
            </w:r>
          </w:p>
        </w:tc>
        <w:tc>
          <w:tcPr>
            <w:tcW w:type="dxa" w:w="3408"/>
            <w:vAlign w:val="center"/>
          </w:tcPr>
          <w:p>
            <w:r/>
            <w:r>
              <w:rPr>
                <w:b w:val="0"/>
                <w:sz w:val="17"/>
              </w:rPr>
              <w:t>0.5 default; otherwise based on playbook success rate and analyst acceptance rate.</w:t>
            </w:r>
          </w:p>
        </w:tc>
      </w:tr>
    </w:tbl>
    <w:p>
      <w:pPr>
        <w:pStyle w:val="Heading2"/>
      </w:pPr>
      <w:r>
        <w:t>5.1 Penalties and safety controls</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D9EAF7"/>
          </w:tcPr>
          <w:p>
            <w:r/>
            <w:r>
              <w:rPr>
                <w:b/>
                <w:sz w:val="17"/>
              </w:rPr>
              <w:t>Penalty</w:t>
            </w:r>
          </w:p>
        </w:tc>
        <w:tc>
          <w:tcPr>
            <w:tcW w:type="dxa" w:w="5112"/>
            <w:vAlign w:val="center"/>
            <w:shd w:fill="D9EAF7"/>
          </w:tcPr>
          <w:p>
            <w:r/>
            <w:r>
              <w:rPr>
                <w:b/>
                <w:sz w:val="17"/>
              </w:rPr>
              <w:t>Value</w:t>
            </w:r>
          </w:p>
        </w:tc>
      </w:tr>
      <w:tr>
        <w:tc>
          <w:tcPr>
            <w:tcW w:type="dxa" w:w="5112"/>
            <w:vAlign w:val="center"/>
          </w:tcPr>
          <w:p>
            <w:r/>
            <w:r>
              <w:rPr>
                <w:b w:val="0"/>
                <w:sz w:val="17"/>
              </w:rPr>
              <w:t>missingCriticalField</w:t>
            </w:r>
          </w:p>
        </w:tc>
        <w:tc>
          <w:tcPr>
            <w:tcW w:type="dxa" w:w="5112"/>
            <w:vAlign w:val="center"/>
          </w:tcPr>
          <w:p>
            <w:r/>
            <w:r>
              <w:rPr>
                <w:b w:val="0"/>
                <w:sz w:val="17"/>
              </w:rPr>
              <w:t>0.06</w:t>
            </w:r>
          </w:p>
        </w:tc>
      </w:tr>
      <w:tr>
        <w:tc>
          <w:tcPr>
            <w:tcW w:type="dxa" w:w="5112"/>
            <w:vAlign w:val="center"/>
          </w:tcPr>
          <w:p>
            <w:r/>
            <w:r>
              <w:rPr>
                <w:b w:val="0"/>
                <w:sz w:val="17"/>
              </w:rPr>
              <w:t>unsafeAutomationRisk</w:t>
            </w:r>
          </w:p>
        </w:tc>
        <w:tc>
          <w:tcPr>
            <w:tcW w:type="dxa" w:w="5112"/>
            <w:vAlign w:val="center"/>
          </w:tcPr>
          <w:p>
            <w:r/>
            <w:r>
              <w:rPr>
                <w:b w:val="0"/>
                <w:sz w:val="17"/>
              </w:rPr>
              <w:t>0.05</w:t>
            </w:r>
          </w:p>
        </w:tc>
      </w:tr>
      <w:tr>
        <w:tc>
          <w:tcPr>
            <w:tcW w:type="dxa" w:w="5112"/>
            <w:vAlign w:val="center"/>
          </w:tcPr>
          <w:p>
            <w:r/>
            <w:r>
              <w:rPr>
                <w:b w:val="0"/>
                <w:sz w:val="17"/>
              </w:rPr>
              <w:t>approvalRiskHigh</w:t>
            </w:r>
          </w:p>
        </w:tc>
        <w:tc>
          <w:tcPr>
            <w:tcW w:type="dxa" w:w="5112"/>
            <w:vAlign w:val="center"/>
          </w:tcPr>
          <w:p>
            <w:r/>
            <w:r>
              <w:rPr>
                <w:b w:val="0"/>
                <w:sz w:val="17"/>
              </w:rPr>
              <w:t>0.03</w:t>
            </w:r>
          </w:p>
        </w:tc>
      </w:tr>
      <w:tr>
        <w:tc>
          <w:tcPr>
            <w:tcW w:type="dxa" w:w="5112"/>
            <w:vAlign w:val="center"/>
          </w:tcPr>
          <w:p>
            <w:r/>
            <w:r>
              <w:rPr>
                <w:b w:val="0"/>
                <w:sz w:val="17"/>
              </w:rPr>
              <w:t>approvalRiskCritical</w:t>
            </w:r>
          </w:p>
        </w:tc>
        <w:tc>
          <w:tcPr>
            <w:tcW w:type="dxa" w:w="5112"/>
            <w:vAlign w:val="center"/>
          </w:tcPr>
          <w:p>
            <w:r/>
            <w:r>
              <w:rPr>
                <w:b w:val="0"/>
                <w:sz w:val="17"/>
              </w:rPr>
              <w:t>0.06</w:t>
            </w:r>
          </w:p>
        </w:tc>
      </w:tr>
      <w:tr>
        <w:tc>
          <w:tcPr>
            <w:tcW w:type="dxa" w:w="5112"/>
            <w:vAlign w:val="center"/>
          </w:tcPr>
          <w:p>
            <w:r/>
            <w:r>
              <w:rPr>
                <w:b w:val="0"/>
                <w:sz w:val="17"/>
              </w:rPr>
              <w:t>knownBenignSignal</w:t>
            </w:r>
          </w:p>
        </w:tc>
        <w:tc>
          <w:tcPr>
            <w:tcW w:type="dxa" w:w="5112"/>
            <w:vAlign w:val="center"/>
          </w:tcPr>
          <w:p>
            <w:r/>
            <w:r>
              <w:rPr>
                <w:b w:val="0"/>
                <w:sz w:val="17"/>
              </w:rPr>
              <w:t>0.08</w:t>
            </w:r>
          </w:p>
        </w:tc>
      </w:tr>
      <w:tr>
        <w:tc>
          <w:tcPr>
            <w:tcW w:type="dxa" w:w="5112"/>
            <w:vAlign w:val="center"/>
          </w:tcPr>
          <w:p>
            <w:r/>
            <w:r>
              <w:rPr>
                <w:b w:val="0"/>
                <w:sz w:val="17"/>
              </w:rPr>
              <w:t>conflictingMitreContext</w:t>
            </w:r>
          </w:p>
        </w:tc>
        <w:tc>
          <w:tcPr>
            <w:tcW w:type="dxa" w:w="5112"/>
            <w:vAlign w:val="center"/>
          </w:tcPr>
          <w:p>
            <w:r/>
            <w:r>
              <w:rPr>
                <w:b w:val="0"/>
                <w:sz w:val="17"/>
              </w:rPr>
              <w:t>0.07</w:t>
            </w:r>
          </w:p>
        </w:tc>
      </w:tr>
    </w:tbl>
    <w:p>
      <w:r>
        <w:t>High and critical approval-risk playbooks must never execute disruptive actions automatically. Safe automation should be limited to enrichment, evidence collection, ticket updates and report drafts unless the analyst explicitly approves containment.</w:t>
      </w:r>
    </w:p>
    <w:p>
      <w:pPr>
        <w:pStyle w:val="Heading1"/>
      </w:pPr>
      <w:r>
        <w:t>6. Evaluation Dataset</w:t>
      </w:r>
    </w:p>
    <w:p>
      <w:r>
        <w:t>The evaluation dataset has 75 cases across port scan, SQL injection, suspicious DNS, brute force, phishing, malware and data exfiltration. Each case includes expected Top-1 and acceptable Top-3 labels. This enables SOARisk to compare a baseline alertType-only recommender against the proposed contextual scoring model.</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D9EAF7"/>
          </w:tcPr>
          <w:p>
            <w:r/>
            <w:r>
              <w:rPr>
                <w:b/>
                <w:sz w:val="17"/>
              </w:rPr>
              <w:t>Metric</w:t>
            </w:r>
          </w:p>
        </w:tc>
        <w:tc>
          <w:tcPr>
            <w:tcW w:type="dxa" w:w="5112"/>
            <w:vAlign w:val="center"/>
            <w:shd w:fill="D9EAF7"/>
          </w:tcPr>
          <w:p>
            <w:r/>
            <w:r>
              <w:rPr>
                <w:b/>
                <w:sz w:val="17"/>
              </w:rPr>
              <w:t>Meaning</w:t>
            </w:r>
          </w:p>
        </w:tc>
      </w:tr>
      <w:tr>
        <w:tc>
          <w:tcPr>
            <w:tcW w:type="dxa" w:w="5112"/>
            <w:vAlign w:val="center"/>
          </w:tcPr>
          <w:p>
            <w:r/>
            <w:r>
              <w:rPr>
                <w:b w:val="0"/>
                <w:sz w:val="17"/>
              </w:rPr>
              <w:t>Top-1 Accuracy</w:t>
            </w:r>
          </w:p>
        </w:tc>
        <w:tc>
          <w:tcPr>
            <w:tcW w:type="dxa" w:w="5112"/>
            <w:vAlign w:val="center"/>
          </w:tcPr>
          <w:p>
            <w:r/>
            <w:r>
              <w:rPr>
                <w:b w:val="0"/>
                <w:sz w:val="17"/>
              </w:rPr>
              <w:t>Whether the first recommended playbook equals expectedTop1.</w:t>
            </w:r>
          </w:p>
        </w:tc>
      </w:tr>
      <w:tr>
        <w:tc>
          <w:tcPr>
            <w:tcW w:type="dxa" w:w="5112"/>
            <w:vAlign w:val="center"/>
          </w:tcPr>
          <w:p>
            <w:r/>
            <w:r>
              <w:rPr>
                <w:b w:val="0"/>
                <w:sz w:val="17"/>
              </w:rPr>
              <w:t>Top-3 Accuracy</w:t>
            </w:r>
          </w:p>
        </w:tc>
        <w:tc>
          <w:tcPr>
            <w:tcW w:type="dxa" w:w="5112"/>
            <w:vAlign w:val="center"/>
          </w:tcPr>
          <w:p>
            <w:r/>
            <w:r>
              <w:rPr>
                <w:b w:val="0"/>
                <w:sz w:val="17"/>
              </w:rPr>
              <w:t>Whether any acceptable playbook appears in the returned Top-3.</w:t>
            </w:r>
          </w:p>
        </w:tc>
      </w:tr>
      <w:tr>
        <w:tc>
          <w:tcPr>
            <w:tcW w:type="dxa" w:w="5112"/>
            <w:vAlign w:val="center"/>
          </w:tcPr>
          <w:p>
            <w:r/>
            <w:r>
              <w:rPr>
                <w:b w:val="0"/>
                <w:sz w:val="17"/>
              </w:rPr>
              <w:t>Mean Reciprocal Rank</w:t>
            </w:r>
          </w:p>
        </w:tc>
        <w:tc>
          <w:tcPr>
            <w:tcW w:type="dxa" w:w="5112"/>
            <w:vAlign w:val="center"/>
          </w:tcPr>
          <w:p>
            <w:r/>
            <w:r>
              <w:rPr>
                <w:b w:val="0"/>
                <w:sz w:val="17"/>
              </w:rPr>
              <w:t>Rewards correct playbooks appearing higher in ranking.</w:t>
            </w:r>
          </w:p>
        </w:tc>
      </w:tr>
      <w:tr>
        <w:tc>
          <w:tcPr>
            <w:tcW w:type="dxa" w:w="5112"/>
            <w:vAlign w:val="center"/>
          </w:tcPr>
          <w:p>
            <w:r/>
            <w:r>
              <w:rPr>
                <w:b w:val="0"/>
                <w:sz w:val="17"/>
              </w:rPr>
              <w:t>Confusion pairs</w:t>
            </w:r>
          </w:p>
        </w:tc>
        <w:tc>
          <w:tcPr>
            <w:tcW w:type="dxa" w:w="5112"/>
            <w:vAlign w:val="center"/>
          </w:tcPr>
          <w:p>
            <w:r/>
            <w:r>
              <w:rPr>
                <w:b w:val="0"/>
                <w:sz w:val="17"/>
              </w:rPr>
              <w:t>Shows which playbooks are commonly mistaken for others.</w:t>
            </w:r>
          </w:p>
        </w:tc>
      </w:tr>
      <w:tr>
        <w:tc>
          <w:tcPr>
            <w:tcW w:type="dxa" w:w="5112"/>
            <w:vAlign w:val="center"/>
          </w:tcPr>
          <w:p>
            <w:r/>
            <w:r>
              <w:rPr>
                <w:b w:val="0"/>
                <w:sz w:val="17"/>
              </w:rPr>
              <w:t>Ambiguity rate</w:t>
            </w:r>
          </w:p>
        </w:tc>
        <w:tc>
          <w:tcPr>
            <w:tcW w:type="dxa" w:w="5112"/>
            <w:vAlign w:val="center"/>
          </w:tcPr>
          <w:p>
            <w:r/>
            <w:r>
              <w:rPr>
                <w:b w:val="0"/>
                <w:sz w:val="17"/>
              </w:rPr>
              <w:t>Cases where Top-1 and Top-2 score gap is below 5 points.</w:t>
            </w:r>
          </w:p>
        </w:tc>
      </w:tr>
    </w:tbl>
    <w:p>
      <w:pPr>
        <w:pStyle w:val="Heading2"/>
      </w:pPr>
      <w:r>
        <w:t>6.1 Example evaluation case</w:t>
      </w:r>
    </w:p>
    <w:p>
      <w:pPr>
        <w:spacing w:after="120"/>
      </w:pPr>
      <w:r>
        <w:rPr>
          <w:rFonts w:ascii="Courier New" w:hAnsi="Courier New"/>
          <w:sz w:val="16"/>
        </w:rPr>
        <w:t>{</w:t>
        <w:br/>
        <w:t xml:space="preserve">  "caseId": "EVAL-011",</w:t>
        <w:br/>
        <w:t xml:space="preserve">  "alertType": "web_sql_injection",</w:t>
        <w:br/>
        <w:t xml:space="preserve">  "severity": "medium",</w:t>
        <w:br/>
        <w:t xml:space="preserve">  "normalizedAlert": {</w:t>
        <w:br/>
        <w:t xml:space="preserve">    "sourceIp": "203.0.113.45",</w:t>
        <w:br/>
        <w:t xml:space="preserve">    "destinationIp": "203.0.113.20",</w:t>
        <w:br/>
        <w:t xml:space="preserve">    "targetAssetCriticality": "medium",</w:t>
        <w:br/>
        <w:t xml:space="preserve">    "confidence": 0.88,</w:t>
        <w:br/>
        <w:t xml:space="preserve">    "sourceReliability": 0.77,</w:t>
        <w:br/>
        <w:t xml:space="preserve">    "timeWindow": "5m",</w:t>
        <w:br/>
        <w:t xml:space="preserve">    "eventCount": 79,</w:t>
        <w:br/>
        <w:t xml:space="preserve">    "url": "/search",</w:t>
        <w:br/>
        <w:t xml:space="preserve">    "httpMethod": "POST",</w:t>
        <w:br/>
        <w:t xml:space="preserve">    "payloadSnippet": "' OR '1'='1",</w:t>
        <w:br/>
        <w:t xml:space="preserve">    "statusCode": 200,</w:t>
        <w:br/>
        <w:t xml:space="preserve">    "responseSize": 244557,</w:t>
        <w:br/>
        <w:t xml:space="preserve">    "dbErrorIndicator": true,</w:t>
        <w:br/>
        <w:t xml:space="preserve">    "endpointRole": "search",</w:t>
        <w:br/>
        <w:t xml:space="preserve">    "wafAction": "allowed",</w:t>
        <w:br/>
        <w:t xml:space="preserve">    "webshellIndicator": false,</w:t>
        <w:br/>
        <w:t xml:space="preserve">    "hostProcess": "w3wp.exe"</w:t>
        <w:br/>
        <w:t xml:space="preserve">  },</w:t>
        <w:br/>
        <w:t xml:space="preserve">  "expectedTop1": "PB-006",</w:t>
        <w:br/>
        <w:t xml:space="preserve">  "acceptableTop3": [</w:t>
        <w:br/>
        <w:t xml:space="preserve">    "PB-006",</w:t>
        <w:br/>
        <w:t xml:space="preserve">    "PB-005",</w:t>
        <w:br/>
        <w:t xml:space="preserve">    "PB-007"</w:t>
        <w:br/>
        <w:t xml:space="preserve">  ],</w:t>
        <w:br/>
        <w:t xml:space="preserve">  "rationale": "Case targets SQLi Against Authentication Endpoint because the alert contains signals: auth_endpoint, login_bypass_payload.",</w:t>
        <w:br/>
        <w:t xml:space="preserve">  "difficulty": "standard",</w:t>
        <w:br/>
        <w:t xml:space="preserve">  "baselineTrap": "A baseline using only alertType may confuse this with another playbook in the same category."</w:t>
        <w:br/>
        <w:t>}</w:t>
      </w:r>
    </w:p>
    <w:p>
      <w:pPr>
        <w:pStyle w:val="Heading1"/>
      </w:pPr>
      <w:r>
        <w:t>7. Codex integration plan</w:t>
      </w:r>
    </w:p>
    <w:p>
      <w:pPr>
        <w:spacing w:after="120"/>
      </w:pPr>
      <w:r>
        <w:rPr>
          <w:rFonts w:ascii="Courier New" w:hAnsi="Courier New"/>
          <w:sz w:val="16"/>
        </w:rPr>
        <w:t>backend/src/playbooks/playbook.types.ts</w:t>
        <w:br/>
        <w:t>backend/src/playbooks/playbook.seed.v2.ts</w:t>
        <w:br/>
        <w:t>backend/src/recommendation/scoring-config.ts</w:t>
        <w:br/>
        <w:t>backend/src/recommendation/scoring.service.ts</w:t>
        <w:br/>
        <w:t>backend/src/recommendation/explanation.service.ts</w:t>
        <w:br/>
        <w:t>backend/src/evaluation/evaluation-cases.seed.ts</w:t>
        <w:br/>
        <w:t>backend/src/evaluation/evaluation.service.ts</w:t>
        <w:br/>
        <w:t>backend/src/evaluation/baseline.service.ts</w:t>
        <w:br/>
        <w:t>backend/src/evaluation/evaluation.controller.ts</w:t>
        <w:br/>
        <w:t>frontend/src/features/recommendation/ScoreBreakdownCard.tsx</w:t>
        <w:br/>
        <w:t>frontend/src/features/evaluation/EvaluationDashboard.tsx</w:t>
        <w:br/>
        <w:t>docs/recommendation-methodology.md</w:t>
      </w:r>
    </w:p>
    <w:p>
      <w:pPr>
        <w:pStyle w:val="ListNumber"/>
      </w:pPr>
      <w:r>
        <w:t>Load playbooks.v2.seed.json and migrate/seed the playbook table or TypeScript seed file.</w:t>
      </w:r>
    </w:p>
    <w:p>
      <w:pPr>
        <w:pStyle w:val="ListNumber"/>
      </w:pPr>
      <w:r>
        <w:t>Create scoring service that returns Top-3 recommendations with complete breakdown.</w:t>
      </w:r>
    </w:p>
    <w:p>
      <w:pPr>
        <w:pStyle w:val="ListNumber"/>
      </w:pPr>
      <w:r>
        <w:t>Create explanation service that converts score breakdown into analyst-readable text.</w:t>
      </w:r>
    </w:p>
    <w:p>
      <w:pPr>
        <w:pStyle w:val="ListNumber"/>
      </w:pPr>
      <w:r>
        <w:t>Create baseline recommender that only matches alertType.</w:t>
      </w:r>
    </w:p>
    <w:p>
      <w:pPr>
        <w:pStyle w:val="ListNumber"/>
      </w:pPr>
      <w:r>
        <w:t>Create evaluation service that runs baseline and proposed model on the same 75 cases.</w:t>
      </w:r>
    </w:p>
    <w:p>
      <w:pPr>
        <w:pStyle w:val="ListNumber"/>
      </w:pPr>
      <w:r>
        <w:t>Add UI score breakdown cards and evaluation dashboard.</w:t>
      </w:r>
    </w:p>
    <w:p>
      <w:pPr>
        <w:pStyle w:val="ListNumber"/>
      </w:pPr>
      <w:r>
        <w:t>Update report export to include recommendation rationale and evaluation summary.</w:t>
      </w:r>
    </w:p>
    <w:p>
      <w:pPr>
        <w:pStyle w:val="Heading1"/>
      </w:pPr>
      <w:r>
        <w:t>8. Acceptance criteria</w:t>
      </w:r>
    </w:p>
    <w:p>
      <w:pPr>
        <w:pStyle w:val="ListBullet"/>
      </w:pPr>
      <w:r>
        <w:t>30 structured playbooks load successfully.</w:t>
      </w:r>
    </w:p>
    <w:p>
      <w:pPr>
        <w:pStyle w:val="ListBullet"/>
      </w:pPr>
      <w:r>
        <w:t>75 evaluation cases load successfully.</w:t>
      </w:r>
    </w:p>
    <w:p>
      <w:pPr>
        <w:pStyle w:val="ListBullet"/>
      </w:pPr>
      <w:r>
        <w:t>Top-3 recommendation includes score, confidence band, breakdown, missing fields, approval risk and automation suitability.</w:t>
      </w:r>
    </w:p>
    <w:p>
      <w:pPr>
        <w:pStyle w:val="ListBullet"/>
      </w:pPr>
      <w:r>
        <w:t>Baseline and proposed model can be evaluated using the same dataset.</w:t>
      </w:r>
    </w:p>
    <w:p>
      <w:pPr>
        <w:pStyle w:val="ListBullet"/>
      </w:pPr>
      <w:r>
        <w:t>Dashboard/report includes Top-1 accuracy, Top-3 accuracy, MRR and confusion pairs.</w:t>
      </w:r>
    </w:p>
    <w:p>
      <w:pPr>
        <w:pStyle w:val="ListBullet"/>
      </w:pPr>
      <w:r>
        <w:t>High/critical actions require analyst approval.</w:t>
      </w:r>
    </w:p>
    <w:p>
      <w:pPr>
        <w:pStyle w:val="ListBullet"/>
      </w:pPr>
      <w:r>
        <w:t>No UI or report text claims that PCAP demo input is a real IDS.</w:t>
      </w:r>
    </w:p>
    <w:p>
      <w:pPr>
        <w:pStyle w:val="Heading1"/>
      </w:pPr>
      <w:r>
        <w:t>9. Report-ready conclusion</w:t>
      </w:r>
    </w:p>
    <w:p>
      <w:r>
        <w:t>With this enhancement, SOARisk can be defended as a structured SOAR decision-support prototype. The contribution becomes clear: a structured playbook dataset, an explainable scoring model and an evaluation dataset that measures recommendation value beyond simple alert-type matching.</w:t>
      </w:r>
    </w:p>
    <w:p>
      <w:pPr>
        <w:pStyle w:val="Heading1"/>
      </w:pPr>
      <w:r>
        <w:t>10. References</w:t>
      </w:r>
    </w:p>
    <w:p>
      <w:pPr>
        <w:pStyle w:val="ListBullet"/>
      </w:pPr>
      <w:r>
        <w:t>NIST (2025). SP 800-61 Rev. 3, Incident Response Recommendations and Considerations for Cybersecurity Risk Management: A CSF 2.0 Community Profile.</w:t>
      </w:r>
    </w:p>
    <w:p>
      <w:pPr>
        <w:pStyle w:val="ListBullet"/>
      </w:pPr>
      <w:r>
        <w:t>CISA (2024). Federal Government Cybersecurity Incident and Vulnerability Response Playbooks.</w:t>
      </w:r>
    </w:p>
    <w:p>
      <w:pPr>
        <w:pStyle w:val="ListBullet"/>
      </w:pPr>
      <w:r>
        <w:t>MITRE ATT&amp;CK (2026). Enterprise ATT&amp;CK v19 and technique pages including T1595, T1190, T1110, T1110.003, T1566, T1566.002, T1505.003 and T1041.</w:t>
      </w:r>
    </w:p>
    <w:p>
      <w:pPr>
        <w:pStyle w:val="ListBullet"/>
      </w:pPr>
      <w:r>
        <w:t>OASIS CACAO (2023). CACAO Security Playbooks Version 2.0.</w:t>
      </w:r>
    </w:p>
    <w:p>
      <w:pPr>
        <w:pStyle w:val="ListBullet"/>
      </w:pPr>
      <w:r>
        <w:t>Open Cybersecurity Alliance (2025). CACAO Roaster v1.3.0 release notes.</w:t>
      </w:r>
    </w:p>
    <w:sectPr w:rsidR="00FC693F" w:rsidRPr="0006063C" w:rsidSect="00034616">
      <w:footerReference w:type="default" r:id="rId9"/>
      <w:pgSz w:w="12240" w:h="15840"/>
      <w:pgMar w:top="1008" w:right="1008" w:bottom="1008"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SOARisk Enhancement Documentation | 2026</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