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、出票日期、到期日期、票面金额；下方可直接勾选要冲抵的销售发票（冲应收，合计可小于票面、余额留在手）。</w:t>
      </w:r>
    </w:p>
    <w:p>
      <w:pPr>
        <w:ind w:left="240"/>
      </w:pPr>
      <w:r>
        <w:rPr>
          <w:i/>
          <w:color w:val="744210"/>
        </w:rPr>
        <w:t>票据后续到期托收/贴现，到「资金 ▸ 应收票据」操作。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</w:t>
      </w:r>
      <w:r>
        <w:rPr>
          <w:b/>
        </w:rPr>
        <w:t>当月</w:t>
      </w:r>
      <w:r>
        <w:t>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都可「修改」「作废」：</w:t>
      </w:r>
      <w:r>
        <w:rPr>
          <w:b/>
        </w:rPr>
        <w:t>未核销 + 非期初</w:t>
      </w:r>
      <w:r>
        <w:t>方可改；列表页操作列有「修改」。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