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ind w:left="240"/>
      </w:pPr>
      <w:r>
        <w:rPr>
          <w:b/>
          <w:i/>
          <w:color w:val="744210"/>
        </w:rPr>
        <w:t>收款/付款列表是统一一览</w:t>
      </w:r>
      <w:r>
        <w:rPr>
          <w:i/>
          <w:color w:val="744210"/>
        </w:rPr>
        <w:t>：列首「收款方式 / 付款方式」既显示银行账户，也显示</w:t>
      </w:r>
      <w:r>
        <w:rPr>
          <w:b/>
          <w:i/>
          <w:color w:val="744210"/>
        </w:rPr>
        <w:t>应收票据</w:t>
      </w:r>
      <w:r>
        <w:rPr>
          <w:i/>
          <w:color w:val="744210"/>
        </w:rPr>
        <w:t>——收到的客户票据、用票据背书付款都会并列在这里（带蓝色「应收票据」标记）。票据行的修改/冲销/作废请到「资金 ▸ 应收票据」。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、出票日期、到期日期、票面金额；下方可直接勾选要冲抵的销售发票（冲应收，合计可小于票面、余额留在手）。</w:t>
      </w:r>
    </w:p>
    <w:p>
      <w:pPr>
        <w:ind w:left="240"/>
      </w:pPr>
      <w:r>
        <w:rPr>
          <w:i/>
          <w:color w:val="744210"/>
        </w:rPr>
        <w:t>票据后续到期托收/贴现，到「资金 ▸ 应收票据」操作。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</w:t>
      </w:r>
      <w:r>
        <w:rPr>
          <w:b/>
        </w:rPr>
        <w:t>当月</w:t>
      </w:r>
      <w:r>
        <w:t>、未对账的）。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采购入库</w:t>
      </w:r>
      <w:r>
        <w:t>还有「删除」（彻底移除并反冲库存）：因移动加权成本是链式的，</w:t>
      </w:r>
      <w:r>
        <w:rPr>
          <w:b/>
        </w:rPr>
        <w:t>仅当该入库后该商品再无其它出入库变动</w:t>
      </w:r>
      <w:r>
        <w:t>（即"刚录错、马上撤"）、且非镜像 / 未开票 / 当月 / 本人或管理员时才出现；其余情况请用「作废」（反冲库存、留痕）。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都可「修改」「作废」「删除」：</w:t>
      </w:r>
      <w:r>
        <w:rPr>
          <w:b/>
        </w:rPr>
        <w:t>未核销 + 非期初</w:t>
      </w:r>
      <w:r>
        <w:t>方可操作；列表页操作列有「修改」「删除」。</w:t>
      </w:r>
    </w:p>
    <w:p>
      <w:pPr>
        <w:pStyle w:val="ListBullet"/>
      </w:pPr>
      <w:r>
        <w:rPr>
          <w:b/>
        </w:rPr>
        <w:t>作废</w:t>
      </w:r>
      <w:r>
        <w:t>=保留记录、标「已作废」、从应收/应付剔除（留痕，推荐用于真实但需取消的发票）。</w:t>
      </w:r>
    </w:p>
    <w:p>
      <w:pPr>
        <w:pStyle w:val="ListBullet"/>
      </w:pPr>
      <w:r>
        <w:rPr>
          <w:b/>
        </w:rPr>
        <w:t>删除</w:t>
      </w:r>
      <w:r>
        <w:t>=彻底移除该发票及明细、撤销其应收/应付、不可恢复（用于录错的发票）；已作废且未核销的也可再删除清理。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付款</w:t>
      </w:r>
      <w:r>
        <w:t>修改时还可把「付款方式」改成「</w:t>
      </w:r>
      <w:r>
        <w:rPr>
          <w:b/>
        </w:rPr>
        <w:t>应收票据（背书）</w:t>
      </w:r>
      <w:r>
        <w:t>」：保存后会</w:t>
      </w:r>
      <w:r>
        <w:rPr>
          <w:b/>
        </w:rPr>
        <w:t>删除原银行付款及其日记账</w:t>
      </w:r>
      <w:r>
        <w:t>，改记为用该票据背书抵应付（适合「当初误记成银行付款、实为票据背书」的更正）。</w:t>
      </w:r>
    </w:p>
    <w:p>
      <w:pPr>
        <w:pStyle w:val="ListBullet"/>
      </w:pPr>
      <w:r>
        <w:rPr>
          <w:b/>
        </w:rPr>
        <w:t>收款</w:t>
      </w:r>
      <w:r>
        <w:t>修改时同样可把「收款方式」改成「</w:t>
      </w:r>
      <w:r>
        <w:rPr>
          <w:b/>
        </w:rPr>
        <w:t>应收票据</w:t>
      </w:r>
      <w:r>
        <w:t>」：保存后会</w:t>
      </w:r>
      <w:r>
        <w:rPr>
          <w:b/>
        </w:rPr>
        <w:t>删除原银行收款及其日记账</w:t>
      </w:r>
      <w:r>
        <w:t>，改记为收到一张应收票据（可顺带勾选销售发票冲应收）。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