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ListBullet"/>
      </w:pPr>
      <w:r>
        <w:rPr>
          <w:b/>
        </w:rPr>
        <w:t>镜像入库成本口径</w:t>
      </w:r>
      <w:r>
        <w:t>：</w:t>
      </w:r>
      <w:r>
        <w:rPr>
          <w:b/>
        </w:rPr>
        <w:t>销售</w:t>
      </w:r>
      <w:r>
        <w:t>镜像下，对方的入库成本=本公司出库行的</w:t>
      </w:r>
      <w:r>
        <w:rPr>
          <w:b/>
        </w:rPr>
        <w:t>不含税售额</w:t>
      </w:r>
      <w:r>
        <w:t>（对方按你的售价买进，含税/税额一并镜像，便于对方据此收采购发票）；若该行未录售价则回退按结转成本平移。</w:t>
      </w:r>
      <w:r>
        <w:rPr>
          <w:b/>
        </w:rPr>
        <w:t>借调</w:t>
      </w:r>
      <w:r>
        <w:t>镜像仍按结转成本平移（不涉税、无加价）。</w:t>
      </w:r>
    </w:p>
    <w:p>
      <w:pPr>
        <w:pStyle w:val="ListBullet"/>
      </w:pPr>
      <w:r>
        <w:t>镜像入库单不可直接改；要改计价/数量，请</w:t>
      </w:r>
      <w:r>
        <w:rPr>
          <w:b/>
        </w:rPr>
        <w:t>作废源销售出库单重录</w:t>
      </w:r>
      <w:r>
        <w:t>（联动重生成镜像）。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