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版本：v2（含费用/佣金、账期逾期、各类销售分析报表、期初锁定、集团抬头等）。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菜单：商品、客户、供应商、费用类别、银行账户。每家公司各自维护。</w:t>
      </w:r>
    </w:p>
    <w:p>
      <w:r>
        <w:rPr>
          <w:b/>
        </w:rPr>
        <w:t>关联企业要点</w:t>
      </w:r>
      <w:r>
        <w:t>：客户/供应商若是系统内的关联公司（C1/C2/C3 互相），要在其「对应关联企业」里选上——这样关联交易自动联动、利润表内部抵销才认得出来。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复制到其他公司。在一家维护好后，把商品/客户/供应商/费用类别一键复制到另两家（编码名称一致；已存在的自动跳过、可反复点）。建议先在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pPr>
        <w:pStyle w:val="ListNumber"/>
      </w:pPr>
      <w:r>
        <w:rPr>
          <w:b/>
        </w:rPr>
        <w:t>采购入库</w:t>
      </w:r>
      <w:r>
        <w:t xml:space="preserve">（采购 ▸ 采购入库 ▸ 新建）：选供应商、日期；填数量、含税单价（自动算金额/税额）；点 </w:t>
      </w:r>
      <w:r>
        <w:rPr>
          <w:b/>
        </w:rPr>
        <w:t>「保存并过账」</w:t>
      </w:r>
      <w:r>
        <w:t>（回车不提交）→ 库存增加、移动加权计成本。</w:t>
      </w:r>
    </w:p>
    <w:p>
      <w:pPr>
        <w:pStyle w:val="ListNumber"/>
      </w:pPr>
      <w:r>
        <w:rPr>
          <w:b/>
        </w:rPr>
        <w:t>收到发票</w:t>
      </w:r>
      <w:r>
        <w:t>（入库单 ▸「收到发票」）：自动带出明细 → 登记 → 形成应付；全部收票后显示「发票已收」。发票上可填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付款）：选</w:t>
      </w:r>
      <w:r>
        <w:rPr>
          <w:b/>
        </w:rPr>
        <w:t>付款方式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：登记付款 → 自动生成银行日记账；详情里核销到具体发票（可部分、可超额）。</w:t>
      </w:r>
    </w:p>
    <w:p>
      <w:pPr>
        <w:pStyle w:val="ListBullet"/>
      </w:pPr>
      <w:r>
        <w:rPr>
          <w:b/>
        </w:rPr>
        <w:t>应收票据（背书）</w:t>
      </w:r>
      <w:r>
        <w:t>：用手上一张在手应收票据背书抵付应付（不生成银行日记账）。输</w:t>
      </w:r>
      <w:r>
        <w:rPr>
          <w:b/>
        </w:rPr>
        <w:t>票据号码</w:t>
      </w:r>
      <w:r>
        <w:t>自动带出出票日/到期日/可用余额；填</w:t>
      </w:r>
      <w:r>
        <w:rPr>
          <w:b/>
        </w:rPr>
        <w:t>付款金额</w:t>
      </w:r>
      <w:r>
        <w:t>（≤余额，可部分背书）；下方勾选要抵付的采购发票（合计=付款金额）。提交后票据置「已背书」。</w:t>
      </w:r>
    </w:p>
    <w:p>
      <w:pPr>
        <w:pStyle w:val="Heading2"/>
      </w:pPr>
      <w:r>
        <w:t>1.5 销售流程（出货）</w:t>
      </w:r>
    </w:p>
    <w:p>
      <w:pPr>
        <w:pStyle w:val="ListNumber"/>
      </w:pPr>
      <w:r>
        <w:rPr>
          <w:b/>
        </w:rPr>
        <w:t>销售出库</w:t>
      </w:r>
      <w:r>
        <w:t>（销售 ▸ 销售出库 ▸ 新建）：选客户、日期、数量、含税单价 →「保存并过账」→ 库存减少、按移动加权结转成本。</w:t>
      </w:r>
    </w:p>
    <w:p>
      <w:pPr>
        <w:pStyle w:val="ListNumber"/>
      </w:pPr>
      <w:r>
        <w:rPr>
          <w:b/>
        </w:rPr>
        <w:t>开具发票</w:t>
      </w:r>
      <w:r>
        <w:t>（出库单 ▸「开具发票」）：带出明细 → 形成应收；全部开票后显示「发票已开具」。可填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收款</w:t>
      </w:r>
      <w:r>
        <w:t>（销售 ▸ 收款）：选</w:t>
      </w:r>
      <w:r>
        <w:rPr>
          <w:b/>
        </w:rPr>
        <w:t>收款方式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：自动生成银行日记账（收入）；详情里核销到发票。</w:t>
      </w:r>
    </w:p>
    <w:p>
      <w:pPr>
        <w:pStyle w:val="ListBullet"/>
      </w:pPr>
      <w:r>
        <w:rPr>
          <w:b/>
        </w:rPr>
        <w:t>应收票据</w:t>
      </w:r>
      <w:r>
        <w:t>：收到客户票据 → 生成一张在手应收票据（不生成银行日记账）。</w:t>
      </w:r>
      <w:r>
        <w:rPr>
          <w:b/>
        </w:rPr>
        <w:t>付款客户</w:t>
      </w:r>
      <w:r>
        <w:t>必填，填</w:t>
      </w:r>
      <w:r>
        <w:rPr>
          <w:b/>
        </w:rPr>
        <w:t>票据号码</w:t>
      </w:r>
      <w:r>
        <w:t>、出票日期、到期日期、票面金额；下方可直接勾选要冲抵的销售发票（冲应收，合计可小于票面、余额留在手）。</w:t>
      </w:r>
    </w:p>
    <w:p>
      <w:pPr>
        <w:ind w:left="240"/>
      </w:pPr>
      <w:r>
        <w:rPr>
          <w:i/>
          <w:color w:val="744210"/>
        </w:rPr>
        <w:t>票据后续到期托收/贴现，到「资金 ▸ 应收票据」操作。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一家公司销售出库给关联公司（客户的"对应关联企业"已设）时，系统会在对方公司</w:t>
      </w:r>
      <w:r>
        <w:rPr>
          <w:b/>
        </w:rPr>
        <w:t>自动生成采购入库单</w:t>
      </w:r>
      <w:r>
        <w:t>（镜像），并自动带上代表本公司的供应商。源单作废会联动作废。商品按编码在对方自动配齐。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ListBullet"/>
      </w:pPr>
      <w:r>
        <w:rPr>
          <w:b/>
        </w:rPr>
        <w:t>其他收支</w:t>
      </w:r>
      <w:r>
        <w:t>（费用/税费/工资/内部划转等非往来收支）登记后在「银行存款日记账」该行操作列可「修改」「删除」（仅手工登记、未对账的）。</w:t>
      </w:r>
    </w:p>
    <w:p>
      <w:pPr>
        <w:pStyle w:val="ListBullet"/>
      </w:pPr>
      <w:r>
        <w:rPr>
          <w:b/>
        </w:rPr>
        <w:t>收款 / 付款详情页</w:t>
      </w:r>
      <w:r>
        <w:t>顶部也有「修改」「删除」（与列表同条件：当月、未核销、未对账）。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；列表页操作列也有「修改」快捷入口。</w:t>
      </w:r>
    </w:p>
    <w:p>
      <w:pPr>
        <w:pStyle w:val="ListBullet"/>
      </w:pPr>
      <w:r>
        <w:rPr>
          <w:b/>
        </w:rPr>
        <w:t>采购发票 / 销售发票</w:t>
      </w:r>
      <w:r>
        <w:t>都可「修改」「作废」：</w:t>
      </w:r>
      <w:r>
        <w:rPr>
          <w:b/>
        </w:rPr>
        <w:t>未核销 + 非期初</w:t>
      </w:r>
      <w:r>
        <w:t>方可改；列表页操作列有「修改」。</w:t>
      </w:r>
    </w:p>
    <w:p>
      <w:pPr>
        <w:pStyle w:val="ListBullet"/>
      </w:pPr>
      <w:r>
        <w:rPr>
          <w:b/>
        </w:rPr>
        <w:t>收款 / 付款</w:t>
      </w:r>
      <w:r>
        <w:t>（银行方式）在列表操作列有「修改」「删除」：</w:t>
      </w:r>
      <w:r>
        <w:rPr>
          <w:b/>
        </w:rPr>
        <w:t>仅当月 + 未核销 + 未银行对账</w:t>
      </w:r>
      <w:r>
        <w:t>才显示。修改会同步更新对应银行日记账；删除会一并删掉该日记账（不可恢复）。已核销的请先到详情撤销核销。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各供应商：期初/增/减/期末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>）→ 上传导入。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i/>
          <w:color w:val="744210"/>
        </w:rPr>
        <w:t>启用日 2026-06-01。期初数据在总览/余额表里始终算"期初"列。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>（自动 git pull + 同步 + 迁移 + 重启）。改完 Ctrl+F5 刷新。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r>
        <w:t>──────────────────────────────</w:t>
      </w:r>
    </w:p>
    <w:p>
      <w:r>
        <w:t>*最后更新：2026-06（v2）*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