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仅未使用</w:t>
      </w:r>
      <w:r>
        <w:t>（未冲应收、未背书抵应付）</w:t>
      </w:r>
      <w:r>
        <w:rPr>
          <w:b/>
        </w:rPr>
        <w:t>且非期初</w:t>
      </w:r>
      <w:r>
        <w:t>的票据可删——删除是干净的（该票据不挂应收/应付、无银行日记账、无镜像）。已使用的票据请先到对应发票撤销冲销再删；期初票据走期初导入处理。收款统一一览中的票据行同样可删（背书抵付那种已使用的票据不出现删除按钮）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