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GBase系统监控和统计后台 (PRD初稿)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文档版本：</w:t>
      </w:r>
      <w:r>
        <w:rPr>
          <w:rFonts w:eastAsia="等线" w:ascii="Arial" w:cs="Arial" w:hAnsi="Arial"/>
          <w:sz w:val="22"/>
        </w:rPr>
        <w:t xml:space="preserve"> V1.0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创建日期：</w:t>
      </w:r>
      <w:r>
        <w:rPr>
          <w:rFonts w:eastAsia="等线" w:ascii="Arial" w:cs="Arial" w:hAnsi="Arial"/>
          <w:sz w:val="22"/>
        </w:rPr>
        <w:t xml:space="preserve"> 2025年7月9日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创建人：</w:t>
      </w:r>
      <w:r>
        <w:rPr>
          <w:rFonts w:eastAsia="等线" w:ascii="Arial" w:cs="Arial" w:hAnsi="Arial"/>
          <w:sz w:val="22"/>
        </w:rPr>
        <w:t xml:space="preserve"> 王宝石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1. 项目背景与目标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1.1 背景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我们的GBase服务正在快速增长，但我们缺乏一个“上帝视角”来全面了解系统的健康状况、服务质量和业务表现。当出现服务延迟、错误率上升或某个客户的Bot回答质量下降时，我们往往是被动地通过客户投诉才得知。这极大地影响了我们的服务可靠性和客户信任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1.2 目标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目标1 (可视化):</w:t>
      </w:r>
      <w:r>
        <w:rPr>
          <w:rFonts w:eastAsia="等线" w:ascii="Arial" w:cs="Arial" w:hAnsi="Arial"/>
          <w:sz w:val="22"/>
        </w:rPr>
        <w:t xml:space="preserve"> 打造一个集中式的监控看板，将系统的核心性能指标(SLA)、业务指标和质量指标进行可视化展示。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目标2 (主动发现):</w:t>
      </w:r>
      <w:r>
        <w:rPr>
          <w:rFonts w:eastAsia="等线" w:ascii="Arial" w:cs="Arial" w:hAnsi="Arial"/>
          <w:sz w:val="22"/>
        </w:rPr>
        <w:t xml:space="preserve"> 建立一套自动化报警机制，能够在关键指标出现异常时，第一时间通知相关负责人，实现从“被动响应”到“主动发现”。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目标3 (数据驱动决策):</w:t>
      </w:r>
      <w:r>
        <w:rPr>
          <w:rFonts w:eastAsia="等线" w:ascii="Arial" w:cs="Arial" w:hAnsi="Arial"/>
          <w:sz w:val="22"/>
        </w:rPr>
        <w:t xml:space="preserve"> 为产品、运营和管理层提供可靠的数据支持，用于评估产品迭代效果、分析客户使用行为和制定未来战略。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2. 目标用户与用户故事</w:t>
      </w:r>
      <w:bookmarkEnd w:id="3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980"/>
        <w:gridCol w:w="6300"/>
      </w:tblGrid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目标用户</w:t>
            </w:r>
          </w:p>
        </w:tc>
        <w:tc>
          <w:tcPr>
            <w:tcW w:w="6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用户故事 (As a ..., I want to ..., so that I can ...)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SRE/运维工程师</w:t>
            </w:r>
          </w:p>
        </w:tc>
        <w:tc>
          <w:tcPr>
            <w:tcW w:w="6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作为一个SRE，我希望在一个大屏上实时看到服务的可用性、P99延迟和API错误率，并在任何指标异常时立即收到报警，以便我能快速响应并恢复服务。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产品/运营经理</w:t>
            </w:r>
          </w:p>
        </w:tc>
        <w:tc>
          <w:tcPr>
            <w:tcW w:w="6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作为一个产品运营，我希望能够按天/周/Bot等维度查看“问题解决率”和“负反馈率”的变化趋势，以便我能评估新功能的效果或发现特定客户的问题。</w:t>
            </w:r>
          </w:p>
        </w:tc>
      </w:tr>
      <w:tr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管理者/事业部长</w:t>
            </w:r>
          </w:p>
        </w:tc>
        <w:tc>
          <w:tcPr>
            <w:tcW w:w="63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作为一个管理者，我希望通过一个简洁的概览页面了解整体业务的增长情况（如DAU、总会话数）和北极星指标的达成情况，以便我能做出正确的业务决策。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3. 功能需求详述</w:t>
      </w:r>
      <w:bookmarkEnd w:id="4"/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3.1 模块一：实时状态总览 (SRE &amp; 运维视角)</w:t>
      </w:r>
      <w:bookmarkEnd w:id="5"/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主要用户与使用场景:</w:t>
      </w:r>
    </w:p>
    <w:p>
      <w:pPr>
        <w:numPr>
          <w:numId w:val="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SRE / 运维工程师:</w:t>
      </w:r>
      <w:r>
        <w:rPr>
          <w:rFonts w:eastAsia="等线" w:ascii="Arial" w:cs="Arial" w:hAnsi="Arial"/>
          <w:sz w:val="22"/>
        </w:rPr>
        <w:t xml:space="preserve"> 这是他们的“作战指挥室”。他们会7x24小时关注这个看板，确保服务的稳定运行。当报警触发时，他们会第一时间进入此看板，分析实时曲线，定位是哪个服务或节点出现了问题。</w:t>
      </w:r>
    </w:p>
    <w:p>
      <w:pPr>
        <w:numPr>
          <w:numId w:val="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开发工程师:</w:t>
      </w:r>
      <w:r>
        <w:rPr>
          <w:rFonts w:eastAsia="等线" w:ascii="Arial" w:cs="Arial" w:hAnsi="Arial"/>
          <w:sz w:val="22"/>
        </w:rPr>
        <w:t xml:space="preserve"> 在发布新版本或进行压测时，会密切关注此看板的性能指标变化，以确认变更没有对系统造成负面影响。</w:t>
      </w:r>
    </w:p>
    <w:p>
      <w:pPr>
        <w:spacing w:before="120" w:after="120" w:line="288" w:lineRule="auto"/>
        <w:ind w:left="1814"/>
        <w:jc w:val="left"/>
      </w:pP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F1.1 核心性能指标卡片（SRE/运维）</w:t>
      </w:r>
    </w:p>
    <w:p>
      <w:pPr>
        <w:numPr>
          <w:numId w:val="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描述:</w:t>
      </w:r>
      <w:r>
        <w:rPr>
          <w:rFonts w:eastAsia="等线" w:ascii="Arial" w:cs="Arial" w:hAnsi="Arial"/>
          <w:sz w:val="22"/>
        </w:rPr>
        <w:t xml:space="preserve"> 以醒目的大数字卡片形式，展示系统当前最核心的健康指标。</w:t>
      </w:r>
    </w:p>
    <w:p>
      <w:pPr>
        <w:numPr>
          <w:numId w:val="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指标项:</w:t>
      </w:r>
    </w:p>
    <w:p>
      <w:pPr>
        <w:numPr>
          <w:numId w:val="1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服务可用性 (Uptime, 最近30天)</w:t>
      </w:r>
    </w:p>
    <w:p>
      <w:pPr>
        <w:numPr>
          <w:numId w:val="1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当前QPS/RPM (每秒/每分钟请求数)</w:t>
      </w:r>
    </w:p>
    <w:p>
      <w:pPr>
        <w:numPr>
          <w:numId w:val="1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平均响应时间 (Avg. Latency, 最近1小时)</w:t>
      </w:r>
    </w:p>
    <w:p>
      <w:pPr>
        <w:numPr>
          <w:numId w:val="1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P99 响应时间 (P99 Latency, 最近1小时)</w:t>
      </w:r>
    </w:p>
    <w:p>
      <w:pPr>
        <w:numPr>
          <w:numId w:val="1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API 错误率 (Error Rate, 最近1小时)</w:t>
      </w:r>
    </w:p>
    <w:p>
      <w:pPr>
        <w:spacing w:before="120" w:after="120" w:line="288" w:lineRule="auto"/>
        <w:ind w:left="2268"/>
        <w:jc w:val="left"/>
      </w:pPr>
    </w:p>
    <w:p>
      <w:pPr>
        <w:numPr>
          <w:numId w:val="1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F1.2 性能指标实时曲线图（SRE/开发）</w:t>
      </w:r>
    </w:p>
    <w:p>
      <w:pPr>
        <w:numPr>
          <w:numId w:val="1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描述:</w:t>
      </w:r>
      <w:r>
        <w:rPr>
          <w:rFonts w:eastAsia="等线" w:ascii="Arial" w:cs="Arial" w:hAnsi="Arial"/>
          <w:sz w:val="22"/>
        </w:rPr>
        <w:t xml:space="preserve"> 以时间序列曲线图的方式，展示上述核心指标随时间的变化趋势，便于发现异常波动。</w:t>
      </w:r>
    </w:p>
    <w:p>
      <w:pPr>
        <w:numPr>
          <w:numId w:val="1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交互:</w:t>
      </w:r>
      <w:r>
        <w:rPr>
          <w:rFonts w:eastAsia="等线" w:ascii="Arial" w:cs="Arial" w:hAnsi="Arial"/>
          <w:sz w:val="22"/>
        </w:rPr>
        <w:t xml:space="preserve"> 支持选择时间范围（如：近15分钟 / 1小时 / 6小时 / 24小时），并能通过鼠标悬浮查看任意时间点的具体数值。</w:t>
      </w:r>
    </w:p>
    <w:p>
      <w:pPr>
        <w:spacing w:before="120" w:after="120" w:line="288" w:lineRule="auto"/>
        <w:ind w:left="1814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3.2 模块二：质量与业务分析 (产品 &amp; 运营视角)</w:t>
      </w:r>
      <w:bookmarkEnd w:id="6"/>
    </w:p>
    <w:p>
      <w:pPr>
        <w:numPr>
          <w:numId w:val="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主要用户与使用场景:</w:t>
      </w:r>
    </w:p>
    <w:p>
      <w:pPr>
        <w:numPr>
          <w:numId w:val="1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产品经理:</w:t>
      </w:r>
      <w:r>
        <w:rPr>
          <w:rFonts w:eastAsia="等线" w:ascii="Arial" w:cs="Arial" w:hAnsi="Arial"/>
          <w:sz w:val="22"/>
        </w:rPr>
        <w:t xml:space="preserve"> 通过查看“问题解决率”、“负反馈率”等质量指标的变化，来量化评估某次产品迭代（如优化了RAG流程）的成效。</w:t>
      </w:r>
    </w:p>
    <w:p>
      <w:pPr>
        <w:numPr>
          <w:numId w:val="2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AI 运营:</w:t>
      </w:r>
      <w:r>
        <w:rPr>
          <w:rFonts w:eastAsia="等线" w:ascii="Arial" w:cs="Arial" w:hAnsi="Arial"/>
          <w:sz w:val="22"/>
        </w:rPr>
        <w:t xml:space="preserve"> 聚焦于单个客户或Bot的指标，当发现某个客户的“无答案率”突然升高时，能及时介入，检查是否是其知识库更新出了问题。他们也会定期导出数据，为重点客户提供服务质量报告。</w:t>
      </w:r>
    </w:p>
    <w:p>
      <w:pPr>
        <w:numPr>
          <w:numId w:val="2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管理者:</w:t>
      </w:r>
      <w:r>
        <w:rPr>
          <w:rFonts w:eastAsia="等线" w:ascii="Arial" w:cs="Arial" w:hAnsi="Arial"/>
          <w:sz w:val="22"/>
        </w:rPr>
        <w:t xml:space="preserve"> 关注整体业务指标（DAU、会话量）的增长趋势，以及北极星指标的达成情况，用于制定下一步的业务策略。</w:t>
      </w:r>
    </w:p>
    <w:p>
      <w:pPr>
        <w:spacing w:before="120" w:after="120" w:line="288" w:lineRule="auto"/>
        <w:ind w:left="1814"/>
        <w:jc w:val="left"/>
      </w:pPr>
    </w:p>
    <w:p>
      <w:pPr>
        <w:numPr>
          <w:numId w:val="2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F2.1 全局筛选与概览（产品/运营/管理者）</w:t>
      </w:r>
    </w:p>
    <w:p>
      <w:pPr>
        <w:numPr>
          <w:numId w:val="2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描述:</w:t>
      </w:r>
      <w:r>
        <w:rPr>
          <w:rFonts w:eastAsia="等线" w:ascii="Arial" w:cs="Arial" w:hAnsi="Arial"/>
          <w:sz w:val="22"/>
        </w:rPr>
        <w:t xml:space="preserve"> 提供全局的筛选控件，让用户可以按需查看不同维度的数据。</w:t>
      </w:r>
    </w:p>
    <w:p>
      <w:pPr>
        <w:numPr>
          <w:numId w:val="2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筛选控件:</w:t>
      </w:r>
      <w:r>
        <w:rPr>
          <w:rFonts w:eastAsia="等线" w:ascii="Arial" w:cs="Arial" w:hAnsi="Arial"/>
          <w:sz w:val="22"/>
        </w:rPr>
        <w:t xml:space="preserve"> 支持按 </w:t>
      </w:r>
      <w:r>
        <w:rPr>
          <w:rFonts w:eastAsia="Consolas" w:ascii="Consolas" w:cs="Consolas" w:hAnsi="Consolas"/>
          <w:sz w:val="22"/>
          <w:shd w:fill="EFF0F1"/>
        </w:rPr>
        <w:t>时间范围</w:t>
      </w:r>
      <w:r>
        <w:rPr>
          <w:rFonts w:eastAsia="等线" w:ascii="Arial" w:cs="Arial" w:hAnsi="Arial"/>
          <w:sz w:val="22"/>
        </w:rPr>
        <w:t xml:space="preserve"> (日/周/月)、</w:t>
      </w:r>
      <w:r>
        <w:rPr>
          <w:rFonts w:eastAsia="Consolas" w:ascii="Consolas" w:cs="Consolas" w:hAnsi="Consolas"/>
          <w:sz w:val="22"/>
          <w:shd w:fill="EFF0F1"/>
        </w:rPr>
        <w:t>Bot ID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客户名称</w:t>
      </w:r>
      <w:r>
        <w:rPr>
          <w:rFonts w:eastAsia="等线" w:ascii="Arial" w:cs="Arial" w:hAnsi="Arial"/>
          <w:sz w:val="22"/>
        </w:rPr>
        <w:t xml:space="preserve"> 进行全局数据筛选。</w:t>
      </w:r>
    </w:p>
    <w:p>
      <w:pPr>
        <w:spacing w:before="120" w:after="120" w:line="288" w:lineRule="auto"/>
        <w:ind w:left="1814"/>
        <w:jc w:val="left"/>
      </w:pPr>
    </w:p>
    <w:p>
      <w:pPr>
        <w:numPr>
          <w:numId w:val="2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F2.2 核心业务指标看板（管理者/产品）</w:t>
      </w:r>
    </w:p>
    <w:p>
      <w:pPr>
        <w:numPr>
          <w:numId w:val="2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描述:</w:t>
      </w:r>
      <w:r>
        <w:rPr>
          <w:rFonts w:eastAsia="等线" w:ascii="Arial" w:cs="Arial" w:hAnsi="Arial"/>
          <w:sz w:val="22"/>
        </w:rPr>
        <w:t xml:space="preserve"> 展示反映业务整体增长情况的关键数据。</w:t>
      </w:r>
    </w:p>
    <w:p>
      <w:pPr>
        <w:numPr>
          <w:numId w:val="2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指标项:</w:t>
      </w:r>
      <w:r>
        <w:rPr>
          <w:rFonts w:eastAsia="等线" w:ascii="Arial" w:cs="Arial" w:hAnsi="Arial"/>
          <w:sz w:val="22"/>
        </w:rPr>
        <w:t xml:space="preserve"> DAU/MAU (日/月活跃用户)、总会T话数、总消息数，并以趋势图展示。</w:t>
      </w:r>
    </w:p>
    <w:p>
      <w:pPr>
        <w:spacing w:before="120" w:after="120" w:line="288" w:lineRule="auto"/>
        <w:ind w:left="1814"/>
        <w:jc w:val="left"/>
      </w:pPr>
    </w:p>
    <w:p>
      <w:pPr>
        <w:numPr>
          <w:numId w:val="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F2.3 对话质量指标看板（产品/AI运营）</w:t>
      </w:r>
    </w:p>
    <w:p>
      <w:pPr>
        <w:numPr>
          <w:numId w:val="2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描述:</w:t>
      </w:r>
      <w:r>
        <w:rPr>
          <w:rFonts w:eastAsia="等线" w:ascii="Arial" w:cs="Arial" w:hAnsi="Arial"/>
          <w:sz w:val="22"/>
        </w:rPr>
        <w:t xml:space="preserve"> 聚焦于AI Agent的核心价值——回答质量，是产品优化的风向标。</w:t>
      </w:r>
    </w:p>
    <w:p>
      <w:pPr>
        <w:numPr>
          <w:numId w:val="3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指标项:</w:t>
      </w:r>
    </w:p>
    <w:p>
      <w:pPr>
        <w:numPr>
          <w:numId w:val="3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b w:val="true"/>
          <w:sz w:val="22"/>
        </w:rPr>
        <w:t>北极星指标：Session解决率 (Resolution Rate):</w:t>
      </w:r>
      <w:r>
        <w:rPr>
          <w:rFonts w:eastAsia="等线" w:ascii="Arial" w:cs="Arial" w:hAnsi="Arial"/>
          <w:sz w:val="22"/>
        </w:rPr>
        <w:t xml:space="preserve"> 趋势图 + 当前值。</w:t>
      </w:r>
    </w:p>
    <w:p>
      <w:pPr>
        <w:numPr>
          <w:numId w:val="3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负反馈率 (Negative Feedback Rate): 趋势图。</w:t>
      </w:r>
    </w:p>
    <w:p>
      <w:pPr>
        <w:numPr>
          <w:numId w:val="3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人工转接率 (Escalation Rate): 趋势图。</w:t>
      </w:r>
    </w:p>
    <w:p>
      <w:pPr>
        <w:numPr>
          <w:numId w:val="3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无答案回复率 (No-Answer Rate): 趋势图。</w:t>
      </w:r>
    </w:p>
    <w:p>
      <w:pPr>
        <w:spacing w:before="120" w:after="120" w:line="288" w:lineRule="auto"/>
        <w:ind w:left="2268"/>
        <w:jc w:val="left"/>
      </w:pPr>
    </w:p>
    <w:p>
      <w:pPr>
        <w:spacing w:before="120" w:after="120" w:line="288" w:lineRule="auto"/>
        <w:ind w:left="1814"/>
        <w:jc w:val="left"/>
      </w:pPr>
    </w:p>
    <w:p>
      <w:pPr>
        <w:numPr>
          <w:numId w:val="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F2.4 数据下钻与排行榜（AI运营）</w:t>
      </w:r>
    </w:p>
    <w:p>
      <w:pPr>
        <w:numPr>
          <w:numId w:val="3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描述:</w:t>
      </w:r>
      <w:r>
        <w:rPr>
          <w:rFonts w:eastAsia="等线" w:ascii="Arial" w:cs="Arial" w:hAnsi="Arial"/>
          <w:sz w:val="22"/>
        </w:rPr>
        <w:t xml:space="preserve"> 提供进一步分析的工具，帮助运营快速找到“好”与“坏”的典型。</w:t>
      </w:r>
    </w:p>
    <w:p>
      <w:pPr>
        <w:numPr>
          <w:numId w:val="3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功能:</w:t>
      </w:r>
    </w:p>
    <w:p>
      <w:pPr>
        <w:numPr>
          <w:numId w:val="3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提供 **“Top 10高负反馈率Bot榜”**，帮助运营定位需要优先优化的客户。</w:t>
      </w:r>
    </w:p>
    <w:p>
      <w:pPr>
        <w:numPr>
          <w:numId w:val="3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 xml:space="preserve">所有图表和数据支持按 </w:t>
      </w:r>
      <w:r>
        <w:rPr>
          <w:rFonts w:eastAsia="Consolas" w:ascii="Consolas" w:cs="Consolas" w:hAnsi="Consolas"/>
          <w:sz w:val="22"/>
          <w:shd w:fill="EFF0F1"/>
        </w:rPr>
        <w:t>Bot ID</w:t>
      </w:r>
      <w:r>
        <w:rPr>
          <w:rFonts w:eastAsia="等线" w:ascii="Arial" w:cs="Arial" w:hAnsi="Arial"/>
          <w:sz w:val="22"/>
        </w:rPr>
        <w:t xml:space="preserve"> 下钻，查看单个Bot的详细指标。</w:t>
      </w:r>
    </w:p>
    <w:p>
      <w:pPr>
        <w:spacing w:before="120" w:after="120" w:line="288" w:lineRule="auto"/>
        <w:ind w:left="2268"/>
        <w:jc w:val="left"/>
      </w:pP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3.3 模块三：自动化报警系统</w:t>
      </w:r>
      <w:bookmarkEnd w:id="7"/>
    </w:p>
    <w:p>
      <w:pPr>
        <w:numPr>
          <w:numId w:val="4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主要用户与使用场景:</w:t>
      </w:r>
    </w:p>
    <w:p>
      <w:pPr>
        <w:numPr>
          <w:numId w:val="4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SRE / 运维工程师:</w:t>
      </w:r>
      <w:r>
        <w:rPr>
          <w:rFonts w:eastAsia="等线" w:ascii="Arial" w:cs="Arial" w:hAnsi="Arial"/>
          <w:sz w:val="22"/>
        </w:rPr>
        <w:t xml:space="preserve"> 作为主要配置和维护者，他们会为所有关键的系统性能指标（如延迟、错误率、CPU使用率）设置严格的报警阈值，以保障SLA。</w:t>
      </w:r>
    </w:p>
    <w:p>
      <w:pPr>
        <w:numPr>
          <w:numId w:val="4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产品 / AI 运营:</w:t>
      </w:r>
      <w:r>
        <w:rPr>
          <w:rFonts w:eastAsia="等线" w:ascii="Arial" w:cs="Arial" w:hAnsi="Arial"/>
          <w:sz w:val="22"/>
        </w:rPr>
        <w:t xml:space="preserve"> 会为核心的“质量指标”（如负反馈率、无答案率）设置报警。例如，当某个Bot的负反馈率在1小时内环比飙升50%时，他们希望立即收到通知，主动介入调查。</w:t>
      </w:r>
    </w:p>
    <w:p>
      <w:pPr>
        <w:spacing w:before="120" w:after="120" w:line="288" w:lineRule="auto"/>
        <w:ind w:left="1814"/>
        <w:jc w:val="left"/>
      </w:pPr>
    </w:p>
    <w:p>
      <w:pPr>
        <w:numPr>
          <w:numId w:val="4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F3.1 报警规则配置（SRE/产品/AI运营）</w:t>
      </w:r>
    </w:p>
    <w:p>
      <w:pPr>
        <w:numPr>
          <w:numId w:val="4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描述:</w:t>
      </w:r>
      <w:r>
        <w:rPr>
          <w:rFonts w:eastAsia="等线" w:ascii="Arial" w:cs="Arial" w:hAnsi="Arial"/>
          <w:sz w:val="22"/>
        </w:rPr>
        <w:t xml:space="preserve"> 提供一个灵活的UI界面，用于创建和管理报警规则。</w:t>
      </w:r>
    </w:p>
    <w:p>
      <w:pPr>
        <w:numPr>
          <w:numId w:val="4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配置项:</w:t>
      </w:r>
    </w:p>
    <w:p>
      <w:pPr>
        <w:numPr>
          <w:numId w:val="46"/>
        </w:numPr>
        <w:spacing w:before="120" w:after="120" w:line="288" w:lineRule="auto"/>
        <w:ind w:left="1814"/>
        <w:jc w:val="left"/>
      </w:pPr>
      <w:r>
        <w:rPr>
          <w:rFonts w:eastAsia="Consolas" w:ascii="Consolas" w:cs="Consolas" w:hAnsi="Consolas"/>
          <w:sz w:val="22"/>
          <w:shd w:fill="EFF0F1"/>
        </w:rPr>
        <w:t>监控指标</w:t>
      </w:r>
      <w:r>
        <w:rPr>
          <w:rFonts w:eastAsia="等线" w:ascii="Arial" w:cs="Arial" w:hAnsi="Arial"/>
          <w:sz w:val="22"/>
        </w:rPr>
        <w:t>: 从预设的性能/质量/业务指标列表中选择。</w:t>
      </w:r>
    </w:p>
    <w:p>
      <w:pPr>
        <w:numPr>
          <w:numId w:val="47"/>
        </w:numPr>
        <w:spacing w:before="120" w:after="120" w:line="288" w:lineRule="auto"/>
        <w:ind w:left="1814"/>
        <w:jc w:val="left"/>
      </w:pPr>
      <w:r>
        <w:rPr>
          <w:rFonts w:eastAsia="Consolas" w:ascii="Consolas" w:cs="Consolas" w:hAnsi="Consolas"/>
          <w:sz w:val="22"/>
          <w:shd w:fill="EFF0F1"/>
        </w:rPr>
        <w:t>规则条件</w:t>
      </w:r>
      <w:r>
        <w:rPr>
          <w:rFonts w:eastAsia="等线" w:ascii="Arial" w:cs="Arial" w:hAnsi="Arial"/>
          <w:sz w:val="22"/>
        </w:rPr>
        <w:t xml:space="preserve">: 如 </w:t>
      </w:r>
      <w:r>
        <w:rPr>
          <w:rFonts w:eastAsia="Consolas" w:ascii="Consolas" w:cs="Consolas" w:hAnsi="Consolas"/>
          <w:sz w:val="22"/>
          <w:shd w:fill="EFF0F1"/>
        </w:rPr>
        <w:t>&gt;</w:t>
      </w:r>
      <w:r>
        <w:rPr>
          <w:rFonts w:eastAsia="等线" w:ascii="Arial" w:cs="Arial" w:hAnsi="Arial"/>
          <w:sz w:val="22"/>
        </w:rPr>
        <w:t xml:space="preserve"> (大于), </w:t>
      </w:r>
      <w:r>
        <w:rPr>
          <w:rFonts w:eastAsia="Consolas" w:ascii="Consolas" w:cs="Consolas" w:hAnsi="Consolas"/>
          <w:sz w:val="22"/>
          <w:shd w:fill="EFF0F1"/>
        </w:rPr>
        <w:t>&lt;</w:t>
      </w:r>
      <w:r>
        <w:rPr>
          <w:rFonts w:eastAsia="等线" w:ascii="Arial" w:cs="Arial" w:hAnsi="Arial"/>
          <w:sz w:val="22"/>
        </w:rPr>
        <w:t xml:space="preserve"> (小于), </w:t>
      </w:r>
      <w:r>
        <w:rPr>
          <w:rFonts w:eastAsia="Consolas" w:ascii="Consolas" w:cs="Consolas" w:hAnsi="Consolas"/>
          <w:sz w:val="22"/>
          <w:shd w:fill="EFF0F1"/>
        </w:rPr>
        <w:t>环比上涨%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8"/>
        </w:numPr>
        <w:spacing w:before="120" w:after="120" w:line="288" w:lineRule="auto"/>
        <w:ind w:left="1814"/>
        <w:jc w:val="left"/>
      </w:pPr>
      <w:r>
        <w:rPr>
          <w:rFonts w:eastAsia="Consolas" w:ascii="Consolas" w:cs="Consolas" w:hAnsi="Consolas"/>
          <w:sz w:val="22"/>
          <w:shd w:fill="EFF0F1"/>
        </w:rPr>
        <w:t>阈值</w:t>
      </w:r>
      <w:r>
        <w:rPr>
          <w:rFonts w:eastAsia="等线" w:ascii="Arial" w:cs="Arial" w:hAnsi="Arial"/>
          <w:sz w:val="22"/>
        </w:rPr>
        <w:t xml:space="preserve"> 及 </w:t>
      </w:r>
      <w:r>
        <w:rPr>
          <w:rFonts w:eastAsia="Consolas" w:ascii="Consolas" w:cs="Consolas" w:hAnsi="Consolas"/>
          <w:sz w:val="22"/>
          <w:shd w:fill="EFF0F1"/>
        </w:rPr>
        <w:t>持续时间</w:t>
      </w:r>
      <w:r>
        <w:rPr>
          <w:rFonts w:eastAsia="等线" w:ascii="Arial" w:cs="Arial" w:hAnsi="Arial"/>
          <w:sz w:val="22"/>
        </w:rPr>
        <w:t>: 例如，</w:t>
      </w:r>
      <w:r>
        <w:rPr>
          <w:rFonts w:eastAsia="Consolas" w:ascii="Consolas" w:cs="Consolas" w:hAnsi="Consolas"/>
          <w:sz w:val="22"/>
          <w:shd w:fill="EFF0F1"/>
        </w:rPr>
        <w:t>在5分钟内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9"/>
        </w:numPr>
        <w:spacing w:before="120" w:after="120" w:line="288" w:lineRule="auto"/>
        <w:ind w:left="1814"/>
        <w:jc w:val="left"/>
      </w:pPr>
      <w:r>
        <w:rPr>
          <w:rFonts w:eastAsia="Consolas" w:ascii="Consolas" w:cs="Consolas" w:hAnsi="Consolas"/>
          <w:sz w:val="22"/>
          <w:shd w:fill="EFF0F1"/>
        </w:rPr>
        <w:t>通知渠道</w:t>
      </w:r>
      <w:r>
        <w:rPr>
          <w:rFonts w:eastAsia="等线" w:ascii="Arial" w:cs="Arial" w:hAnsi="Arial"/>
          <w:sz w:val="22"/>
        </w:rPr>
        <w:t>: 勾选通知方式（邮件、钉钉/飞书机器人等）。</w:t>
      </w:r>
    </w:p>
    <w:p>
      <w:pPr>
        <w:numPr>
          <w:numId w:val="50"/>
        </w:numPr>
        <w:spacing w:before="120" w:after="120" w:line="288" w:lineRule="auto"/>
        <w:ind w:left="1814"/>
        <w:jc w:val="left"/>
      </w:pPr>
      <w:r>
        <w:rPr>
          <w:rFonts w:eastAsia="Consolas" w:ascii="Consolas" w:cs="Consolas" w:hAnsi="Consolas"/>
          <w:sz w:val="22"/>
          <w:shd w:fill="EFF0F1"/>
        </w:rPr>
        <w:t>通知对象</w:t>
      </w:r>
      <w:r>
        <w:rPr>
          <w:rFonts w:eastAsia="等线" w:ascii="Arial" w:cs="Arial" w:hAnsi="Arial"/>
          <w:sz w:val="22"/>
        </w:rPr>
        <w:t>: 输入邮箱地址或Webhook URL。</w:t>
      </w:r>
    </w:p>
    <w:p>
      <w:pPr>
        <w:spacing w:before="120" w:after="120" w:line="288" w:lineRule="auto"/>
        <w:ind w:left="2268"/>
        <w:jc w:val="left"/>
      </w:pPr>
    </w:p>
    <w:p>
      <w:pPr>
        <w:numPr>
          <w:numId w:val="5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F3.2 报警通知与管理（SRE/产品/AI运营）</w:t>
      </w:r>
    </w:p>
    <w:p>
      <w:pPr>
        <w:numPr>
          <w:numId w:val="5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描述:</w:t>
      </w:r>
      <w:r>
        <w:rPr>
          <w:rFonts w:eastAsia="等线" w:ascii="Arial" w:cs="Arial" w:hAnsi="Arial"/>
          <w:sz w:val="22"/>
        </w:rPr>
        <w:t xml:space="preserve"> 当规则被触发时，系统自动发送格式清晰的通知。</w:t>
      </w:r>
    </w:p>
    <w:p>
      <w:pPr>
        <w:numPr>
          <w:numId w:val="5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通知内容:</w:t>
      </w:r>
      <w:r>
        <w:rPr>
          <w:rFonts w:eastAsia="等线" w:ascii="Arial" w:cs="Arial" w:hAnsi="Arial"/>
          <w:sz w:val="22"/>
        </w:rPr>
        <w:t xml:space="preserve"> 包含 </w:t>
      </w:r>
      <w:r>
        <w:rPr>
          <w:rFonts w:eastAsia="Consolas" w:ascii="Consolas" w:cs="Consolas" w:hAnsi="Consolas"/>
          <w:sz w:val="22"/>
          <w:shd w:fill="EFF0F1"/>
        </w:rPr>
        <w:t>[警报等级] [指标名称] 异常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当前值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阈值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发生时间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关联Bot(若有)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[跳转到看板的链接]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5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b w:val="true"/>
          <w:sz w:val="22"/>
        </w:rPr>
        <w:t>后台管理:</w:t>
      </w:r>
      <w:r>
        <w:rPr>
          <w:rFonts w:eastAsia="等线" w:ascii="Arial" w:cs="Arial" w:hAnsi="Arial"/>
          <w:sz w:val="22"/>
        </w:rPr>
        <w:t xml:space="preserve"> 提供报警历史记录的查询和管理界面。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4. 数据源与集成</w:t>
      </w:r>
      <w:bookmarkEnd w:id="8"/>
    </w:p>
    <w:p>
      <w:pPr>
        <w:spacing w:before="120" w:after="120" w:line="288" w:lineRule="auto"/>
        <w:ind w:left="0"/>
        <w:jc w:val="left"/>
      </w:pP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数据来源：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性能数据：应用日志、监控组件（如Prometheus）。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业务/质量数据：应用数据库、用户反馈数据库。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技术栈建议：</w:t>
      </w:r>
      <w:r>
        <w:rPr>
          <w:rFonts w:eastAsia="等线" w:ascii="Arial" w:cs="Arial" w:hAnsi="Arial"/>
          <w:sz w:val="22"/>
        </w:rPr>
        <w:t xml:space="preserve"> 利用其成熟的数据采集和可视化能力。后端提供标准化的数据接口。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画像をクリックして Sheet を確認する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9030">
    <w:lvl>
      <w:numFmt w:val="bullet"/>
      <w:suff w:val="tab"/>
      <w:lvlText w:val="•"/>
      <w:rPr>
        <w:color w:val="3370ff"/>
      </w:rPr>
    </w:lvl>
  </w:abstractNum>
  <w:abstractNum w:abstractNumId="29031">
    <w:lvl>
      <w:numFmt w:val="bullet"/>
      <w:suff w:val="tab"/>
      <w:lvlText w:val="•"/>
      <w:rPr>
        <w:color w:val="3370ff"/>
      </w:rPr>
    </w:lvl>
  </w:abstractNum>
  <w:abstractNum w:abstractNumId="29032">
    <w:lvl>
      <w:numFmt w:val="bullet"/>
      <w:suff w:val="tab"/>
      <w:lvlText w:val="•"/>
      <w:rPr>
        <w:color w:val="3370ff"/>
      </w:rPr>
    </w:lvl>
  </w:abstractNum>
  <w:abstractNum w:abstractNumId="29033">
    <w:lvl>
      <w:numFmt w:val="bullet"/>
      <w:suff w:val="tab"/>
      <w:lvlText w:val="▪"/>
      <w:rPr>
        <w:color w:val="3370ff"/>
        <w:sz w:val="11"/>
      </w:rPr>
    </w:lvl>
  </w:abstractNum>
  <w:abstractNum w:abstractNumId="29034">
    <w:lvl>
      <w:numFmt w:val="bullet"/>
      <w:suff w:val="tab"/>
      <w:lvlText w:val="•"/>
      <w:rPr>
        <w:color w:val="3370ff"/>
      </w:rPr>
    </w:lvl>
  </w:abstractNum>
  <w:abstractNum w:abstractNumId="29035">
    <w:lvl>
      <w:numFmt w:val="bullet"/>
      <w:suff w:val="tab"/>
      <w:lvlText w:val="•"/>
      <w:rPr>
        <w:color w:val="3370ff"/>
      </w:rPr>
    </w:lvl>
  </w:abstractNum>
  <w:abstractNum w:abstractNumId="29036">
    <w:lvl>
      <w:numFmt w:val="bullet"/>
      <w:suff w:val="tab"/>
      <w:lvlText w:val="▪"/>
      <w:rPr>
        <w:color w:val="3370ff"/>
        <w:sz w:val="11"/>
      </w:rPr>
    </w:lvl>
  </w:abstractNum>
  <w:abstractNum w:abstractNumId="29037">
    <w:lvl>
      <w:numFmt w:val="bullet"/>
      <w:suff w:val="tab"/>
      <w:lvlText w:val="•"/>
      <w:rPr>
        <w:color w:val="3370ff"/>
      </w:rPr>
    </w:lvl>
  </w:abstractNum>
  <w:abstractNum w:abstractNumId="29038">
    <w:lvl>
      <w:numFmt w:val="bullet"/>
      <w:suff w:val="tab"/>
      <w:lvlText w:val="•"/>
      <w:rPr>
        <w:color w:val="3370ff"/>
      </w:rPr>
    </w:lvl>
  </w:abstractNum>
  <w:abstractNum w:abstractNumId="29039">
    <w:lvl>
      <w:numFmt w:val="bullet"/>
      <w:suff w:val="tab"/>
      <w:lvlText w:val="￮"/>
      <w:rPr>
        <w:color w:val="3370ff"/>
      </w:rPr>
    </w:lvl>
  </w:abstractNum>
  <w:abstractNum w:abstractNumId="29040">
    <w:lvl>
      <w:numFmt w:val="bullet"/>
      <w:suff w:val="tab"/>
      <w:lvlText w:val="￮"/>
      <w:rPr>
        <w:color w:val="3370ff"/>
      </w:rPr>
    </w:lvl>
  </w:abstractNum>
  <w:abstractNum w:abstractNumId="29041">
    <w:lvl>
      <w:numFmt w:val="bullet"/>
      <w:suff w:val="tab"/>
      <w:lvlText w:val="￮"/>
      <w:rPr>
        <w:color w:val="3370ff"/>
      </w:rPr>
    </w:lvl>
  </w:abstractNum>
  <w:abstractNum w:abstractNumId="29042">
    <w:lvl>
      <w:numFmt w:val="bullet"/>
      <w:suff w:val="tab"/>
      <w:lvlText w:val="￮"/>
      <w:rPr>
        <w:color w:val="3370ff"/>
      </w:rPr>
    </w:lvl>
  </w:abstractNum>
  <w:abstractNum w:abstractNumId="29043">
    <w:lvl>
      <w:numFmt w:val="bullet"/>
      <w:suff w:val="tab"/>
      <w:lvlText w:val="￮"/>
      <w:rPr>
        <w:color w:val="3370ff"/>
      </w:rPr>
    </w:lvl>
  </w:abstractNum>
  <w:abstractNum w:abstractNumId="29044">
    <w:lvl>
      <w:numFmt w:val="bullet"/>
      <w:suff w:val="tab"/>
      <w:lvlText w:val="▪"/>
      <w:rPr>
        <w:color w:val="3370ff"/>
        <w:sz w:val="11"/>
      </w:rPr>
    </w:lvl>
  </w:abstractNum>
  <w:abstractNum w:abstractNumId="29045">
    <w:lvl>
      <w:numFmt w:val="bullet"/>
      <w:suff w:val="tab"/>
      <w:lvlText w:val="•"/>
      <w:rPr>
        <w:color w:val="3370ff"/>
      </w:rPr>
    </w:lvl>
  </w:abstractNum>
  <w:abstractNum w:abstractNumId="29046">
    <w:lvl>
      <w:numFmt w:val="bullet"/>
      <w:suff w:val="tab"/>
      <w:lvlText w:val="•"/>
      <w:rPr>
        <w:color w:val="3370ff"/>
      </w:rPr>
    </w:lvl>
  </w:abstractNum>
  <w:abstractNum w:abstractNumId="29047">
    <w:lvl>
      <w:numFmt w:val="bullet"/>
      <w:suff w:val="tab"/>
      <w:lvlText w:val="▪"/>
      <w:rPr>
        <w:color w:val="3370ff"/>
        <w:sz w:val="11"/>
      </w:rPr>
    </w:lvl>
  </w:abstractNum>
  <w:abstractNum w:abstractNumId="29048">
    <w:lvl>
      <w:numFmt w:val="bullet"/>
      <w:suff w:val="tab"/>
      <w:lvlText w:val="•"/>
      <w:rPr>
        <w:color w:val="3370ff"/>
      </w:rPr>
    </w:lvl>
  </w:abstractNum>
  <w:abstractNum w:abstractNumId="29049">
    <w:lvl>
      <w:numFmt w:val="bullet"/>
      <w:suff w:val="tab"/>
      <w:lvlText w:val="•"/>
      <w:rPr>
        <w:color w:val="3370ff"/>
      </w:rPr>
    </w:lvl>
  </w:abstractNum>
  <w:abstractNum w:abstractNumId="29050">
    <w:lvl>
      <w:numFmt w:val="bullet"/>
      <w:suff w:val="tab"/>
      <w:lvlText w:val="•"/>
      <w:rPr>
        <w:color w:val="3370ff"/>
      </w:rPr>
    </w:lvl>
  </w:abstractNum>
  <w:abstractNum w:abstractNumId="29051">
    <w:lvl>
      <w:numFmt w:val="bullet"/>
      <w:suff w:val="tab"/>
      <w:lvlText w:val="▪"/>
      <w:rPr>
        <w:color w:val="3370ff"/>
        <w:sz w:val="11"/>
      </w:rPr>
    </w:lvl>
  </w:abstractNum>
  <w:abstractNum w:abstractNumId="29052">
    <w:lvl>
      <w:numFmt w:val="bullet"/>
      <w:suff w:val="tab"/>
      <w:lvlText w:val="•"/>
      <w:rPr>
        <w:color w:val="3370ff"/>
      </w:rPr>
    </w:lvl>
  </w:abstractNum>
  <w:abstractNum w:abstractNumId="29053">
    <w:lvl>
      <w:numFmt w:val="bullet"/>
      <w:suff w:val="tab"/>
      <w:lvlText w:val="•"/>
      <w:rPr>
        <w:color w:val="3370ff"/>
      </w:rPr>
    </w:lvl>
  </w:abstractNum>
  <w:abstractNum w:abstractNumId="29054">
    <w:lvl>
      <w:numFmt w:val="bullet"/>
      <w:suff w:val="tab"/>
      <w:lvlText w:val="▪"/>
      <w:rPr>
        <w:color w:val="3370ff"/>
        <w:sz w:val="11"/>
      </w:rPr>
    </w:lvl>
  </w:abstractNum>
  <w:abstractNum w:abstractNumId="29055">
    <w:lvl>
      <w:numFmt w:val="bullet"/>
      <w:suff w:val="tab"/>
      <w:lvlText w:val="•"/>
      <w:rPr>
        <w:color w:val="3370ff"/>
      </w:rPr>
    </w:lvl>
  </w:abstractNum>
  <w:abstractNum w:abstractNumId="29056">
    <w:lvl>
      <w:numFmt w:val="bullet"/>
      <w:suff w:val="tab"/>
      <w:lvlText w:val="•"/>
      <w:rPr>
        <w:color w:val="3370ff"/>
      </w:rPr>
    </w:lvl>
  </w:abstractNum>
  <w:abstractNum w:abstractNumId="29057">
    <w:lvl>
      <w:numFmt w:val="bullet"/>
      <w:suff w:val="tab"/>
      <w:lvlText w:val="▪"/>
      <w:rPr>
        <w:color w:val="3370ff"/>
        <w:sz w:val="11"/>
      </w:rPr>
    </w:lvl>
  </w:abstractNum>
  <w:abstractNum w:abstractNumId="29058">
    <w:lvl>
      <w:numFmt w:val="bullet"/>
      <w:suff w:val="tab"/>
      <w:lvlText w:val="•"/>
      <w:rPr>
        <w:color w:val="3370ff"/>
      </w:rPr>
    </w:lvl>
  </w:abstractNum>
  <w:abstractNum w:abstractNumId="29059">
    <w:lvl>
      <w:numFmt w:val="bullet"/>
      <w:suff w:val="tab"/>
      <w:lvlText w:val="•"/>
      <w:rPr>
        <w:color w:val="3370ff"/>
      </w:rPr>
    </w:lvl>
  </w:abstractNum>
  <w:abstractNum w:abstractNumId="29060">
    <w:lvl>
      <w:numFmt w:val="bullet"/>
      <w:suff w:val="tab"/>
      <w:lvlText w:val="￮"/>
      <w:rPr>
        <w:color w:val="3370ff"/>
      </w:rPr>
    </w:lvl>
  </w:abstractNum>
  <w:abstractNum w:abstractNumId="29061">
    <w:lvl>
      <w:numFmt w:val="bullet"/>
      <w:suff w:val="tab"/>
      <w:lvlText w:val="￮"/>
      <w:rPr>
        <w:color w:val="3370ff"/>
      </w:rPr>
    </w:lvl>
  </w:abstractNum>
  <w:abstractNum w:abstractNumId="29062">
    <w:lvl>
      <w:numFmt w:val="bullet"/>
      <w:suff w:val="tab"/>
      <w:lvlText w:val="￮"/>
      <w:rPr>
        <w:color w:val="3370ff"/>
      </w:rPr>
    </w:lvl>
  </w:abstractNum>
  <w:abstractNum w:abstractNumId="29063">
    <w:lvl>
      <w:numFmt w:val="bullet"/>
      <w:suff w:val="tab"/>
      <w:lvlText w:val="￮"/>
      <w:rPr>
        <w:color w:val="3370ff"/>
      </w:rPr>
    </w:lvl>
  </w:abstractNum>
  <w:abstractNum w:abstractNumId="29064">
    <w:lvl>
      <w:numFmt w:val="bullet"/>
      <w:suff w:val="tab"/>
      <w:lvlText w:val="▪"/>
      <w:rPr>
        <w:color w:val="3370ff"/>
        <w:sz w:val="11"/>
      </w:rPr>
    </w:lvl>
  </w:abstractNum>
  <w:abstractNum w:abstractNumId="29065">
    <w:lvl>
      <w:numFmt w:val="bullet"/>
      <w:suff w:val="tab"/>
      <w:lvlText w:val="•"/>
      <w:rPr>
        <w:color w:val="3370ff"/>
      </w:rPr>
    </w:lvl>
  </w:abstractNum>
  <w:abstractNum w:abstractNumId="29066">
    <w:lvl>
      <w:numFmt w:val="bullet"/>
      <w:suff w:val="tab"/>
      <w:lvlText w:val="•"/>
      <w:rPr>
        <w:color w:val="3370ff"/>
      </w:rPr>
    </w:lvl>
  </w:abstractNum>
  <w:abstractNum w:abstractNumId="29067">
    <w:lvl>
      <w:numFmt w:val="bullet"/>
      <w:suff w:val="tab"/>
      <w:lvlText w:val="￮"/>
      <w:rPr>
        <w:color w:val="3370ff"/>
      </w:rPr>
    </w:lvl>
  </w:abstractNum>
  <w:abstractNum w:abstractNumId="29068">
    <w:lvl>
      <w:numFmt w:val="bullet"/>
      <w:suff w:val="tab"/>
      <w:lvlText w:val="￮"/>
      <w:rPr>
        <w:color w:val="3370ff"/>
      </w:rPr>
    </w:lvl>
  </w:abstractNum>
  <w:abstractNum w:abstractNumId="29069">
    <w:lvl>
      <w:numFmt w:val="bullet"/>
      <w:suff w:val="tab"/>
      <w:lvlText w:val="▪"/>
      <w:rPr>
        <w:color w:val="3370ff"/>
        <w:sz w:val="11"/>
      </w:rPr>
    </w:lvl>
  </w:abstractNum>
  <w:abstractNum w:abstractNumId="29070">
    <w:lvl>
      <w:numFmt w:val="bullet"/>
      <w:suff w:val="tab"/>
      <w:lvlText w:val="•"/>
      <w:rPr>
        <w:color w:val="3370ff"/>
      </w:rPr>
    </w:lvl>
  </w:abstractNum>
  <w:abstractNum w:abstractNumId="29071">
    <w:lvl>
      <w:numFmt w:val="bullet"/>
      <w:suff w:val="tab"/>
      <w:lvlText w:val="•"/>
      <w:rPr>
        <w:color w:val="3370ff"/>
      </w:rPr>
    </w:lvl>
  </w:abstractNum>
  <w:abstractNum w:abstractNumId="29072">
    <w:lvl>
      <w:numFmt w:val="bullet"/>
      <w:suff w:val="tab"/>
      <w:lvlText w:val="▪"/>
      <w:rPr>
        <w:color w:val="3370ff"/>
        <w:sz w:val="11"/>
      </w:rPr>
    </w:lvl>
  </w:abstractNum>
  <w:abstractNum w:abstractNumId="29073">
    <w:lvl>
      <w:numFmt w:val="bullet"/>
      <w:suff w:val="tab"/>
      <w:lvlText w:val="•"/>
      <w:rPr>
        <w:color w:val="3370ff"/>
      </w:rPr>
    </w:lvl>
  </w:abstractNum>
  <w:abstractNum w:abstractNumId="29074">
    <w:lvl>
      <w:numFmt w:val="bullet"/>
      <w:suff w:val="tab"/>
      <w:lvlText w:val="•"/>
      <w:rPr>
        <w:color w:val="3370ff"/>
      </w:rPr>
    </w:lvl>
  </w:abstractNum>
  <w:abstractNum w:abstractNumId="29075">
    <w:lvl>
      <w:numFmt w:val="bullet"/>
      <w:suff w:val="tab"/>
      <w:lvlText w:val="￮"/>
      <w:rPr>
        <w:color w:val="3370ff"/>
      </w:rPr>
    </w:lvl>
  </w:abstractNum>
  <w:abstractNum w:abstractNumId="29076">
    <w:lvl>
      <w:numFmt w:val="bullet"/>
      <w:suff w:val="tab"/>
      <w:lvlText w:val="￮"/>
      <w:rPr>
        <w:color w:val="3370ff"/>
      </w:rPr>
    </w:lvl>
  </w:abstractNum>
  <w:abstractNum w:abstractNumId="29077">
    <w:lvl>
      <w:numFmt w:val="bullet"/>
      <w:suff w:val="tab"/>
      <w:lvlText w:val="￮"/>
      <w:rPr>
        <w:color w:val="3370ff"/>
      </w:rPr>
    </w:lvl>
  </w:abstractNum>
  <w:abstractNum w:abstractNumId="29078">
    <w:lvl>
      <w:numFmt w:val="bullet"/>
      <w:suff w:val="tab"/>
      <w:lvlText w:val="￮"/>
      <w:rPr>
        <w:color w:val="3370ff"/>
      </w:rPr>
    </w:lvl>
  </w:abstractNum>
  <w:abstractNum w:abstractNumId="29079">
    <w:lvl>
      <w:numFmt w:val="bullet"/>
      <w:suff w:val="tab"/>
      <w:lvlText w:val="￮"/>
      <w:rPr>
        <w:color w:val="3370ff"/>
      </w:rPr>
    </w:lvl>
  </w:abstractNum>
  <w:abstractNum w:abstractNumId="29080">
    <w:lvl>
      <w:numFmt w:val="bullet"/>
      <w:suff w:val="tab"/>
      <w:lvlText w:val="▪"/>
      <w:rPr>
        <w:color w:val="3370ff"/>
        <w:sz w:val="11"/>
      </w:rPr>
    </w:lvl>
  </w:abstractNum>
  <w:abstractNum w:abstractNumId="29081">
    <w:lvl>
      <w:numFmt w:val="bullet"/>
      <w:suff w:val="tab"/>
      <w:lvlText w:val="•"/>
      <w:rPr>
        <w:color w:val="3370ff"/>
      </w:rPr>
    </w:lvl>
  </w:abstractNum>
  <w:abstractNum w:abstractNumId="29082">
    <w:lvl>
      <w:numFmt w:val="bullet"/>
      <w:suff w:val="tab"/>
      <w:lvlText w:val="•"/>
      <w:rPr>
        <w:color w:val="3370ff"/>
      </w:rPr>
    </w:lvl>
  </w:abstractNum>
  <w:abstractNum w:abstractNumId="29083">
    <w:lvl>
      <w:numFmt w:val="bullet"/>
      <w:suff w:val="tab"/>
      <w:lvlText w:val="•"/>
      <w:rPr>
        <w:color w:val="3370ff"/>
      </w:rPr>
    </w:lvl>
  </w:abstractNum>
  <w:abstractNum w:abstractNumId="29084">
    <w:lvl>
      <w:numFmt w:val="bullet"/>
      <w:suff w:val="tab"/>
      <w:lvlText w:val="•"/>
      <w:rPr>
        <w:color w:val="3370ff"/>
      </w:rPr>
    </w:lvl>
  </w:abstractNum>
  <w:abstractNum w:abstractNumId="29085">
    <w:lvl>
      <w:numFmt w:val="bullet"/>
      <w:suff w:val="tab"/>
      <w:lvlText w:val="￮"/>
      <w:rPr>
        <w:color w:val="3370ff"/>
      </w:rPr>
    </w:lvl>
  </w:abstractNum>
  <w:abstractNum w:abstractNumId="29086">
    <w:lvl>
      <w:numFmt w:val="bullet"/>
      <w:suff w:val="tab"/>
      <w:lvlText w:val="￮"/>
      <w:rPr>
        <w:color w:val="3370ff"/>
      </w:rPr>
    </w:lvl>
  </w:abstractNum>
  <w:abstractNum w:abstractNumId="29087">
    <w:lvl>
      <w:numFmt w:val="bullet"/>
      <w:suff w:val="tab"/>
      <w:lvlText w:val="•"/>
      <w:rPr>
        <w:color w:val="3370ff"/>
      </w:rPr>
    </w:lvl>
  </w:abstractNum>
  <w:num w:numId="1">
    <w:abstractNumId w:val="29030"/>
  </w:num>
  <w:num w:numId="2">
    <w:abstractNumId w:val="29031"/>
  </w:num>
  <w:num w:numId="3">
    <w:abstractNumId w:val="29032"/>
  </w:num>
  <w:num w:numId="4">
    <w:abstractNumId w:val="29033"/>
  </w:num>
  <w:num w:numId="5">
    <w:abstractNumId w:val="29034"/>
  </w:num>
  <w:num w:numId="6">
    <w:abstractNumId w:val="29035"/>
  </w:num>
  <w:num w:numId="7">
    <w:abstractNumId w:val="29036"/>
  </w:num>
  <w:num w:numId="8">
    <w:abstractNumId w:val="29037"/>
  </w:num>
  <w:num w:numId="9">
    <w:abstractNumId w:val="29038"/>
  </w:num>
  <w:num w:numId="10">
    <w:abstractNumId w:val="29039"/>
  </w:num>
  <w:num w:numId="11">
    <w:abstractNumId w:val="29040"/>
  </w:num>
  <w:num w:numId="12">
    <w:abstractNumId w:val="29041"/>
  </w:num>
  <w:num w:numId="13">
    <w:abstractNumId w:val="29042"/>
  </w:num>
  <w:num w:numId="14">
    <w:abstractNumId w:val="29043"/>
  </w:num>
  <w:num w:numId="15">
    <w:abstractNumId w:val="29044"/>
  </w:num>
  <w:num w:numId="16">
    <w:abstractNumId w:val="29045"/>
  </w:num>
  <w:num w:numId="17">
    <w:abstractNumId w:val="29046"/>
  </w:num>
  <w:num w:numId="18">
    <w:abstractNumId w:val="29047"/>
  </w:num>
  <w:num w:numId="19">
    <w:abstractNumId w:val="29048"/>
  </w:num>
  <w:num w:numId="20">
    <w:abstractNumId w:val="29049"/>
  </w:num>
  <w:num w:numId="21">
    <w:abstractNumId w:val="29050"/>
  </w:num>
  <w:num w:numId="22">
    <w:abstractNumId w:val="29051"/>
  </w:num>
  <w:num w:numId="23">
    <w:abstractNumId w:val="29052"/>
  </w:num>
  <w:num w:numId="24">
    <w:abstractNumId w:val="29053"/>
  </w:num>
  <w:num w:numId="25">
    <w:abstractNumId w:val="29054"/>
  </w:num>
  <w:num w:numId="26">
    <w:abstractNumId w:val="29055"/>
  </w:num>
  <w:num w:numId="27">
    <w:abstractNumId w:val="29056"/>
  </w:num>
  <w:num w:numId="28">
    <w:abstractNumId w:val="29057"/>
  </w:num>
  <w:num w:numId="29">
    <w:abstractNumId w:val="29058"/>
  </w:num>
  <w:num w:numId="30">
    <w:abstractNumId w:val="29059"/>
  </w:num>
  <w:num w:numId="31">
    <w:abstractNumId w:val="29060"/>
  </w:num>
  <w:num w:numId="32">
    <w:abstractNumId w:val="29061"/>
  </w:num>
  <w:num w:numId="33">
    <w:abstractNumId w:val="29062"/>
  </w:num>
  <w:num w:numId="34">
    <w:abstractNumId w:val="29063"/>
  </w:num>
  <w:num w:numId="35">
    <w:abstractNumId w:val="29064"/>
  </w:num>
  <w:num w:numId="36">
    <w:abstractNumId w:val="29065"/>
  </w:num>
  <w:num w:numId="37">
    <w:abstractNumId w:val="29066"/>
  </w:num>
  <w:num w:numId="38">
    <w:abstractNumId w:val="29067"/>
  </w:num>
  <w:num w:numId="39">
    <w:abstractNumId w:val="29068"/>
  </w:num>
  <w:num w:numId="40">
    <w:abstractNumId w:val="29069"/>
  </w:num>
  <w:num w:numId="41">
    <w:abstractNumId w:val="29070"/>
  </w:num>
  <w:num w:numId="42">
    <w:abstractNumId w:val="29071"/>
  </w:num>
  <w:num w:numId="43">
    <w:abstractNumId w:val="29072"/>
  </w:num>
  <w:num w:numId="44">
    <w:abstractNumId w:val="29073"/>
  </w:num>
  <w:num w:numId="45">
    <w:abstractNumId w:val="29074"/>
  </w:num>
  <w:num w:numId="46">
    <w:abstractNumId w:val="29075"/>
  </w:num>
  <w:num w:numId="47">
    <w:abstractNumId w:val="29076"/>
  </w:num>
  <w:num w:numId="48">
    <w:abstractNumId w:val="29077"/>
  </w:num>
  <w:num w:numId="49">
    <w:abstractNumId w:val="29078"/>
  </w:num>
  <w:num w:numId="50">
    <w:abstractNumId w:val="29079"/>
  </w:num>
  <w:num w:numId="51">
    <w:abstractNumId w:val="29080"/>
  </w:num>
  <w:num w:numId="52">
    <w:abstractNumId w:val="29081"/>
  </w:num>
  <w:num w:numId="53">
    <w:abstractNumId w:val="29082"/>
  </w:num>
  <w:num w:numId="54">
    <w:abstractNumId w:val="29083"/>
  </w:num>
  <w:num w:numId="55">
    <w:abstractNumId w:val="29084"/>
  </w:num>
  <w:num w:numId="56">
    <w:abstractNumId w:val="29085"/>
  </w:num>
  <w:num w:numId="57">
    <w:abstractNumId w:val="29086"/>
  </w:num>
  <w:num w:numId="58">
    <w:abstractNumId w:val="2908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2025-08-06T02:37:22Z</dcterms:created>
  <dc:creator>Apache POI</dc:creator>
</cp:coreProperties>
</file>