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1. Thời gian tối đa k21404B có thể học tại UEL? Hạn cuối là tháng năm nào.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Thời gian tối đa là 8 năm, hạn cuối là vào tháng 9 năm 2029.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r>
        <w:rPr>
          <w:rFonts w:hint="default" w:ascii="Verdana" w:hAnsi="Verdana" w:eastAsia="SimSun" w:cs="Verdana"/>
          <w:b/>
          <w:bCs/>
          <w:i w:val="0"/>
          <w:iCs w:val="0"/>
          <w:caps w:val="0"/>
          <w:color w:val="4E5A66"/>
          <w:spacing w:val="0"/>
          <w:kern w:val="0"/>
          <w:sz w:val="16"/>
          <w:szCs w:val="16"/>
          <w:lang w:val="en-US" w:eastAsia="zh-CN" w:bidi="ar"/>
        </w:rPr>
        <w:t>2. Thời khóa biểu có thể sắp xếp học từ mấy giờ đến máy giờ, vào các ngày nào trong tuần?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Tổ chức trong khoảng từ 6h đến 20h vào các ngày trong tuần từ thứ 2 đến thứ 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3. Xác định trình độ sv năm thứ 2 cụ thể cho K21404B như thế nào?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egoe UI" w:hAnsi="Segoe UI" w:cs="Segoe UI"/>
          <w:i w:val="0"/>
          <w:iCs w:val="0"/>
          <w:caps w:val="0"/>
          <w:color w:val="4E5A66"/>
          <w:spacing w:val="0"/>
          <w:sz w:val="18"/>
          <w:szCs w:val="18"/>
        </w:rPr>
      </w:pPr>
      <w:r>
        <w:rPr>
          <w:rFonts w:hint="default" w:ascii="Verdana" w:hAnsi="Verdana" w:eastAsia="SimSun" w:cs="Verdana"/>
          <w:i w:val="0"/>
          <w:iCs w:val="0"/>
          <w:caps w:val="0"/>
          <w:color w:val="4E5A66"/>
          <w:spacing w:val="0"/>
          <w:kern w:val="0"/>
          <w:sz w:val="16"/>
          <w:szCs w:val="16"/>
          <w:lang w:val="en-US" w:eastAsia="zh-CN" w:bidi="ar"/>
        </w:rPr>
        <w:t>Xác định dựa trên số tín chí tích lũy được.</w:t>
      </w:r>
      <w:r>
        <w:rPr>
          <w:rFonts w:hint="default" w:ascii="Segoe UI" w:hAnsi="Segoe UI" w:eastAsia="SimSun" w:cs="Segoe UI"/>
          <w:sz w:val="18"/>
          <w:szCs w:val="18"/>
        </w:rPr>
        <w:t>Sinh viên được xếp trình độ năm học căn cứ số tín chỉ tích lũy được từ đầu khóa học (gọi tắt là N) và số tín chỉ trung bình một năm học theo kế hoạch học tập chuẩn (gọi tắt là M), cụ thể như sau: Trình độ năm thứ hai: M ≤ N &lt; 2M;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4. Số lượng tín chỉ trong CTĐT ngành TCNH tại UEL?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130 tín chỉ, không kể các học phần sau: (1) phần kiến thức ngoại ngữ 20 tín chỉ, (2) giáo dục thể chất 5 tín chỉ và (3) giáo dục quốc phòng 165 tiết.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5. Tại UEL có những CTĐT nào? CTĐT nào thuộc khối ngành Kinh tế? Kinh doanh và quản lý? Luật?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CTĐT thuộc khối ngành Kinh tế : Kinh tế học; Kinh tế đối ngoại; Kinh tế và quản lí công; Toán kinh tế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CTĐT thuộc khối ngành Kinh doanh và Quản lí: Tài chính ngân hàng; Kế toán; Hệ thống thông tin,kinh doanh quốc tế, kiểm toán, thương mại điện tử,marketing,quản trị kinh doanh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CTĐT thuộc khối ngành uật: Luật tcnh; Luật kinh tế; Luật dân sự; Luật thương mại quốc tế; Luật kinh doanh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6 Các hình thức đánh giá môn học hiện nay được áp dụng theo TT 08/2021/TT-BGDĐT?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lang w:val="en-US"/>
        </w:rPr>
      </w:pPr>
      <w:r>
        <w:rPr>
          <w:rFonts w:hint="default" w:ascii="Verdana" w:hAnsi="Verdana" w:cs="Verdana"/>
          <w:i w:val="0"/>
          <w:iCs w:val="0"/>
          <w:caps w:val="0"/>
          <w:color w:val="4E5A66"/>
          <w:spacing w:val="0"/>
          <w:sz w:val="16"/>
          <w:szCs w:val="16"/>
          <w:lang w:val="en-US"/>
        </w:rPr>
        <w:t>-Trực tiếp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lang w:val="en-US"/>
        </w:rPr>
      </w:pPr>
      <w:r>
        <w:rPr>
          <w:rFonts w:hint="default" w:ascii="Verdana" w:hAnsi="Verdana" w:cs="Verdana"/>
          <w:i w:val="0"/>
          <w:iCs w:val="0"/>
          <w:caps w:val="0"/>
          <w:color w:val="4E5A66"/>
          <w:spacing w:val="0"/>
          <w:sz w:val="16"/>
          <w:szCs w:val="16"/>
          <w:lang w:val="en-US"/>
        </w:rPr>
        <w:t>-Trực tuyến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7. Địa điểm tổ chức học tập và các hoạt động khác trong chương trình đào tạo theo TT08/2021?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Các hoạt động giảng dạy được thực hiện tại cở sở đào tạo. Riêng những hoạt động thực hành, thực tập, trải nghiệm thực tế và giảng dạy trực tuyến có thể thực hiện ngoài cơ sở đào tạo.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8. Khoa TCNH UEL có các chương trình đào tạo nào? Có các chuyên ngành nào?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r>
        <w:rPr>
          <w:rFonts w:hint="default" w:ascii="Verdana" w:hAnsi="Verdana" w:eastAsia="SimSun" w:cs="Verdana"/>
          <w:i/>
          <w:iCs/>
          <w:caps w:val="0"/>
          <w:color w:val="4E5A66"/>
          <w:spacing w:val="0"/>
          <w:kern w:val="0"/>
          <w:sz w:val="16"/>
          <w:szCs w:val="16"/>
          <w:lang w:val="en-US" w:eastAsia="zh-CN" w:bidi="ar"/>
        </w:rPr>
        <w:t>Có 7 chương trình đào tạo</w:t>
      </w:r>
      <w:r>
        <w:rPr>
          <w:rFonts w:hint="default" w:ascii="Verdana" w:hAnsi="Verdana" w:eastAsia="SimSun" w:cs="Verdana"/>
          <w:i w:val="0"/>
          <w:iCs w:val="0"/>
          <w:caps w:val="0"/>
          <w:color w:val="4E5A66"/>
          <w:spacing w:val="0"/>
          <w:kern w:val="0"/>
          <w:sz w:val="16"/>
          <w:szCs w:val="16"/>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+Chương trình đại trà tài chính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+Chương trình đại trà ngân hàng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+Chất lượng cao TCNH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+Cử nhân tài năng TCNH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+Chất lượng cao bằng tiếng Anh TCNH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+Đại trà Fintech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+CLC Fintech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r>
        <w:rPr>
          <w:rFonts w:hint="default" w:ascii="Verdana" w:hAnsi="Verdana" w:eastAsia="SimSun" w:cs="Verdana"/>
          <w:i/>
          <w:iCs/>
          <w:caps w:val="0"/>
          <w:color w:val="4E5A66"/>
          <w:spacing w:val="0"/>
          <w:kern w:val="0"/>
          <w:sz w:val="16"/>
          <w:szCs w:val="16"/>
          <w:lang w:val="en-US" w:eastAsia="zh-CN" w:bidi="ar"/>
        </w:rPr>
        <w:t>Có 3 chuyên ngành</w:t>
      </w:r>
      <w:r>
        <w:rPr>
          <w:rFonts w:hint="default" w:ascii="Verdana" w:hAnsi="Verdana" w:eastAsia="SimSun" w:cs="Verdana"/>
          <w:i w:val="0"/>
          <w:iCs w:val="0"/>
          <w:caps w:val="0"/>
          <w:color w:val="4E5A66"/>
          <w:spacing w:val="0"/>
          <w:kern w:val="0"/>
          <w:sz w:val="16"/>
          <w:szCs w:val="16"/>
          <w:lang w:val="en-US" w:eastAsia="zh-CN" w:bidi="ar"/>
        </w:rPr>
        <w:t>: chuyên ngành Tài chính, chuyên ngành Ngân hàng, chuyên ngành Công nghệ Tài chính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9. Thời gian tối thiểu / tối đa sinh viên k21404 có thể học tại Khoa TCNH?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lang w:val="en-US"/>
        </w:rPr>
      </w:pPr>
      <w:r>
        <w:rPr>
          <w:rFonts w:hint="default" w:ascii="Verdana" w:hAnsi="Verdana" w:eastAsia="SimSun" w:cs="Verdana"/>
          <w:i w:val="0"/>
          <w:iCs w:val="0"/>
          <w:caps w:val="0"/>
          <w:color w:val="4E5A66"/>
          <w:spacing w:val="0"/>
          <w:kern w:val="0"/>
          <w:sz w:val="16"/>
          <w:szCs w:val="16"/>
          <w:lang w:val="en-US" w:eastAsia="zh-CN" w:bidi="ar"/>
        </w:rPr>
        <w:t> 1.</w:t>
      </w:r>
      <w:r>
        <w:rPr>
          <w:rFonts w:hint="default" w:ascii="Verdana" w:hAnsi="Verdana" w:eastAsia="SimSun" w:cs="Verdana"/>
          <w:b/>
          <w:bCs/>
          <w:i w:val="0"/>
          <w:iCs w:val="0"/>
          <w:caps w:val="0"/>
          <w:color w:val="4E5A66"/>
          <w:spacing w:val="0"/>
          <w:kern w:val="0"/>
          <w:sz w:val="16"/>
          <w:szCs w:val="16"/>
          <w:lang w:val="en-US" w:eastAsia="zh-CN" w:bidi="ar"/>
        </w:rPr>
        <w:t> </w:t>
      </w:r>
      <w:r>
        <w:rPr>
          <w:rFonts w:hint="default" w:ascii="Verdana" w:hAnsi="Verdana" w:eastAsia="SimSun" w:cs="Verdana"/>
          <w:i w:val="0"/>
          <w:iCs w:val="0"/>
          <w:caps w:val="0"/>
          <w:color w:val="4E5A66"/>
          <w:spacing w:val="0"/>
          <w:kern w:val="0"/>
          <w:sz w:val="16"/>
          <w:szCs w:val="16"/>
          <w:lang w:val="en-US" w:eastAsia="zh-CN" w:bidi="ar"/>
        </w:rPr>
        <w:t>Tối thiểu 120 TC = 120*15 = 1800 tiết. Sinh viên phải học tối thiểu 3 năm</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2. Tối đa: 4 năm * 2  = 8 năm </w:t>
      </w:r>
      <w:r>
        <w:rPr>
          <w:rFonts w:hint="default" w:ascii="Verdana" w:hAnsi="Verdana" w:eastAsia="SimSun" w:cs="Verdana"/>
          <w:b/>
          <w:bCs/>
          <w:i w:val="0"/>
          <w:iCs w:val="0"/>
          <w:caps w:val="0"/>
          <w:color w:val="4E5A66"/>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b/>
          <w:bCs/>
          <w:i w:val="0"/>
          <w:iCs w:val="0"/>
          <w:caps w:val="0"/>
          <w:color w:val="4E5A66"/>
          <w:spacing w:val="0"/>
          <w:kern w:val="0"/>
          <w:sz w:val="16"/>
          <w:szCs w:val="16"/>
          <w:lang w:val="en-US" w:eastAsia="zh-CN" w:bidi="ar"/>
        </w:rPr>
        <w:t>10. Các yêu cầu sinh viên K21404 phải đạt được để được tốt nghiệp ngành TCNH: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-Kiến thức chung về kinh tế-xã hội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-Kiến thức chuyên môn sâu về Tài chính-ngân hàng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-Kỹ năng thực hành chuyên môn nghiệp vụ ngân hàng, bao gồm cả kỹ năng phân tích giải quyết vấn đề và ra quyết định trong chuyên ngành ngân hàng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-Kỹ năng tư duy sáng tạo và khả năng nghiên cứu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-Kỹ năng giao tiếp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-Kỹ năng làm việc nhóm, hợp tác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-Trách nhiệm các nhân và cộng đồng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-Khả năng hội nhập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-Khả năng học tập suốt đời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i w:val="0"/>
          <w:iCs w:val="0"/>
          <w:caps w:val="0"/>
          <w:color w:val="4E5A66"/>
          <w:spacing w:val="0"/>
          <w:sz w:val="16"/>
          <w:szCs w:val="16"/>
        </w:rPr>
      </w:pPr>
      <w:r>
        <w:rPr>
          <w:rFonts w:hint="default" w:ascii="Verdana" w:hAnsi="Verdana" w:eastAsia="SimSun" w:cs="Verdana"/>
          <w:i w:val="0"/>
          <w:iCs w:val="0"/>
          <w:caps w:val="0"/>
          <w:color w:val="4E5A66"/>
          <w:spacing w:val="0"/>
          <w:kern w:val="0"/>
          <w:sz w:val="16"/>
          <w:szCs w:val="16"/>
          <w:lang w:val="en-US" w:eastAsia="zh-CN" w:bidi="ar"/>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A0520"/>
    <w:rsid w:val="100A0520"/>
    <w:rsid w:val="643342D3"/>
    <w:rsid w:val="6E3D0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2021-10-25T06:04:00Z</dcterms:created>
  <dc:creator>Trân Huỳnh Bảo</dc:creator>
  <cp:lastModifiedBy>Trân Huỳnh Bảo</cp:lastModifiedBy>
  <dcterms:modified xsi:type="dcterms:W3CDTF">2021-10-25T06:15:48Z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E8EC9FBBF8884933A6625FD684259F8A</vt:lpwstr>
  </property>
</Properties>
</file>