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Notice to mariners</w:t>
      </w:r>
    </w:p>
    <w:p w14:paraId="00000002">
      <w:pPr>
        <w:rPr/>
      </w:pPr>
      <w:r>
        <w:rPr/>
        <w:t xml:space="preserve">Berth 3 dries at low water from 1 May. Use berth 5 for vessels over 1.5 m draught.</w:t>
      </w:r>
    </w:p>
    <w:p w14:paraId="00000003">
      <w:pPr>
        <w:rPr/>
        <w:pStyle w:val="Heading2"/>
      </w:pPr>
      <w:r>
        <w:rPr/>
        <w:t xml:space="preserve">Berths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4">
            <w:pPr>
              <w:rPr/>
            </w:pPr>
            <w:r>
              <w:rPr/>
              <w:t xml:space="preserve">Berth</w:t>
            </w:r>
          </w:p>
        </w:tc>
        <w:tc>
          <w:tcPr/>
          <w:p w14:paraId="00000005">
            <w:pPr>
              <w:rPr/>
            </w:pPr>
            <w:r>
              <w:rPr/>
              <w:t xml:space="preserve">Max draught (m)</w:t>
            </w:r>
          </w:p>
        </w:tc>
      </w:tr>
      <w:tr>
        <w:trPr/>
        <w:tc>
          <w:tcPr/>
          <w:p w14:paraId="00000006">
            <w:pPr>
              <w:rPr/>
            </w:pPr>
            <w:r>
              <w:rPr/>
              <w:t xml:space="preserve">3</w:t>
            </w:r>
          </w:p>
        </w:tc>
        <w:tc>
          <w:tcPr/>
          <w:p w14:paraId="00000007">
            <w:pPr>
              <w:rPr/>
            </w:pPr>
            <w:r>
              <w:rPr/>
              <w:t xml:space="preserve">1.8</w:t>
            </w:r>
          </w:p>
        </w:tc>
      </w:tr>
      <w:tr>
        <w:trPr/>
        <w:tc>
          <w:tcPr/>
          <w:p w14:paraId="00000008">
            <w:pPr>
              <w:rPr/>
            </w:pPr>
            <w:r>
              <w:rPr/>
              <w:t xml:space="preserve">5</w:t>
            </w:r>
          </w:p>
        </w:tc>
        <w:tc>
          <w:tcPr/>
          <w:p w14:paraId="00000009">
            <w:pPr>
              <w:rPr/>
            </w:pPr>
            <w:r>
              <w:rPr/>
              <w:t xml:space="preserve">4.5</w:t>
            </w:r>
          </w:p>
        </w:tc>
      </w:tr>
    </w:tbl>
    <w:p w14:paraId="0000000a">
      <w:pPr>
        <w:rPr/>
      </w:pPr>
      <w:r>
        <w:rPr/>
        <w:t xml:space="preserve">Tide tables: </w:t>
      </w:r>
      <w:hyperlink r:id="rIdHyperlink1" w:history="1">
        <w:r>
          <w:rPr/>
          <w:t xml:space="preserve">harbour.example/tides</w:t>
        </w:r>
      </w:hyperlink>
    </w:p>
    <w:p w14:paraId="0000000b">
      <w:pPr>
        <w:rPr/>
      </w:pPr>
      <w:commentRangeStart w:id="1"/>
      <w:r>
        <w:rPr/>
        <w:t xml:space="preserve">Issued by the Saltmere harbour office.</w:t>
      </w:r>
      <w:r>
        <w:rPr/>
      </w:r>
      <w:commentRangeEnd w:id="1"/>
      <w:r>
        <w:commentReference w:id="1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1" w:author="Ana Lighthouse" w:date="2024-04-02T10:00:00Z" w:initials="">
    <w:p w14:paraId="0000000c">
      <w:pPr>
        <w:rPr/>
      </w:pPr>
      <w:r>
        <w:rPr/>
        <w:t xml:space="preserve">Confirm the date with the harbour board.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>
  <w15:commentEx w15:paraId="0000000c" w15:done="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b/>
      <w:bCs/>
    </w:rPr>
    <w:pPr>
      <w:rPr/>
    </w:pPr>
    <w:qFormat/>
  </w:style>
  <w:style w:type="paragraph" w:styleId="Heading2">
    <w:name w:val="Heading 2"/>
    <w:rPr>
      <w:sz w:val="26"/>
      <w:szCs w:val="26"/>
      <w:b/>
      <w:bCs/>
    </w:rPr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6" Type="http://schemas.openxmlformats.org/officeDocument/2006/relationships/comments" Target="comments.xml" /><Relationship Id="rIdHyperlink1" Type="http://schemas.openxmlformats.org/officeDocument/2006/relationships/hyperlink" Target="https://harbour.example/tides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2024-04-01T09:00:00Z</dcterms:created>
  <dc:creator>unknown</dc:creator>
  <cp:lastModifiedBy>unknown</cp:lastModifiedBy>
  <dcterms:modified xsi:type="dcterms:W3CDTF">2024-04-02T10:00:00Z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tice number">
    <vt:lpwstr>2024-07</vt:lpwstr>
  </property>
</Properties>
</file>