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uppressAutoHyphens w:val="0"/>
        <w:spacing w:line="360" w:lineRule="auto"/>
        <w:ind w:left="0" w:leftChars="0" w:firstLine="0" w:firstLineChars="0"/>
        <w:jc w:val="center"/>
        <w:textAlignment w:val="auto"/>
        <w:outlineLvl w:val="9"/>
        <w:rPr>
          <w:rFonts w:hint="default" w:ascii="Times New Roman" w:hAnsi="Times New Roman" w:cs="Times New Roman"/>
          <w:b/>
          <w:bCs/>
          <w:sz w:val="24"/>
          <w:szCs w:val="24"/>
          <w:lang w:val="vi-VN"/>
        </w:rPr>
      </w:pPr>
      <w:bookmarkStart w:id="0" w:name="_GoBack"/>
      <w:r>
        <w:rPr>
          <w:rFonts w:hint="default" w:ascii="Times New Roman" w:hAnsi="Times New Roman" w:cs="Times New Roman"/>
          <w:b/>
          <w:bCs/>
          <w:sz w:val="24"/>
          <w:szCs w:val="24"/>
        </w:rPr>
        <w:t>MỞ ĐẦU</w:t>
      </w:r>
    </w:p>
    <w:p>
      <w:pPr>
        <w:suppressAutoHyphens w:val="0"/>
        <w:spacing w:line="360" w:lineRule="auto"/>
        <w:ind w:left="0" w:leftChars="0" w:firstLine="0" w:firstLineChars="0"/>
        <w:textAlignment w:val="auto"/>
        <w:outlineLvl w:val="9"/>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Sinh viên Đại học Kinh tế TP.HCM (UEH) thường xuyên đối mặt với rủi ro tai nạn giao thông khi di chuyển đa cơ sở và các bệnh lý cấp tính do nhịp sống tự lập. </w:t>
      </w:r>
      <w:r>
        <w:rPr>
          <w:rFonts w:hint="default" w:ascii="Times New Roman" w:hAnsi="Times New Roman" w:cs="Times New Roman"/>
          <w:sz w:val="24"/>
          <w:szCs w:val="24"/>
        </w:rPr>
        <w:t xml:space="preserve">Dù chính sách Bảo hiểm Y tế bắt buộc đã hỗ trợ viện phí đúng tuyến (Chính phủ, 2018), quy trình chờ đợi giờ hành chính kéo dài khiến sinh viên có xu hướng khám ngoài giờ tự chi trả, trong khi các gói bảo hiểm thương mại lại có mức phí vượt quá ngân sách. </w:t>
      </w:r>
    </w:p>
    <w:p>
      <w:pPr>
        <w:suppressAutoHyphens w:val="0"/>
        <w:spacing w:line="360" w:lineRule="auto"/>
        <w:ind w:left="0" w:leftChars="0" w:firstLine="0" w:firstLineChars="0"/>
        <w:textAlignment w:val="auto"/>
        <w:outlineLvl w:val="9"/>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Xuất phát từ khoảng trống đó, trong vai trò chuyên viên phát triển sản phẩm, bài tiểu luận thực hiện thiết kế gói bảo hiểm sức khỏe "UEH Care" dành riêng cho sinh viên UEH. </w:t>
      </w:r>
      <w:r>
        <w:rPr>
          <w:rFonts w:hint="default" w:ascii="Times New Roman" w:hAnsi="Times New Roman" w:cs="Times New Roman"/>
          <w:sz w:val="24"/>
          <w:szCs w:val="24"/>
        </w:rPr>
        <w:t>Dựa trên sản phẩm tham chiếu Bảo Việt An Gia, bài viết phân tích các điểm chưa phù hợp để xây dựng giải pháp tối ưu về quyền lợi, mức phí và vận hành qua nền tảng InsurTech khả thi.</w:t>
      </w:r>
    </w:p>
    <w:p>
      <w:pPr>
        <w:spacing w:line="360" w:lineRule="auto"/>
        <w:ind w:left="0" w:leftChars="0" w:firstLine="0" w:firstLineChars="0"/>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PHẦN 1: SẢN PHẨM THAM CHIẾU VÀ ĐẶC ĐIỂM NHU CẦU CỦA SINH VIÊN UEH</w:t>
      </w:r>
    </w:p>
    <w:p>
      <w:pPr>
        <w:pStyle w:val="24"/>
        <w:numPr>
          <w:ilvl w:val="1"/>
          <w:numId w:val="1"/>
        </w:numPr>
        <w:spacing w:line="360" w:lineRule="auto"/>
        <w:ind w:leftChars="0" w:firstLineChars="0"/>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Lựa chọn và phân tích sản phẩm bảo hiểm sức khỏe tham chiếu</w:t>
      </w:r>
    </w:p>
    <w:p>
      <w:pPr>
        <w:spacing w:line="360" w:lineRule="auto"/>
        <w:ind w:left="-3" w:firstLine="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Để có cơ sở thực tế khi xây dựng sản phẩm bảo hiểm sức khỏe cho sinh viên, bài viết lựa chọn sản phẩm Bảo hiểm sức khỏe Bảo Việt An Gia do Tổng công ty Bảo hiểm Bảo Việt cung cấp trên thị trường Việt Nam làm sản phẩm tham chiếu. Đây là sản phẩm bảo hiểm sức khỏe cá nhân phổ biến trên thị trường bảo hiểm phi nhân thọ, thể hiện rõ cách thức phân chia phạm vi bảo hiểm, cấu trúc quyền lợi, điều khoản loại trừ và mức phí của các doanh nghiệp bảo hiểm hiện nay. </w:t>
      </w:r>
    </w:p>
    <w:p>
      <w:pPr>
        <w:pStyle w:val="24"/>
        <w:spacing w:line="360" w:lineRule="auto"/>
        <w:ind w:left="0" w:leftChars="0" w:firstLine="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Về phạm vi bảo hiểm và cấu trúc chương trình, Bảo Việt An Gia bảo vệ người được bảo hiểm trước các rủi ro tai nạn, ốm đau, bệnh tật xảy ra trong lãnh thổ Việt Nam (Tổng công ty Bảo hiểm Bảo Việt, 2024). Theo các báo cáo thống kê chuyên ngành, đây là một trong những sản phẩm bảo hiểm sức khỏe tự nguyện có thị phần khai thác hàng đầu trên thị trường phi nhân thọ hiện nay (Bộ Tài chính – Cục Quản lý, Giám sát bảo hiểm, 2025). Sản phẩm được chia thành 5 chương trình từ thấp đến cao gồm Đồng, Bạc, Vàng, Bạch Kim và Kim Cương, với tổng hạn mức quyền lợi nội trú dao động từ 94.000.000 đồng đến 454.000.000 đồng/người/năm, tùy theo chương trình khách hàng lựa chọn. Hệ thống quyền lợi của sản phẩm được tách thành hai nhóm chính:</w:t>
      </w:r>
    </w:p>
    <w:p>
      <w:pPr>
        <w:pStyle w:val="24"/>
        <w:numPr>
          <w:ilvl w:val="0"/>
          <w:numId w:val="2"/>
        </w:numPr>
        <w:spacing w:line="360" w:lineRule="auto"/>
        <w:ind w:leftChars="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Nhóm quyền lợi bảo hiểm cơ bản bắt buộc là quyền lợi điều trị nội trú do ốm đau, bệnh tật hoặc phẫu thuật. Khi người được bảo hiểm phải nhập viện điều trị nội trú, doanh nghiệp bảo hiểm chi trả các khoản chi phí y tế hợp lý, bao gồm tiền giường bệnh, viện phí tổng hợp, chi phí phẫu thuật, cùng các chi phí khám trước khi nhập viện và điều trị sau khi xuất viện. </w:t>
      </w:r>
    </w:p>
    <w:p>
      <w:pPr>
        <w:pStyle w:val="24"/>
        <w:numPr>
          <w:ilvl w:val="0"/>
          <w:numId w:val="2"/>
        </w:numPr>
        <w:spacing w:line="360" w:lineRule="auto"/>
        <w:ind w:leftChars="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Nhóm quyền lợi bảo hiểm bổ sung là các quyền lợi khách hàng có thể tùy chọn mua thêm sau khi đã tham gia gói nội trú cơ bản. Các quyền lợi bổ sung này bao gồm điều trị ngoại trú (thanh toán tiền khám bệnh và thuốc điều trị theo chỉ định của bác sĩ mà không cần nằm viện), bảo hiểm tai nạn cá nhân và chăm sóc nha khoa. </w:t>
      </w:r>
    </w:p>
    <w:p>
      <w:pPr>
        <w:spacing w:line="360" w:lineRule="auto"/>
        <w:ind w:left="-3" w:leftChars="-1" w:firstLine="7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Về các điều khoản loại trừ, sản phẩm áp dụng những quy định kiểm soát rủi ro chung của ngành bảo hiểm phi nhân thọ. Doanh nghiệp bảo hiểm không chi trả đối với các bệnh có sẵn trong năm hợp đồng đầu tiên, các bệnh đặc biệt trong thời gian chờ theo quy định, việc điều trị y tế không có chỉ định chuyên môn của bác sĩ, hành vi cố ý tự gây thương tích, hành vi vi phạm pháp luật của người được bảo hiểm hoặc các thiệt hại phát sinh từ chiến tranh và thảm họa. </w:t>
      </w:r>
    </w:p>
    <w:p>
      <w:pPr>
        <w:spacing w:line="360" w:lineRule="auto"/>
        <w:ind w:left="-3" w:leftChars="-1" w:firstLine="7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Về mức phí, do sản phẩm được thiết kế với hạn mức chi trả cao cho dịch vụ y tế tư nhân, mức phí chuẩn hàng năm cho độ tuổi sinh viên (10 – 30 tuổi) riêng phần nội trú dao động từ 1.445.000 đồng đến 5.406.000 đồng/năm; nếu tham gia thêm quyền lợi ngoại trú phổ thông, tổng mức phí thực tế phải đóng hàng năm sẽ từ 3.231.000 đồng (gói Đồng) đến hơn 4.156.000 đồng (gói Bạc) (Tổng công ty Bảo hiểm Bảo Việt, 2024).</w:t>
      </w:r>
    </w:p>
    <w:p>
      <w:pPr>
        <w:pStyle w:val="24"/>
        <w:numPr>
          <w:ilvl w:val="1"/>
          <w:numId w:val="1"/>
        </w:numPr>
        <w:spacing w:line="360" w:lineRule="auto"/>
        <w:ind w:leftChars="0" w:firstLineChars="0"/>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Phân tích đặc điểm rủi ro và khoảng trống nhu cầu của sinh viên UEH</w:t>
      </w:r>
    </w:p>
    <w:p>
      <w:pPr>
        <w:spacing w:line="360" w:lineRule="auto"/>
        <w:ind w:hanging="2"/>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Sinh viên theo học tại Đại học Kinh tế Thành phố Hồ Chí Minh (UEH) có những đặc điểm riêng về điều kiện tài chính, môi trường sinh hoạt và nhu cầu chăm sóc y tế tại đô thị lớn. Việc nhận diện đúng các đặc điểm và rủi ro thực tế của nhóm khách hàng này là căn cứ quan trọng để điều chỉnh sản phẩm bảo hiểm cho phù hợp. </w:t>
      </w:r>
    </w:p>
    <w:p>
      <w:pPr>
        <w:spacing w:line="360" w:lineRule="auto"/>
        <w:ind w:hanging="2"/>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Xét về rủi ro sức khỏe và tai nạn trong đời sống hàng ngày, sinh viên UEH thường xuyên phải di chuyển giữa các cơ sở học tập của trường, ký túc xá, nhà trọ và địa điểm làm thêm hoặc thực tập trong điều kiện mật độ giao thông dày đặc tại Thành phố Hồ Chí Minh. Tần suất đi lại cao khiến sinh viên luôn đối mặt với nguy cơ xảy ra tai nạn giao thông hoặc tai nạn sinh hoạt dẫn đến chấn thương cần cấp cứu và điều trị y tế. Cùng với rủi ro đi lại, lịch học tập cường độ cao, áp lực từ các kỳ thi và chuẩn đầu ra chuyên môn kết hợp với thói quen sinh hoạt, ăn uống thất thường khi sống xa gia đình khiến sinh viên dễ mắc các bệnh lý văn phòng sớm, rối loạn tiêu hóa, các bệnh cảm cúm theo mùa, suy nhược cơ thể hoặc căng thẳng tâm lý nhẹ cần thăm khám kịp thời. Đối với những sinh viên đi làm thêm để trang trải cuộc sống, việc phải nhập viện điều trị nhiều ngày còn làm gián đoạn công việc và gây mất thu nhập trong thời gian nghỉ ốm. </w:t>
      </w:r>
    </w:p>
    <w:p>
      <w:pPr>
        <w:spacing w:line="360" w:lineRule="auto"/>
        <w:ind w:hanging="2"/>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Về tài chính và tiếp cận y tế, sinh viên UEH chịu áp lực lớn từ chi phí đắt đỏ tại TP.HCM. Khảo sát của Trung tâm Hỗ trợ Học sinh, Sinh viên TP.HCM (2024) cho thấy chi tiêu bình quân hàng tháng của sinh viên dao động từ 3.500.000 đến 5.500.000 đồng, trong đó tiền trọ (1,8 – 3,2 triệu đồng) và ăn uống (1,8 – 2,5 triệu đồng) đã chiếm hơn 75% ngân sách. Nguồn tài chính của phần lớn sinh viên UEH lại phụ thuộc vào trợ cấp gia đình hoặc thu nhập làm thêm bấp bênh (Đại học Kinh tế Thành phố Hồ Chí Minh, 2025). Do ngân sách y tế chỉ chiếm dưới 3% chi phí sinh hoạt hàng tháng, sinh viên hầu như không có tích lũy dự phòng cho rủi ro bất ngờ. Dù có Bảo hiểm Y tế bắt buộc hỗ trợ đúng tuyến, quy trình chờ đợi lâu vào giờ hành chính dễ làm gián đoạn lịch học; khi sinh viên chuyển sang khám tư ngoài giờ hoặc dùng thuốc ngoài danh mục, chi phí tự trả phát sinh vượt quá khả năng tài chính cá nhân.</w:t>
      </w:r>
    </w:p>
    <w:p>
      <w:pPr>
        <w:pStyle w:val="24"/>
        <w:numPr>
          <w:ilvl w:val="1"/>
          <w:numId w:val="1"/>
        </w:numPr>
        <w:spacing w:line="360" w:lineRule="auto"/>
        <w:ind w:leftChars="0" w:firstLineChars="0"/>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Đánh giá những điểm chưa phù hợp của sản phẩm tham chiếu đối với sinh viên UEH</w:t>
      </w:r>
    </w:p>
    <w:p>
      <w:pPr>
        <w:spacing w:line="360" w:lineRule="auto"/>
        <w:ind w:left="-3" w:firstLine="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Khi đối chiếu các đặc điểm của sản phẩm Bảo Việt An Gia với nhu cầu và điều kiện thực tế của sinh viên UEH, có thể thấy sản phẩm hiện hành vẫn còn những điểm chưa phù hợp và cần được cải tiến cho nhóm khách hàng sinh viên: </w:t>
      </w:r>
    </w:p>
    <w:p>
      <w:pPr>
        <w:spacing w:line="360" w:lineRule="auto"/>
        <w:ind w:left="-3" w:firstLine="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Thứ nhất, cấu trúc quyền lợi và mức phí của sản phẩm tham chiếu chưa tương thích với khả năng chi trả của sinh viên. Sản phẩm Bảo Việt An Gia được tính toán dựa trên nhóm khách hàng đại trà đã đi làm và có thu nhập ổn định, nên gói bảo hiểm cơ bản bao gồm nhiều hạn mức điều trị cao cấp không thực sự cần thiết đối với sinh viên. Trong khi đó, quyền lợi khám ngoại trú cho các bệnh thông thường vốn là nhu cầu rất phổ biến của sinh viên vào mùa thi lại được tách thành quyền lợi mua thêm. Việc phải đóng tổng mức phí lên tới 3.231.000 đồng/năm đối với chương trình Đồng hoặc 4.156.000 đồng/năm đối với chương trình Bạc để có đầy đủ quyền lợi nội trú và ngoại trú (Tổng công ty Bảo hiểm Bảo Việt, 2024) là rào cản quá lớn, vượt quá khả năng tài chính của phần lớn sinh viên UEH vốn quản lý chi tiêu trong giới hạn ngân sách hàng tháng rất hẹp.</w:t>
      </w:r>
    </w:p>
    <w:p>
      <w:pPr>
        <w:spacing w:line="360" w:lineRule="auto"/>
        <w:ind w:left="0" w:leftChars="0" w:firstLine="417"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Thứ hai, phương thức đóng phí và cơ cấu hỗ trợ tài chính của sản phẩm hiện tại còn thiếu tính linh hoạt đối với đời sống học đường. Sản phẩm thương mại truyền thống yêu cầu người mua thanh toán toàn bộ phí bảo hiểm một lần vào đầu kỳ hợp đồng, gây ra áp lực tài chính lớn tại một thời điểm đối với sinh viên vốn quản lý chi tiêu theo tháng hoặc đóng học phí theo từng học kỳ. Đồng thời, dù sản phẩm tham chiếu có thiết kế quyền lợi trợ cấp nằm viện tại các bệnh viện công lập, nhưng mức chi trả tính theo ngày khá thấp (chỉ từ 80.000 đến 120.000 đồng/ngày ở chương trình Đồng và Bạc). Với thời gian điều trị nội trú của các ca bệnh hoặc tai nạn thông thường ở người trẻ thường kéo dài khoảng 3 đến 5 ngày, tổng số tiền trợ cấp nhận được chỉ từ 240.000 đến 600.000 đồng, chưa đủ để giúp sinh viên bù đắp khoản thu nhập làm thêm bị gián đoạn và trang trải các chi phí sinh hoạt phát sinh trong đợt nằm viện. </w:t>
      </w:r>
    </w:p>
    <w:p>
      <w:pPr>
        <w:spacing w:line="360" w:lineRule="auto"/>
        <w:ind w:left="-3" w:firstLine="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Thứ ba, quy trình đăng ký và giải quyết bồi thường theo phương thức truyền thống vẫn gây nhiều bất tiện cho người học. Thủ tục yêu cầu bồi thường đòi hỏi người được bảo hiểm phải tập hợp đầy đủ hồ sơ giấy, hóa đơn tài chính bản gốc, sổ khám bệnh hoặc giấy ra viện để nộp trực tiếp hoặc gửi qua đường bưu điện về văn phòng công ty bảo hiểm. Đối với sinh viên có lịch học bận rộn và quen sử dụng các ứng dụng công nghệ trên điện thoại thông minh, việc phải hoàn thiện nhiều thủ tục giấy tờ cho những lần khám bệnh thông thường gây mất thời gian và làm giảm động lực tham gia bảo hiểm. Những điểm hạn chế này đặt ra yêu cầu phải thiết kế lại gói quyền lợi tinh gọn hơn, giảm mức phí, chia kỳ thanh toán linh hoạt theo học kỳ và tích hợp công nghệ số vào quy trình quản lý, bồi thường cho sinh viên UEH. </w:t>
      </w:r>
    </w:p>
    <w:p>
      <w:pPr>
        <w:spacing w:line="360" w:lineRule="auto"/>
        <w:ind w:left="-3" w:firstLine="420" w:firstLineChars="0"/>
        <w:rPr>
          <w:rFonts w:hint="default" w:ascii="Times New Roman" w:hAnsi="Times New Roman" w:cs="Times New Roman"/>
          <w:sz w:val="24"/>
          <w:szCs w:val="24"/>
          <w:lang w:val="vi-VN"/>
        </w:rPr>
      </w:pPr>
    </w:p>
    <w:p>
      <w:pPr>
        <w:spacing w:line="360" w:lineRule="auto"/>
        <w:ind w:hanging="2"/>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PHẦN 2: THIẾT KẾ SẢN PHẨM BẢO HIỂM SỨC KHỎE DÀNH RIÊNG CHO SINH VIÊN UEH ("UEH CARE")</w:t>
      </w:r>
    </w:p>
    <w:p>
      <w:pPr>
        <w:pStyle w:val="24"/>
        <w:numPr>
          <w:ilvl w:val="1"/>
          <w:numId w:val="2"/>
        </w:numPr>
        <w:spacing w:line="360" w:lineRule="auto"/>
        <w:ind w:leftChars="0" w:firstLineChars="0"/>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Đối tượng và phạm vi bảo hiểm đề xuất</w:t>
      </w:r>
    </w:p>
    <w:p>
      <w:pPr>
        <w:spacing w:line="360" w:lineRule="auto"/>
        <w:ind w:left="-3" w:firstLine="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Sản phẩm bảo hiểm sức khỏe "UEH Care" được thiết kế dành riêng cho toàn bộ sinh viên đang theo học các hệ đại học chính quy và liên thông tại Đại học Kinh tế Thành phố Hồ Chí Minh (UEH), nằm trong độ tuổi từ 17 đến 26 tuổi và có tình trạng sức khỏe bình thường khi tham gia. Đây là nhóm khách hàng trẻ tuổi có sức đề kháng tự nhiên tốt, ít mắc các bệnh mãn tính phức tạp nhưng lại chịu nhiều áp lực từ môi trường sống đô thị, cường độ học tập cao và việc di chuyển liên tục hàng ngày.</w:t>
      </w:r>
    </w:p>
    <w:p>
      <w:pPr>
        <w:spacing w:line="360" w:lineRule="auto"/>
        <w:ind w:left="-3" w:firstLine="422"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Phạm vi bảo hiểm của sản phẩm có hiệu lực liên tục 24 giờ/ngày trên toàn lãnh thổ Việt Nam. Quyền lợi bảo vệ được áp dụng xuyên suốt trong mọi không gian học tập và sinh hoạt của sinh viên: từ khuôn viên các cơ sở giảng dạy của nhà trường, ký túc xá, khu nhà trọ, nơi làm việc bán thời gian, cho đến các hoạt động câu lạc bộ, các đợt kiến tập, thực tập tại doanh nghiệp và quá trình tham gia giao thông hằng ngày. Cơ chế bảo vệ toàn diện này giúp sinh viên an tâm học tập, rèn luyện và trải nghiệm thực tế mà không gặp phải khoảng trống nào về mặt pháp lý hay tài chính khi xảy ra sự cố sức khỏe. </w:t>
      </w:r>
    </w:p>
    <w:p>
      <w:pPr>
        <w:pStyle w:val="24"/>
        <w:numPr>
          <w:ilvl w:val="1"/>
          <w:numId w:val="2"/>
        </w:numPr>
        <w:spacing w:line="360" w:lineRule="auto"/>
        <w:ind w:leftChars="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Cơ cấu quyền lợi và giới hạn bảo hiểm linh hoạt</w:t>
      </w:r>
    </w:p>
    <w:p>
      <w:pPr>
        <w:spacing w:line="360" w:lineRule="auto"/>
        <w:ind w:left="-3" w:firstLine="422"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Trên cơ sở giữ lại những quyền lợi thiết thực và lược bỏ các dịch vụ y tế đắt đỏ không cần thiết từ sản phẩm tham chiếu, gói bảo hiểm "UEH Care" được xây dựng thành một chương trình thống nhất tập trung vào năm nhóm quyền lợi cốt lõi sát với nhu cầu của sinh viên UEH: </w:t>
      </w:r>
    </w:p>
    <w:p>
      <w:pPr>
        <w:spacing w:line="360" w:lineRule="auto"/>
        <w:ind w:hanging="2"/>
        <w:rPr>
          <w:rFonts w:hint="default" w:ascii="Times New Roman" w:hAnsi="Times New Roman" w:cs="Times New Roman"/>
          <w:i/>
          <w:iCs/>
          <w:sz w:val="24"/>
          <w:szCs w:val="24"/>
          <w:lang w:val="vi-VN"/>
        </w:rPr>
      </w:pPr>
      <w:r>
        <w:rPr>
          <w:rFonts w:hint="default" w:ascii="Times New Roman" w:hAnsi="Times New Roman" w:cs="Times New Roman"/>
          <w:i/>
          <w:iCs/>
          <w:sz w:val="24"/>
          <w:szCs w:val="24"/>
          <w:lang w:val="vi-VN"/>
        </w:rPr>
        <w:t>Bảng 2.1: Tổng hợp cơ cấu quyền lợi và giới hạn bảo hiểm của sản phẩm "UEH Care"</w:t>
      </w:r>
    </w:p>
    <w:tbl>
      <w:tblPr>
        <w:tblStyle w:val="18"/>
        <w:tblW w:w="11152" w:type="dxa"/>
        <w:tblCellSpacing w:w="0" w:type="dxa"/>
        <w:tblInd w:w="-10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145"/>
        <w:gridCol w:w="2975"/>
        <w:gridCol w:w="50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tblCellSpacing w:w="0" w:type="dxa"/>
        </w:trPr>
        <w:tc>
          <w:tcPr>
            <w:tcW w:w="3145" w:type="dxa"/>
            <w:shd w:val="clear" w:color="auto" w:fill="EBF1DE" w:themeFill="accent3" w:themeFillTint="32"/>
            <w:tcMar>
              <w:top w:w="120" w:type="dxa"/>
              <w:left w:w="180" w:type="dxa"/>
              <w:bottom w:w="120" w:type="dxa"/>
              <w:right w:w="180" w:type="dxa"/>
            </w:tcMar>
            <w:vAlign w:val="center"/>
          </w:tcPr>
          <w:p>
            <w:pPr>
              <w:spacing w:line="360" w:lineRule="auto"/>
              <w:ind w:hanging="2"/>
              <w:jc w:val="center"/>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Danh mục quyền lợi bảo hiểm</w:t>
            </w:r>
          </w:p>
        </w:tc>
        <w:tc>
          <w:tcPr>
            <w:tcW w:w="2975" w:type="dxa"/>
            <w:shd w:val="clear" w:color="auto" w:fill="EBF1DE" w:themeFill="accent3" w:themeFillTint="32"/>
            <w:tcMar>
              <w:top w:w="120" w:type="dxa"/>
              <w:left w:w="180" w:type="dxa"/>
              <w:bottom w:w="120" w:type="dxa"/>
              <w:right w:w="180" w:type="dxa"/>
            </w:tcMar>
            <w:vAlign w:val="center"/>
          </w:tcPr>
          <w:p>
            <w:pPr>
              <w:spacing w:line="360" w:lineRule="auto"/>
              <w:ind w:hanging="2"/>
              <w:jc w:val="center"/>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Giới hạn bảo hiểm tối đa</w:t>
            </w:r>
          </w:p>
        </w:tc>
        <w:tc>
          <w:tcPr>
            <w:tcW w:w="5032" w:type="dxa"/>
            <w:shd w:val="clear" w:color="auto" w:fill="EBF1DE" w:themeFill="accent3" w:themeFillTint="32"/>
            <w:tcMar>
              <w:top w:w="120" w:type="dxa"/>
              <w:left w:w="180" w:type="dxa"/>
              <w:bottom w:w="120" w:type="dxa"/>
              <w:right w:w="180" w:type="dxa"/>
            </w:tcMar>
            <w:vAlign w:val="center"/>
          </w:tcPr>
          <w:p>
            <w:pPr>
              <w:spacing w:line="360" w:lineRule="auto"/>
              <w:ind w:hanging="2"/>
              <w:jc w:val="center"/>
              <w:rPr>
                <w:rFonts w:hint="default" w:ascii="Times New Roman" w:hAnsi="Times New Roman" w:cs="Times New Roman"/>
                <w:b/>
                <w:bCs/>
                <w:sz w:val="24"/>
                <w:szCs w:val="24"/>
              </w:rPr>
            </w:pPr>
            <w:r>
              <w:rPr>
                <w:rFonts w:hint="default" w:ascii="Times New Roman" w:hAnsi="Times New Roman" w:cs="Times New Roman"/>
                <w:b/>
                <w:bCs/>
                <w:sz w:val="24"/>
                <w:szCs w:val="24"/>
              </w:rPr>
              <w:t>Nội dung chi trả chi tiết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0" w:type="dxa"/>
        </w:trPr>
        <w:tc>
          <w:tcPr>
            <w:tcW w:w="3145" w:type="dxa"/>
            <w:tcMar>
              <w:top w:w="120" w:type="dxa"/>
              <w:left w:w="180" w:type="dxa"/>
              <w:bottom w:w="120" w:type="dxa"/>
              <w:right w:w="180" w:type="dxa"/>
            </w:tcMar>
            <w:vAlign w:val="center"/>
          </w:tcPr>
          <w:p>
            <w:pPr>
              <w:spacing w:line="360" w:lineRule="auto"/>
              <w:ind w:hanging="2"/>
              <w:rPr>
                <w:rFonts w:hint="default" w:ascii="Times New Roman" w:hAnsi="Times New Roman" w:cs="Times New Roman"/>
                <w:sz w:val="24"/>
                <w:szCs w:val="24"/>
              </w:rPr>
            </w:pPr>
            <w:r>
              <w:rPr>
                <w:rFonts w:hint="default" w:ascii="Times New Roman" w:hAnsi="Times New Roman" w:cs="Times New Roman"/>
                <w:sz w:val="24"/>
                <w:szCs w:val="24"/>
              </w:rPr>
              <w:t>1. Tử vong / Thương tật toàn bộ vĩnh viễn do tai nạn</w:t>
            </w:r>
          </w:p>
        </w:tc>
        <w:tc>
          <w:tcPr>
            <w:tcW w:w="2975" w:type="dxa"/>
            <w:tcMar>
              <w:top w:w="120" w:type="dxa"/>
              <w:left w:w="180" w:type="dxa"/>
              <w:bottom w:w="120" w:type="dxa"/>
              <w:right w:w="180" w:type="dxa"/>
            </w:tcMar>
            <w:vAlign w:val="center"/>
          </w:tcPr>
          <w:p>
            <w:pPr>
              <w:spacing w:line="360" w:lineRule="auto"/>
              <w:ind w:hanging="2"/>
              <w:rPr>
                <w:rFonts w:hint="default" w:ascii="Times New Roman" w:hAnsi="Times New Roman" w:cs="Times New Roman"/>
                <w:sz w:val="24"/>
                <w:szCs w:val="24"/>
              </w:rPr>
            </w:pPr>
            <w:r>
              <w:rPr>
                <w:rFonts w:hint="default" w:ascii="Times New Roman" w:hAnsi="Times New Roman" w:cs="Times New Roman"/>
                <w:sz w:val="24"/>
                <w:szCs w:val="24"/>
              </w:rPr>
              <w:t>50.000.000 đồng / vụ</w:t>
            </w:r>
          </w:p>
        </w:tc>
        <w:tc>
          <w:tcPr>
            <w:tcW w:w="5032" w:type="dxa"/>
            <w:tcMar>
              <w:top w:w="120" w:type="dxa"/>
              <w:left w:w="180" w:type="dxa"/>
              <w:bottom w:w="120" w:type="dxa"/>
              <w:right w:w="180" w:type="dxa"/>
            </w:tcMar>
            <w:vAlign w:val="center"/>
          </w:tcPr>
          <w:p>
            <w:pPr>
              <w:spacing w:line="360" w:lineRule="auto"/>
              <w:ind w:hanging="2"/>
              <w:rPr>
                <w:rFonts w:hint="default" w:ascii="Times New Roman" w:hAnsi="Times New Roman" w:cs="Times New Roman"/>
                <w:sz w:val="24"/>
                <w:szCs w:val="24"/>
              </w:rPr>
            </w:pPr>
            <w:r>
              <w:rPr>
                <w:rFonts w:hint="default" w:ascii="Times New Roman" w:hAnsi="Times New Roman" w:cs="Times New Roman"/>
                <w:sz w:val="24"/>
                <w:szCs w:val="24"/>
              </w:rPr>
              <w:t xml:space="preserve">Hỗ trợ tài chính cho gia đình và chi phí ổn định cuộc sống khi xảy ra tai nạn nghiêm trọng.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0" w:type="dxa"/>
        </w:trPr>
        <w:tc>
          <w:tcPr>
            <w:tcW w:w="3145" w:type="dxa"/>
            <w:tcMar>
              <w:top w:w="120" w:type="dxa"/>
              <w:left w:w="180" w:type="dxa"/>
              <w:bottom w:w="120" w:type="dxa"/>
              <w:right w:w="180" w:type="dxa"/>
            </w:tcMar>
            <w:vAlign w:val="center"/>
          </w:tcPr>
          <w:p>
            <w:pPr>
              <w:spacing w:line="360" w:lineRule="auto"/>
              <w:ind w:hanging="2"/>
              <w:rPr>
                <w:rFonts w:hint="default" w:ascii="Times New Roman" w:hAnsi="Times New Roman" w:cs="Times New Roman"/>
                <w:sz w:val="24"/>
                <w:szCs w:val="24"/>
              </w:rPr>
            </w:pPr>
            <w:r>
              <w:rPr>
                <w:rFonts w:hint="default" w:ascii="Times New Roman" w:hAnsi="Times New Roman" w:cs="Times New Roman"/>
                <w:sz w:val="24"/>
                <w:szCs w:val="24"/>
              </w:rPr>
              <w:t>2. Chi phí y tế thực tế do tai nạn</w:t>
            </w:r>
          </w:p>
        </w:tc>
        <w:tc>
          <w:tcPr>
            <w:tcW w:w="2975" w:type="dxa"/>
            <w:tcMar>
              <w:top w:w="120" w:type="dxa"/>
              <w:left w:w="180" w:type="dxa"/>
              <w:bottom w:w="120" w:type="dxa"/>
              <w:right w:w="180" w:type="dxa"/>
            </w:tcMar>
            <w:vAlign w:val="center"/>
          </w:tcPr>
          <w:p>
            <w:pPr>
              <w:spacing w:line="360" w:lineRule="auto"/>
              <w:ind w:hanging="2"/>
              <w:rPr>
                <w:rFonts w:hint="default" w:ascii="Times New Roman" w:hAnsi="Times New Roman" w:cs="Times New Roman"/>
                <w:sz w:val="24"/>
                <w:szCs w:val="24"/>
              </w:rPr>
            </w:pPr>
            <w:r>
              <w:rPr>
                <w:rFonts w:hint="default" w:ascii="Times New Roman" w:hAnsi="Times New Roman" w:cs="Times New Roman"/>
                <w:sz w:val="24"/>
                <w:szCs w:val="24"/>
              </w:rPr>
              <w:t>10.000.000 đồng / năm</w:t>
            </w:r>
          </w:p>
        </w:tc>
        <w:tc>
          <w:tcPr>
            <w:tcW w:w="5032" w:type="dxa"/>
            <w:tcMar>
              <w:top w:w="120" w:type="dxa"/>
              <w:left w:w="180" w:type="dxa"/>
              <w:bottom w:w="120" w:type="dxa"/>
              <w:right w:w="180" w:type="dxa"/>
            </w:tcMar>
            <w:vAlign w:val="center"/>
          </w:tcPr>
          <w:p>
            <w:pPr>
              <w:spacing w:line="360" w:lineRule="auto"/>
              <w:ind w:hanging="2"/>
              <w:rPr>
                <w:rFonts w:hint="default" w:ascii="Times New Roman" w:hAnsi="Times New Roman" w:cs="Times New Roman"/>
                <w:sz w:val="24"/>
                <w:szCs w:val="24"/>
              </w:rPr>
            </w:pPr>
            <w:r>
              <w:rPr>
                <w:rFonts w:hint="default" w:ascii="Times New Roman" w:hAnsi="Times New Roman" w:cs="Times New Roman"/>
                <w:sz w:val="24"/>
                <w:szCs w:val="24"/>
              </w:rPr>
              <w:t xml:space="preserve">Thanh toán chi phí sơ cứu, khám và điều trị thương tích thực tế phát sinh từ tai nạn.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0" w:type="dxa"/>
        </w:trPr>
        <w:tc>
          <w:tcPr>
            <w:tcW w:w="3145" w:type="dxa"/>
            <w:tcMar>
              <w:top w:w="120" w:type="dxa"/>
              <w:left w:w="180" w:type="dxa"/>
              <w:bottom w:w="120" w:type="dxa"/>
              <w:right w:w="180" w:type="dxa"/>
            </w:tcMar>
            <w:vAlign w:val="center"/>
          </w:tcPr>
          <w:p>
            <w:pPr>
              <w:spacing w:line="360" w:lineRule="auto"/>
              <w:ind w:hanging="2"/>
              <w:rPr>
                <w:rFonts w:hint="default" w:ascii="Times New Roman" w:hAnsi="Times New Roman" w:cs="Times New Roman"/>
                <w:sz w:val="24"/>
                <w:szCs w:val="24"/>
              </w:rPr>
            </w:pPr>
            <w:r>
              <w:rPr>
                <w:rFonts w:hint="default" w:ascii="Times New Roman" w:hAnsi="Times New Roman" w:cs="Times New Roman"/>
                <w:sz w:val="24"/>
                <w:szCs w:val="24"/>
              </w:rPr>
              <w:t>3. Điều trị nội trú (ốm đau, bệnh tật, phẫu thuật)</w:t>
            </w:r>
          </w:p>
        </w:tc>
        <w:tc>
          <w:tcPr>
            <w:tcW w:w="2975" w:type="dxa"/>
            <w:tcMar>
              <w:top w:w="120" w:type="dxa"/>
              <w:left w:w="180" w:type="dxa"/>
              <w:bottom w:w="120" w:type="dxa"/>
              <w:right w:w="180" w:type="dxa"/>
            </w:tcMar>
            <w:vAlign w:val="center"/>
          </w:tcPr>
          <w:p>
            <w:pPr>
              <w:spacing w:line="360" w:lineRule="auto"/>
              <w:ind w:hanging="2"/>
              <w:rPr>
                <w:rFonts w:hint="default" w:ascii="Times New Roman" w:hAnsi="Times New Roman" w:cs="Times New Roman"/>
                <w:sz w:val="24"/>
                <w:szCs w:val="24"/>
              </w:rPr>
            </w:pPr>
            <w:r>
              <w:rPr>
                <w:rFonts w:hint="default" w:ascii="Times New Roman" w:hAnsi="Times New Roman" w:cs="Times New Roman"/>
                <w:sz w:val="24"/>
                <w:szCs w:val="24"/>
              </w:rPr>
              <w:t>60.000.000 đồng / năm</w:t>
            </w:r>
          </w:p>
        </w:tc>
        <w:tc>
          <w:tcPr>
            <w:tcW w:w="5032" w:type="dxa"/>
            <w:tcMar>
              <w:top w:w="120" w:type="dxa"/>
              <w:left w:w="180" w:type="dxa"/>
              <w:bottom w:w="120" w:type="dxa"/>
              <w:right w:w="180" w:type="dxa"/>
            </w:tcMar>
            <w:vAlign w:val="center"/>
          </w:tcPr>
          <w:p>
            <w:pPr>
              <w:spacing w:line="360" w:lineRule="auto"/>
              <w:ind w:hanging="2"/>
              <w:rPr>
                <w:rFonts w:hint="default" w:ascii="Times New Roman" w:hAnsi="Times New Roman" w:cs="Times New Roman"/>
                <w:sz w:val="24"/>
                <w:szCs w:val="24"/>
              </w:rPr>
            </w:pPr>
            <w:r>
              <w:rPr>
                <w:rFonts w:hint="default" w:ascii="Times New Roman" w:hAnsi="Times New Roman" w:cs="Times New Roman"/>
                <w:sz w:val="24"/>
                <w:szCs w:val="24"/>
              </w:rPr>
              <w:t xml:space="preserve">Bao gồm tiền giường bệnh phổ thông (tối đa 1,2 triệu đồng/ngày), phẫu thuật, thuốc men và xét nghiệm trước/sau nhập viện.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0" w:type="dxa"/>
        </w:trPr>
        <w:tc>
          <w:tcPr>
            <w:tcW w:w="3145" w:type="dxa"/>
            <w:tcMar>
              <w:top w:w="120" w:type="dxa"/>
              <w:left w:w="180" w:type="dxa"/>
              <w:bottom w:w="120" w:type="dxa"/>
              <w:right w:w="180" w:type="dxa"/>
            </w:tcMar>
            <w:vAlign w:val="center"/>
          </w:tcPr>
          <w:p>
            <w:pPr>
              <w:spacing w:line="360" w:lineRule="auto"/>
              <w:ind w:hanging="2"/>
              <w:rPr>
                <w:rFonts w:hint="default" w:ascii="Times New Roman" w:hAnsi="Times New Roman" w:cs="Times New Roman"/>
                <w:sz w:val="24"/>
                <w:szCs w:val="24"/>
              </w:rPr>
            </w:pPr>
            <w:r>
              <w:rPr>
                <w:rFonts w:hint="default" w:ascii="Times New Roman" w:hAnsi="Times New Roman" w:cs="Times New Roman"/>
                <w:sz w:val="24"/>
                <w:szCs w:val="24"/>
              </w:rPr>
              <w:t>4. Điều trị ngoại trú</w:t>
            </w:r>
          </w:p>
        </w:tc>
        <w:tc>
          <w:tcPr>
            <w:tcW w:w="2975" w:type="dxa"/>
            <w:tcMar>
              <w:top w:w="120" w:type="dxa"/>
              <w:left w:w="180" w:type="dxa"/>
              <w:bottom w:w="120" w:type="dxa"/>
              <w:right w:w="180" w:type="dxa"/>
            </w:tcMar>
            <w:vAlign w:val="center"/>
          </w:tcPr>
          <w:p>
            <w:pPr>
              <w:spacing w:line="360" w:lineRule="auto"/>
              <w:ind w:hanging="2"/>
              <w:rPr>
                <w:rFonts w:hint="default" w:ascii="Times New Roman" w:hAnsi="Times New Roman" w:cs="Times New Roman"/>
                <w:sz w:val="24"/>
                <w:szCs w:val="24"/>
              </w:rPr>
            </w:pPr>
            <w:r>
              <w:rPr>
                <w:rFonts w:hint="default" w:ascii="Times New Roman" w:hAnsi="Times New Roman" w:cs="Times New Roman"/>
                <w:sz w:val="24"/>
                <w:szCs w:val="24"/>
              </w:rPr>
              <w:t>5.000.000 đồng / năm</w:t>
            </w:r>
          </w:p>
        </w:tc>
        <w:tc>
          <w:tcPr>
            <w:tcW w:w="5032" w:type="dxa"/>
            <w:tcMar>
              <w:top w:w="120" w:type="dxa"/>
              <w:left w:w="180" w:type="dxa"/>
              <w:bottom w:w="120" w:type="dxa"/>
              <w:right w:w="180" w:type="dxa"/>
            </w:tcMar>
            <w:vAlign w:val="center"/>
          </w:tcPr>
          <w:p>
            <w:pPr>
              <w:spacing w:line="360" w:lineRule="auto"/>
              <w:ind w:hanging="2"/>
              <w:rPr>
                <w:rFonts w:hint="default" w:ascii="Times New Roman" w:hAnsi="Times New Roman" w:cs="Times New Roman"/>
                <w:sz w:val="24"/>
                <w:szCs w:val="24"/>
              </w:rPr>
            </w:pPr>
            <w:r>
              <w:rPr>
                <w:rFonts w:hint="default" w:ascii="Times New Roman" w:hAnsi="Times New Roman" w:cs="Times New Roman"/>
                <w:sz w:val="24"/>
                <w:szCs w:val="24"/>
              </w:rPr>
              <w:t xml:space="preserve">Tối đa 500.000 đồng/lần khám, giới hạn tối đa 10 lần khám/năm đối với các bệnh thông thường không cần nằm viện.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0" w:type="dxa"/>
        </w:trPr>
        <w:tc>
          <w:tcPr>
            <w:tcW w:w="3145" w:type="dxa"/>
            <w:tcMar>
              <w:top w:w="120" w:type="dxa"/>
              <w:left w:w="180" w:type="dxa"/>
              <w:bottom w:w="120" w:type="dxa"/>
              <w:right w:w="180" w:type="dxa"/>
            </w:tcMar>
            <w:vAlign w:val="center"/>
          </w:tcPr>
          <w:p>
            <w:pPr>
              <w:spacing w:line="360" w:lineRule="auto"/>
              <w:ind w:hanging="2"/>
              <w:rPr>
                <w:rFonts w:hint="default" w:ascii="Times New Roman" w:hAnsi="Times New Roman" w:cs="Times New Roman"/>
                <w:sz w:val="24"/>
                <w:szCs w:val="24"/>
              </w:rPr>
            </w:pPr>
            <w:r>
              <w:rPr>
                <w:rFonts w:hint="default" w:ascii="Times New Roman" w:hAnsi="Times New Roman" w:cs="Times New Roman"/>
                <w:sz w:val="24"/>
                <w:szCs w:val="24"/>
              </w:rPr>
              <w:t>5. Trợ cấp nằm viện công lập</w:t>
            </w:r>
          </w:p>
        </w:tc>
        <w:tc>
          <w:tcPr>
            <w:tcW w:w="2975" w:type="dxa"/>
            <w:tcMar>
              <w:top w:w="120" w:type="dxa"/>
              <w:left w:w="180" w:type="dxa"/>
              <w:bottom w:w="120" w:type="dxa"/>
              <w:right w:w="180" w:type="dxa"/>
            </w:tcMar>
            <w:vAlign w:val="center"/>
          </w:tcPr>
          <w:p>
            <w:pPr>
              <w:spacing w:line="360" w:lineRule="auto"/>
              <w:ind w:hanging="2"/>
              <w:rPr>
                <w:rFonts w:hint="default" w:ascii="Times New Roman" w:hAnsi="Times New Roman" w:cs="Times New Roman"/>
                <w:sz w:val="24"/>
                <w:szCs w:val="24"/>
              </w:rPr>
            </w:pPr>
            <w:r>
              <w:rPr>
                <w:rFonts w:hint="default" w:ascii="Times New Roman" w:hAnsi="Times New Roman" w:cs="Times New Roman"/>
                <w:sz w:val="24"/>
                <w:szCs w:val="24"/>
              </w:rPr>
              <w:t>2.000.000 đồng / sự kiện</w:t>
            </w:r>
          </w:p>
        </w:tc>
        <w:tc>
          <w:tcPr>
            <w:tcW w:w="5032" w:type="dxa"/>
            <w:tcMar>
              <w:top w:w="120" w:type="dxa"/>
              <w:left w:w="180" w:type="dxa"/>
              <w:bottom w:w="120" w:type="dxa"/>
              <w:right w:w="180" w:type="dxa"/>
            </w:tcMar>
            <w:vAlign w:val="center"/>
          </w:tcPr>
          <w:p>
            <w:pPr>
              <w:spacing w:line="360" w:lineRule="auto"/>
              <w:ind w:hanging="2"/>
              <w:rPr>
                <w:rFonts w:hint="default" w:ascii="Times New Roman" w:hAnsi="Times New Roman" w:cs="Times New Roman"/>
                <w:sz w:val="24"/>
                <w:szCs w:val="24"/>
              </w:rPr>
            </w:pPr>
            <w:r>
              <w:rPr>
                <w:rFonts w:hint="default" w:ascii="Times New Roman" w:hAnsi="Times New Roman" w:cs="Times New Roman"/>
                <w:sz w:val="24"/>
                <w:szCs w:val="24"/>
              </w:rPr>
              <w:t xml:space="preserve">Chi trả khi sinh viên nằm viện điều trị liên tục từ 3 ngày trở lên tại bệnh viện công lập để bù đắp thu nhập làm thêm bị mất. </w:t>
            </w:r>
          </w:p>
        </w:tc>
      </w:tr>
    </w:tbl>
    <w:p>
      <w:pPr>
        <w:spacing w:line="360" w:lineRule="auto"/>
        <w:ind w:hanging="2"/>
        <w:rPr>
          <w:rFonts w:hint="default" w:ascii="Times New Roman" w:hAnsi="Times New Roman" w:cs="Times New Roman"/>
          <w:sz w:val="24"/>
          <w:szCs w:val="24"/>
          <w:lang w:val="vi-VN"/>
        </w:rPr>
      </w:pPr>
    </w:p>
    <w:p>
      <w:pPr>
        <w:spacing w:line="360" w:lineRule="auto"/>
        <w:ind w:left="-3" w:firstLine="422"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Cách thiết kế giới hạn bảo hiểm như trên đảm bảo sự cân đối giữa nhu cầu bảo vệ của sinh viên và khả năng thanh toán của quỹ bảo hiểm. Hạn mức nội trú 60.000.000 đồng/năm cùng hạn mức y tế tai nạn 10.000.000 đồng/năm đủ để trang trải phần chi phí vượt ngoài phạm vi của Bảo hiểm Y tế bắt buộc trong các ca phẫu thuật hoặc chấn thương thường gặp. Trong khi đó, việc giới hạn chi phí khám ngoại trú ở mức 500.000 đồng/lần và tối đa 10 lần/năm vừa sát với chi phí thực tế của một lần khám bệnh thông thường, vừa giúp hạn chế tình trạng lạm dụng dịch vụ y tế không cần thiết, từ đó giữ được mức phí đóng hàng năm ở mức thấp cho toàn bộ sinh viên. </w:t>
      </w:r>
    </w:p>
    <w:p>
      <w:pPr>
        <w:pStyle w:val="24"/>
        <w:numPr>
          <w:ilvl w:val="1"/>
          <w:numId w:val="2"/>
        </w:numPr>
        <w:spacing w:line="360" w:lineRule="auto"/>
        <w:ind w:leftChars="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Các điều khoản loại trừ chính</w:t>
      </w:r>
    </w:p>
    <w:p>
      <w:pPr>
        <w:spacing w:line="360" w:lineRule="auto"/>
        <w:ind w:left="-3" w:firstLine="362"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Để duy trì sự bền vững tài chính của quỹ bảo hiểm chung và ngăn ngừa các hành vi trục lợi bảo hiểm, sản phẩm "UEH Care" áp dụng hệ thống điều khoản loại trừ minh bạch dựa trên quy chuẩn của ngành bảo hiểm phi nhân thọ và điều chỉnh phù hợp với đối tượng sinh viên: </w:t>
      </w:r>
    </w:p>
    <w:p>
      <w:pPr>
        <w:pStyle w:val="24"/>
        <w:numPr>
          <w:ilvl w:val="0"/>
          <w:numId w:val="3"/>
        </w:numPr>
        <w:spacing w:line="360" w:lineRule="auto"/>
        <w:ind w:leftChars="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Doanh nghiệp bảo hiểm không chi trả đối với các bệnh có sẵn (được hiểu là những bệnh lý đã được bác sĩ chẩn đoán hoặc đã xuất hiện triệu chứng rõ ràng từ trước ngày bắt đầu thời hạn bảo hiểm) trong năm hợp đồng đầu tiên. </w:t>
      </w:r>
    </w:p>
    <w:p>
      <w:pPr>
        <w:pStyle w:val="24"/>
        <w:numPr>
          <w:ilvl w:val="0"/>
          <w:numId w:val="3"/>
        </w:numPr>
        <w:spacing w:line="360" w:lineRule="auto"/>
        <w:ind w:leftChars="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Không bồi thường cho các tổn thất sức khỏe phát sinh từ hành vi cố ý tự gây thương tích hoặc tự tử của người được bảo hiểm, tham gia đua xe trái phép, sử dụng chất kích thích, ma túy hoặc các hành vi vi phạm pháp luật hình sự. </w:t>
      </w:r>
    </w:p>
    <w:p>
      <w:pPr>
        <w:pStyle w:val="24"/>
        <w:numPr>
          <w:ilvl w:val="0"/>
          <w:numId w:val="3"/>
        </w:numPr>
        <w:spacing w:line="360" w:lineRule="auto"/>
        <w:ind w:leftChars="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Loại trừ các chi phí khám sức khỏe định kỳ không theo chỉ định điều trị bệnh lý của bác sĩ, các tật khúc xạ thông thường của mắt (như cận thị, viễn thị) không phải là bệnh lý cấp tính hoặc biến chứng, cùng các dịch vụ phẫu thuật mang tính chất thẩm mỹ thuần túy. </w:t>
      </w:r>
    </w:p>
    <w:p>
      <w:pPr>
        <w:pStyle w:val="24"/>
        <w:numPr>
          <w:ilvl w:val="0"/>
          <w:numId w:val="3"/>
        </w:numPr>
        <w:spacing w:line="360" w:lineRule="auto"/>
        <w:ind w:leftChars="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Không chi trả cho các nhóm bệnh đặc biệt nghiêm trọng (như ung thư, suy thận mạn tính, tim mạch bẩm sinh) phát sinh trong vòng 90 ngày đầu tiên kể từ ngày hợp đồng bảo hiểm chính thức có hiệu lực. </w:t>
      </w:r>
    </w:p>
    <w:p>
      <w:pPr>
        <w:pStyle w:val="24"/>
        <w:numPr>
          <w:ilvl w:val="1"/>
          <w:numId w:val="2"/>
        </w:numPr>
        <w:spacing w:line="360" w:lineRule="auto"/>
        <w:ind w:leftChars="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Biểu phí bảo hiểm đề xuất và phương án cân đối tài chính</w:t>
      </w:r>
    </w:p>
    <w:p>
      <w:pPr>
        <w:spacing w:line="360" w:lineRule="auto"/>
        <w:ind w:left="-3" w:firstLine="422"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Nhờ phát triển sản phẩm theo quy mô nhóm lớn dành cho cộng đồng sinh viên toàn trường UEH, kết hợp với việc tinh giản các quyền lợi y tế cao cấp không thiết yếu và cắt giảm chi phí khâu trung gian, mức phí bảo hiểm của "UEH Care" được đề xuất ở mức rất cạnh tranh so với mặt bằng thị trường: </w:t>
      </w:r>
    </w:p>
    <w:p>
      <w:pPr>
        <w:spacing w:line="360" w:lineRule="auto"/>
        <w:ind w:leftChars="0" w:firstLine="420" w:firstLineChars="0"/>
        <w:rPr>
          <w:rFonts w:hint="default" w:ascii="Times New Roman" w:hAnsi="Times New Roman" w:cs="Times New Roman"/>
          <w:sz w:val="24"/>
          <w:szCs w:val="24"/>
          <w:lang w:val="vi-VN"/>
        </w:rPr>
      </w:pPr>
      <w:r>
        <w:rPr>
          <w:rFonts w:hint="default" w:ascii="Times New Roman" w:hAnsi="Times New Roman" w:cs="Times New Roman"/>
          <w:b/>
          <w:bCs/>
          <w:sz w:val="24"/>
          <w:szCs w:val="24"/>
          <w:lang w:val="vi-VN"/>
        </w:rPr>
        <w:t>Mức phí chuẩn đề xuất:</w:t>
      </w:r>
      <w:r>
        <w:rPr>
          <w:rFonts w:hint="default" w:ascii="Times New Roman" w:hAnsi="Times New Roman" w:cs="Times New Roman"/>
          <w:sz w:val="24"/>
          <w:szCs w:val="24"/>
          <w:lang w:val="vi-VN"/>
        </w:rPr>
        <w:t xml:space="preserve"> 850.000 đồng/sinh viên/năm. </w:t>
      </w:r>
    </w:p>
    <w:p>
      <w:pPr>
        <w:spacing w:line="360" w:lineRule="auto"/>
        <w:ind w:left="0" w:leftChars="0" w:firstLine="419"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Phương thức đóng phí thích ứng theo học kỳ: Mức phí chuẩn 850.000 đồng/năm (khoảng 70.000 đồng/tháng) hoàn toàn nằm trong biên độ chi tiêu y tế (&lt; 3%) của sinh viên UEH khi so với mức sinh hoạt phí thực tế 3,5 – 5,5 triệu đồng/tháng tại TP.HCM và chuẩn định mức 3,63 triệu đồng/tháng theo Nghị định số 116/2020/NĐ-CP (Chính phủ, 2020). Phương án chia đóng 450.000 đồng/học kỳ gắn liền với kỳ thu học phí giúp sinh viên có thể tự trang trải bằng tiền làm thêm vài buổi mà không tạo áp lực tài chính đột ngột. Về phía doanh nghiệp, việc áp dụng mô hình bảo hiểm nhóm học đường cho phép khai thác quy luật số lớn để bù trừ rủi ro hiệu quả. Để kiểm soát rủi ro lựa chọn nghịch, cổng đăng ký sẽ mở tập trung trong 30 ngày đầu mỗi học kỳ, kết hợp với công tác truyền thông y tế ban đầu của nhà trường.</w:t>
      </w:r>
    </w:p>
    <w:p>
      <w:pPr>
        <w:pStyle w:val="24"/>
        <w:numPr>
          <w:ilvl w:val="1"/>
          <w:numId w:val="2"/>
        </w:numPr>
        <w:spacing w:line="360" w:lineRule="auto"/>
        <w:ind w:leftChars="0" w:firstLineChars="0"/>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Ví dụ minh họa thực tế về trường hợp được và không được bồi thường</w:t>
      </w:r>
    </w:p>
    <w:p>
      <w:pPr>
        <w:spacing w:line="360" w:lineRule="auto"/>
        <w:ind w:left="-3" w:firstLine="422"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Để làm rõ cách thức vận dụng quy tắc quyền lợi và điều khoản loại trừ của sản phẩm "UEH Care" vào thực tế, dưới đây là hai tình huống giả định gắn liền với đời sống học tập của sinh viên UEH: </w:t>
      </w:r>
    </w:p>
    <w:p>
      <w:pPr>
        <w:spacing w:line="360" w:lineRule="auto"/>
        <w:ind w:leftChars="0" w:firstLine="420" w:firstLineChars="0"/>
        <w:rPr>
          <w:rFonts w:hint="default" w:ascii="Times New Roman" w:hAnsi="Times New Roman" w:cs="Times New Roman"/>
          <w:sz w:val="24"/>
          <w:szCs w:val="24"/>
          <w:lang w:val="vi-VN"/>
        </w:rPr>
      </w:pPr>
      <w:r>
        <w:rPr>
          <w:rFonts w:hint="default" w:ascii="Times New Roman" w:hAnsi="Times New Roman" w:cs="Times New Roman"/>
          <w:b/>
          <w:bCs/>
          <w:sz w:val="24"/>
          <w:szCs w:val="24"/>
          <w:lang w:val="vi-VN"/>
        </w:rPr>
        <w:t>Trường hợp được bồi thường:</w:t>
      </w:r>
      <w:r>
        <w:rPr>
          <w:rFonts w:hint="default" w:ascii="Times New Roman" w:hAnsi="Times New Roman" w:cs="Times New Roman"/>
          <w:sz w:val="24"/>
          <w:szCs w:val="24"/>
          <w:lang w:val="vi-VN"/>
        </w:rPr>
        <w:t xml:space="preserve"> Sinh viên Nguyễn Văn A (đang theo học tại Khoa Tài chính của UEH) không may bị trượt ngã xe máy khi đang trên đường đến trường học, dẫn đến rạn xương cẳng chân và phải nhập viện điều trị nội trú 4 ngày tại Bệnh viện Nhân dân 115. Tổng chi phí viện phí, tiền thuốc điều trị và phẫu thuật cố định xương của sinh viên A là 8.500.000 đồng. </w:t>
      </w:r>
    </w:p>
    <w:p>
      <w:pPr>
        <w:spacing w:line="360" w:lineRule="auto"/>
        <w:ind w:left="0" w:leftChars="0" w:firstLine="419" w:firstLineChars="0"/>
        <w:rPr>
          <w:rFonts w:hint="default" w:ascii="Times New Roman" w:hAnsi="Times New Roman" w:cs="Times New Roman"/>
          <w:sz w:val="24"/>
          <w:szCs w:val="24"/>
          <w:lang w:val="vi-VN"/>
        </w:rPr>
      </w:pPr>
      <w:r>
        <w:rPr>
          <w:rFonts w:hint="default" w:ascii="Times New Roman" w:hAnsi="Times New Roman" w:cs="Times New Roman"/>
          <w:b/>
          <w:bCs/>
          <w:i/>
          <w:iCs/>
          <w:sz w:val="24"/>
          <w:szCs w:val="24"/>
          <w:lang w:val="vi-VN"/>
        </w:rPr>
        <w:t>Kết quả giải quyết bồi thường:</w:t>
      </w:r>
      <w:r>
        <w:rPr>
          <w:rFonts w:hint="default" w:ascii="Times New Roman" w:hAnsi="Times New Roman" w:cs="Times New Roman"/>
          <w:sz w:val="24"/>
          <w:szCs w:val="24"/>
          <w:lang w:val="vi-VN"/>
        </w:rPr>
        <w:t xml:space="preserve"> Sự kiện rủi ro xảy ra trong thời hạn hợp đồng bảo hiểm đang có hiệu lực và nguyên nhân tai nạn giao thông không vi phạm các điều khoản loại trừ của sản phẩm (Quốc hội, 2022). Sau khi đã trừ phần chi phí y tế được Bảo hiểm Y tế sinh viên thanh toán đúng tuyến tại Bệnh viện Nhân dân 115, công ty bảo hiểm chấp thuận chi trả toàn bộ 8.500.000 đồng chi phí điều trị thực tế còn lại theo đúng Quyền lợi 2: Chi phí y tế thực tế do tai nạn (do chi phí 8.500.000 đồng nằm trọn trong hạn mức chi trả tối đa 10.000.000 đồng/năm của quyền lợi này). Bên cạnh đó, do sinh viên A phải nằm viện điều trị nội trú liên tục 4 ngày (đáp ứng điều kiện nằm viện từ 3 ngày trở lên) tại Bệnh viện Nhân dân 115 là bệnh viện công lập, công ty bảo hiểm chi trả thêm khoản tiền mặt định mức trị giá 2.000.000 đồng từ Quyền lợi 5: Trợ cấp nằm viện công lập để hỗ trợ sinh viên trang trải chi phí sinh hoạt trong những ngày nghỉ học và nghỉ làm thêm. Như vậy, tổng số tiền bồi thường mà sinh viên Nguyễn Văn A thực nhận từ gói 'UEH Care' là 10.500.000 đồng.</w:t>
      </w:r>
    </w:p>
    <w:p>
      <w:pPr>
        <w:spacing w:line="360" w:lineRule="auto"/>
        <w:ind w:leftChars="0" w:firstLine="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Trường hợp không được bồi thường: Sinh viên Trần Thị B đã được chẩn đoán mắc bệnh viêm xoang mãn tính từ thời trung học phổ thông (có hồ sơ bệnh án cũ lưu trữ trước thời điểm mua bảo hiểm 6 tháng). Sau khi đăng ký tham gia gói bảo hiểm "UEH Care" được 15 ngày, sinh viên B đến một phòng khám tư nhân để thực hiện phẫu thuật điều trị viêm xoang với tổng hóa đơn chi phí là 6.000.000 đồng, sau đó gửi hồ sơ yêu cầu doanh nghiệp bảo hiểm thanh toán. </w:t>
      </w:r>
    </w:p>
    <w:p>
      <w:pPr>
        <w:spacing w:line="360" w:lineRule="auto"/>
        <w:ind w:leftChars="0" w:firstLine="420" w:firstLineChars="0"/>
        <w:rPr>
          <w:rFonts w:hint="default" w:ascii="Times New Roman" w:hAnsi="Times New Roman" w:cs="Times New Roman"/>
          <w:sz w:val="24"/>
          <w:szCs w:val="24"/>
          <w:lang w:val="vi-VN"/>
        </w:rPr>
      </w:pPr>
      <w:r>
        <w:rPr>
          <w:rFonts w:hint="default" w:ascii="Times New Roman" w:hAnsi="Times New Roman" w:cs="Times New Roman"/>
          <w:b/>
          <w:bCs/>
          <w:i/>
          <w:iCs/>
          <w:sz w:val="24"/>
          <w:szCs w:val="24"/>
          <w:lang w:val="vi-VN"/>
        </w:rPr>
        <w:t>Kết quả giải quyết bồi thường:</w:t>
      </w:r>
      <w:r>
        <w:rPr>
          <w:rFonts w:hint="default" w:ascii="Times New Roman" w:hAnsi="Times New Roman" w:cs="Times New Roman"/>
          <w:sz w:val="24"/>
          <w:szCs w:val="24"/>
          <w:lang w:val="vi-VN"/>
        </w:rPr>
        <w:t xml:space="preserve"> Doanh nghiệp bảo hiểm từ chối yêu cầu bồi thường của sinh viên Trần Thị B vì bệnh viêm xoang mãn tính này đã khởi phát và được chẩn đoán từ trước ngày hợp đồng bảo hiểm bắt đầu có hiệu lực. Theo quy định tại mục các điều khoản loại trừ của gói "UEH Care", đây là bệnh có sẵn phát sinh trong năm hợp đồng đầu tiên nên không thuộc phạm vi được chi trả bồi thường.</w:t>
      </w:r>
    </w:p>
    <w:p>
      <w:pPr>
        <w:pStyle w:val="24"/>
        <w:numPr>
          <w:ilvl w:val="1"/>
          <w:numId w:val="2"/>
        </w:numPr>
        <w:spacing w:line="360" w:lineRule="auto"/>
        <w:ind w:leftChars="0" w:firstLineChars="0"/>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Phân tích tính cải tiến và lý do lựa chọn điều chỉnh so với sản phẩm tham chiếu</w:t>
      </w:r>
    </w:p>
    <w:p>
      <w:pPr>
        <w:spacing w:line="360" w:lineRule="auto"/>
        <w:ind w:left="-3" w:firstLine="422"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Khi đặt cạnh sản phẩm tham chiếu Bảo Việt An Gia, sản phẩm đề xuất "UEH Care" thể hiện những điều chỉnh rõ rệt về cấu trúc nghiệp vụ nhằm giải quyết trực tiếp những vấn đề mà sinh viên UEH thực sự gặp phải: </w:t>
      </w:r>
    </w:p>
    <w:p>
      <w:pPr>
        <w:spacing w:line="360" w:lineRule="auto"/>
        <w:ind w:left="0" w:leftChars="0" w:firstLine="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Thứ nhất, sản phẩm đã tái cấu trúc gói quyền lợi để kéo giảm gần 74% chi phí bảo hiểm hàng năm cho sinh viên. Ở sản phẩm tham chiếu Bảo Việt An Gia, việc bao gồm nhiều dịch vụ điều trị cao cấp tại các bệnh viện quốc tế và tách riêng quyền lợi ngoại trú khiến tổng mức phí đóng trọn gói cả nội trú và ngoại trú lên tới 3.231.000 đồng/năm đối với chương trình Đồng và 4.156.000 đồng/năm đối với chương trình Bạc (Tổng công ty Bảo hiểm Bảo Việt, 2024), vượt quá khả năng tài chính của sinh viên. Sản phẩm 'UEH Care' khắc phục điểm này bằng cách cắt bỏ các hạn mức dịch vụ xa xỉ không cần thiết đối với người trẻ, đồng thời gộp chung cả ba trụ cột thiết yếu nhất là bảo hiểm tai nạn, điều trị nội trú cơ bản và khám ngoại trú vào cùng một gói duy nhất với mức phí chỉ 850.000 đồng/năm. </w:t>
      </w:r>
    </w:p>
    <w:p>
      <w:pPr>
        <w:spacing w:line="360" w:lineRule="auto"/>
        <w:ind w:left="0" w:leftChars="0" w:firstLine="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Thứ hai, sản phẩm nâng cấp quyền lợi trợ cấp nằm viện công lập và bổ sung cơ chế đóng phí theo học kỳ phù hợp với dòng tiền của sinh viên. Thay vì chỉ hỗ trợ trợ cấp theo từng ngày nằm viện ở mức rất thấp (80.000 – 120.000 đồng/ngày) và bắt buộc đóng đủ phí một lần vào đầu năm như sản phẩm tham chiếu (Tổng công ty Bảo hiểm Bảo Việt, 2024), 'UEH Care' nâng mức hỗ trợ thành khoản trợ cấp trọn gói 2.000.000 đồng/sự kiện khi sinh viên nằm viện công lập từ 3 ngày trở lên. Nhận thấy nhiều sinh viên UEH đi làm thêm bán thời gian sẽ bị mất thu nhập nếu phải nằm viện dài ngày, khoản trợ cấp 2.000.000 đồng/sự kiện này vừa hỗ trợ thiết thực cho túi tiền của người học, vừa định hướng sinh viên ưu tiên điều trị nội trú tại các bệnh viện công lập uy tín để kiểm soát tốt chi phí chung của quỹ bảo hiểm. Cùng với đó, phương thức chia nhỏ mức phí thành 2 đợt đóng theo học kỳ (450.000 đồng/kỳ) giúp việc tham gia bảo hiểm khớp hoàn toàn với chu kỳ đóng học phí tại UEH.</w:t>
      </w:r>
    </w:p>
    <w:p>
      <w:pPr>
        <w:spacing w:line="360" w:lineRule="auto"/>
        <w:ind w:left="-3" w:firstLine="422"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Thứ ba, sản phẩm thay đổi phương thức định danh khách hàng theo hướng gắn liền với hệ thống quản lý của nhà trường. Thay vì phát hành hợp đồng rời rạc và cấp thẻ bảo hiểm cứng truyền thống dễ thất lạc như sản phẩm tham chiếu, "UEH Care" tích hợp định danh người được bảo hiểm trực tiếp qua mã số sinh viên UEH. Cải tiến này vừa giúp doanh nghiệp bảo hiểm xác thực chính xác đối tượng sinh viên của trường để áp dụng mức phí ưu đãi, vừa tạo tiền đề kỹ thuật để triển khai quy trình đăng ký, quản lý hợp đồng và giải quyết bồi thường tự động qua ứng dụng công nghệ số của nhà trường. </w:t>
      </w:r>
    </w:p>
    <w:p>
      <w:pPr>
        <w:spacing w:line="360" w:lineRule="auto"/>
        <w:ind w:hanging="2"/>
        <w:rPr>
          <w:rFonts w:hint="default" w:ascii="Times New Roman" w:hAnsi="Times New Roman" w:cs="Times New Roman"/>
          <w:sz w:val="24"/>
          <w:szCs w:val="24"/>
          <w:lang w:val="vi-VN"/>
        </w:rPr>
      </w:pPr>
    </w:p>
    <w:p>
      <w:pPr>
        <w:spacing w:line="360" w:lineRule="auto"/>
        <w:ind w:hanging="2"/>
        <w:rPr>
          <w:rFonts w:hint="default" w:ascii="Times New Roman" w:hAnsi="Times New Roman" w:cs="Times New Roman"/>
          <w:b/>
          <w:bCs/>
          <w:sz w:val="24"/>
          <w:szCs w:val="24"/>
          <w:lang w:val="vi-VN"/>
        </w:rPr>
      </w:pPr>
      <w:r>
        <w:rPr>
          <w:rFonts w:hint="default" w:ascii="Times New Roman" w:hAnsi="Times New Roman" w:cs="Times New Roman"/>
          <w:b/>
          <w:bCs/>
          <w:sz w:val="24"/>
          <w:szCs w:val="24"/>
        </w:rPr>
        <w:t>PHẦN 3: ỨNG DỤNG FINTECH/INSURTECH TRONG VẬN HÀNH SẢN PHẨM</w:t>
      </w:r>
    </w:p>
    <w:p>
      <w:pPr>
        <w:spacing w:line="360" w:lineRule="auto"/>
        <w:ind w:hanging="2"/>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3.1. Đề xuất giải pháp công nghệ: Tích hợp "UEH Care InsurTech Module" vào hệ sinh thái số của trường</w:t>
      </w:r>
    </w:p>
    <w:p>
      <w:pPr>
        <w:spacing w:line="360" w:lineRule="auto"/>
        <w:ind w:left="-3" w:firstLine="723"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Sự phát triển của công nghệ tài chính (FinTech) và công nghệ bảo hiểm (InsurTech) đã làm thay đổi căn bản cách thức cung cấp cũng như vận hành các sản phẩm dịch vụ tài chính cá nhân. Đối với nhóm khách hàng sinh viên tại Đại học Kinh tế Thành phố Hồ Chí Minh (UEH) vốn là cộng đồng người học trẻ có mức độ tiếp cận và sử dụng công nghệ số rất cao, việc duy trì các quy trình bảo hiểm truyền thống bằng hồ sơ giấy thủ công sẽ gây ra nhiều bất tiện, tốn kém thời gian và làm giảm khả năng tiếp cận của sản phẩm. </w:t>
      </w:r>
    </w:p>
    <w:p>
      <w:pPr>
        <w:spacing w:line="360" w:lineRule="auto"/>
        <w:ind w:left="-3" w:firstLine="723"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Để khắc phục hạn chế về mặt thủ tục đã chỉ ra ở Phần 1 và hỗ trợ vận hành hiệu quả gói bảo hiểm mức phí thấp 850.000 đồng/năm đã thiết kế ở Phần 2, bài viết đề xuất giải pháp tích hợp trực tiếp phân hệ bảo hiểm số "UEH Care InsurTech Module" vào ứng dụng quản lý sinh viên hiện có của nhà trường là UEH Student App và Cổng thông tin đào tạo trực tuyến. Giải pháp này giúp số hóa đồng bộ toàn bộ quy trình từ khâu đăng ký tham gia, thanh toán phí, quản lý hợp đồng cho đến khâu giải quyết quyền lợi bồi thường bảo hiểm ngay trên thiết bị di động của sinh viên. </w:t>
      </w:r>
    </w:p>
    <w:p>
      <w:pPr>
        <w:spacing w:line="360" w:lineRule="auto"/>
        <w:ind w:hanging="2"/>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3.2. Cơ chế hoạt động của quy trình InsurTech số hóa</w:t>
      </w:r>
    </w:p>
    <w:p>
      <w:pPr>
        <w:spacing w:line="360" w:lineRule="auto"/>
        <w:ind w:left="-3" w:firstLine="723"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Việc ứng dụng công nghệ số vào vận hành sản phẩm "UEH Care" được triển khai thông qua ba khâu nghiệp vụ trọng tâm, giúp loại bỏ các điểm nghẽn hành chính thường gặp trong bảo hiểm truyền thống: </w:t>
      </w:r>
    </w:p>
    <w:p>
      <w:pPr>
        <w:spacing w:line="360" w:lineRule="auto"/>
        <w:ind w:leftChars="0" w:firstLine="721"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Đăng ký và thanh toán tích hợp trực tuyến: Sinh viên tham gia bảo hiểm không cần phải làm việc qua đại lý trung gian hay điền và ký kết các bản hợp đồng giấy phức tạp. Khi sinh viên đăng nhập vào ứng dụng UEH Student App để đăng ký gói "UEH Care", toàn bộ thông tin định danh cá nhân cơ bản như mã số sinh viên, họ và tên, khoa đào tạo và ngày sinh sẽ được đồng bộ hóa tự động từ cơ sở dữ liệu đào tạo của UEH. Ở bước đóng phí, hệ thống được liên kết trực tiếp với các cổng thanh toán điện tử và các ví điện tử phổ biến hiện nay như MoMo, ZaloPay, VNPay hoặc tích hợp ngay vào đợt thu học phí định kỳ của nhà trường. Cách thức vận hành này giúp thực hiện thuận lợi phương án chia nhỏ phí bảo hiểm thành 2 kỳ đóng tương ứng với hai học kỳ chính khóa (450.000 đồng/học kỳ), từ đó giải quyết trực tiếp áp lực tài chính ngắn hạn cho sinh viên. </w:t>
      </w:r>
    </w:p>
    <w:p>
      <w:pPr>
        <w:spacing w:line="360" w:lineRule="auto"/>
        <w:ind w:leftChars="0" w:firstLine="721"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Quản lý hợp đồng và định danh bằng thẻ điện tử (eCard): Ngay sau khi sinh viên hoàn tất thanh toán phí bảo hiểm trên ứng dụng, hệ thống sẽ tự động phát hành hợp đồng bảo hiểm điện tử kèm theo mã QR định danh cá nhân gắn liền với thẻ sinh viên số trên UEH Student App. Thẻ bảo hiểm điện tử eCard này có giá trị pháp lý tương đương với thẻ bảo hiểm vật lý truyền thống, cho phép sinh viên xuất trình trực tiếp trên điện thoại thông minh để làm thủ tục bảo lãnh viện phí nhanh chóng khi đi khám chữa bệnh tại các cơ sở y tế liên kết. Sinh viên cũng có thể tự tra cứu thời hạn hợp đồng, phạm vi bảo hiểm và hạn mức quyền lợi còn lại ngay trên ứng dụng bất cứ lúc nào. </w:t>
      </w:r>
    </w:p>
    <w:p>
      <w:pPr>
        <w:spacing w:line="360" w:lineRule="auto"/>
        <w:ind w:leftChars="0" w:firstLine="721"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Quy trình giải quyết bồi thường tự động (eClaim) thông qua công nghệ nhận dạng ký tự quang học (OCR) và trí tuệ nhân tạo (AI): Đây là cải tiến công nghệ cốt lõi giúp rút ngắn thời gian giải quyết quyền lợi cho sinh viên và giảm chi phí vận hành cho doanh nghiệp bảo hiểm. Khi phát sinh sự kiện bảo hiểm như khám chữa bệnh ngoại trú hoặc điều trị tai nạn nhỏ mà sinh viên tự thanh toán trước tại cơ sở y tế, sinh viên không cần gửi hồ sơ giấy về công ty bảo hiểm mà chỉ cần chụp ảnh các chứng từ y tế gồm hóa đơn tài chính hợp lệ, toa thuốc của bác sĩ và giấy ra viện hoặc phiếu khám bệnh để tải trực tiếp lên giao diện ứng dụng. </w:t>
      </w:r>
    </w:p>
    <w:p>
      <w:pPr>
        <w:spacing w:line="360" w:lineRule="auto"/>
        <w:ind w:hanging="2"/>
        <w:rPr>
          <w:rFonts w:hint="default" w:ascii="Times New Roman" w:hAnsi="Times New Roman" w:cs="Times New Roman"/>
          <w:sz w:val="24"/>
          <w:szCs w:val="24"/>
          <w:lang w:val="vi-VN"/>
        </w:rPr>
      </w:pPr>
    </w:p>
    <w:p>
      <w:pPr>
        <w:spacing w:line="360" w:lineRule="auto"/>
        <w:ind w:hanging="2"/>
        <w:rPr>
          <w:rFonts w:hint="default" w:ascii="Times New Roman" w:hAnsi="Times New Roman" w:cs="Times New Roman"/>
          <w:sz w:val="24"/>
          <w:szCs w:val="24"/>
          <w:lang w:val="vi-VN"/>
        </w:rPr>
      </w:pPr>
      <w:r>
        <w:rPr>
          <w:rFonts w:hint="default" w:ascii="Times New Roman" w:hAnsi="Times New Roman" w:cs="Times New Roman"/>
          <w:sz w:val="24"/>
          <w:szCs w:val="24"/>
          <w:lang w:val="vi-VN"/>
        </w:rPr>
        <w:drawing>
          <wp:inline distT="0" distB="0" distL="0" distR="0">
            <wp:extent cx="4444365" cy="1561465"/>
            <wp:effectExtent l="19050" t="0" r="13335" b="19685"/>
            <wp:docPr id="122169921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pPr>
        <w:spacing w:line="360" w:lineRule="auto"/>
        <w:ind w:hanging="2"/>
        <w:rPr>
          <w:rFonts w:hint="default" w:ascii="Times New Roman" w:hAnsi="Times New Roman" w:cs="Times New Roman"/>
          <w:sz w:val="24"/>
          <w:szCs w:val="24"/>
          <w:lang w:val="vi-VN"/>
        </w:rPr>
      </w:pPr>
    </w:p>
    <w:p>
      <w:pPr>
        <w:spacing w:line="360" w:lineRule="auto"/>
        <w:ind w:hanging="2"/>
        <w:rPr>
          <w:rFonts w:hint="default" w:ascii="Times New Roman" w:hAnsi="Times New Roman" w:cs="Times New Roman"/>
          <w:sz w:val="24"/>
          <w:szCs w:val="24"/>
          <w:lang w:val="vi-VN"/>
        </w:rPr>
      </w:pPr>
      <w:r>
        <w:rPr>
          <w:rFonts w:hint="default" w:ascii="Times New Roman" w:hAnsi="Times New Roman" w:cs="Times New Roman"/>
          <w:sz w:val="24"/>
          <w:szCs w:val="24"/>
          <w:lang w:val="vi-VN"/>
        </w:rPr>
        <w:t>Sau khi sinh viên chụp ảnh gửi chứng từ qua ứng dụng, công nghệ OCR kết hợp trí tuệ nhân tạo (AI) sẽ tự động bóc tách các dữ liệu y tế trọng yếu (tên cơ sở y tế, mã số thuế, mã tra cứu hóa đơn điện tử, chẩn đoán bệnh và chi phí thực tế). Hệ thống tự động đối chiếu mã hóa đơn với Cổng Tổng cục Thuế để xác thực tính duy nhất và chống nộp trùng chứng từ, đồng thời so chiếu với quy tắc loại trừ và thời gian chờ của 'UEH Care'. Đối với hồ sơ hợp lệ có số tiền dưới 2.000.000 đồng (như chi phí khám ngoại trú thông thường), hệ thống tiến hành phê duyệt và giải ngân tự động vào tài khoản ngân hàng của sinh viên trong vòng 24 giờ.</w:t>
      </w:r>
    </w:p>
    <w:p>
      <w:pPr>
        <w:spacing w:line="360" w:lineRule="auto"/>
        <w:ind w:hanging="2"/>
        <w:rPr>
          <w:rFonts w:hint="default" w:ascii="Times New Roman" w:hAnsi="Times New Roman" w:cs="Times New Roman"/>
          <w:sz w:val="24"/>
          <w:szCs w:val="24"/>
          <w:lang w:val="vi-VN"/>
        </w:rPr>
      </w:pPr>
      <w:r>
        <w:rPr>
          <w:rFonts w:hint="default" w:ascii="Times New Roman" w:hAnsi="Times New Roman" w:cs="Times New Roman"/>
          <w:sz w:val="24"/>
          <w:szCs w:val="24"/>
          <w:lang w:val="vi-VN"/>
        </w:rPr>
        <w:t>3.3. Đánh giá lợi ích kinh tế và vận hành</w:t>
      </w:r>
    </w:p>
    <w:p>
      <w:pPr>
        <w:spacing w:line="360" w:lineRule="auto"/>
        <w:ind w:left="-3" w:firstLine="723"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Việc đưa ứng dụng FinTech và InsurTech vào quy trình vận hành sản phẩm "UEH Care" mang lại những lợi ích thiết thực cho cả sinh viên UEH lẫn doanh nghiệp bảo hiểm: </w:t>
      </w:r>
    </w:p>
    <w:p>
      <w:pPr>
        <w:spacing w:line="360" w:lineRule="auto"/>
        <w:ind w:leftChars="0" w:firstLine="721"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Lợi ích đối với sinh viên UEH: Giải pháp số hóa trên ứng dụng di động giúp sinh viên tiết kiệm tối đa thời gian và công sức đi lại để làm thủ tục hành chính, đồng thời xóa bỏ nỗi lo thất lạc hóa đơn tài chính hay chứng từ y tế bản gốc. Việc nộp hồ sơ trực tuyến đơn giản và nhận tiền bồi thường nhanh chóng trong vòng 24 giờ qua tài khoản ngân hàng giúp sinh viên kịp thời có lại nguồn tiền mặt để trang trải sinh hoạt phí ngay tại thời điểm gặp rủi ro về sức khỏe. Sự minh bạch và thuận tiện này giúp xóa bỏ tâm lý ngại làm thủ tục đòi bồi thường đối với các khoản khám bệnh thông thường và nâng cao sự tin tưởng của sinh viên đối với dịch vụ bảo hiểm. </w:t>
      </w:r>
    </w:p>
    <w:p>
      <w:pPr>
        <w:spacing w:line="360" w:lineRule="auto"/>
        <w:ind w:leftChars="0" w:firstLine="721"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Lợi ích đối với doanh nghiệp bảo hiểm: Việc tự động hóa quy trình tiếp nhận và xét duyệt hồ sơ bằng công nghệ OCR và AI giúp doanh nghiệp cắt giảm đáng kể chi phí nhân sự cho khâu nhập liệu và thẩm định hồ sơ giấy thủ công, qua đó tối ưu hóa tỷ lệ chi phí hoạt động để duy trì hiệu quả kinh doanh ngay cả với mức phí bảo hiểm thấp 850.000 đồng/năm. Bên cạnh đó, việc đồng bộ và xác thực danh tính người mua bảo hiểm trực tiếp thông qua hệ thống cơ sở dữ liệu sinh viên của nhà trường giúp doanh nghiệp kiểm soát chặt chẽ rủi ro gian lận và trục lợi bảo hiểm. Hơn nữa, kênh phân phối tích hợp ngay trên nền tảng số của trường đại học còn giúp doanh nghiệp bảo hiểm tiếp cận trực tiếp với hàng chục nghìn khách hàng sinh viên tiềm năng trong hệ sinh thái giáo dục mà chỉ tốn chi phí khai thác khách hàng thấp nhất.</w:t>
      </w:r>
    </w:p>
    <w:p>
      <w:pPr>
        <w:spacing w:line="360" w:lineRule="auto"/>
        <w:ind w:hanging="2"/>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KẾT LUẬN</w:t>
      </w:r>
    </w:p>
    <w:p>
      <w:pPr>
        <w:suppressAutoHyphens w:val="0"/>
        <w:spacing w:line="360" w:lineRule="auto"/>
        <w:ind w:left="0" w:leftChars="0" w:firstLine="720" w:firstLineChars="0"/>
        <w:textAlignment w:val="auto"/>
        <w:outlineLvl w:val="9"/>
        <w:rPr>
          <w:rFonts w:hint="default" w:ascii="Times New Roman" w:hAnsi="Times New Roman" w:cs="Times New Roman"/>
          <w:sz w:val="24"/>
          <w:szCs w:val="24"/>
          <w:lang w:val="vi-VN"/>
        </w:rPr>
      </w:pPr>
      <w:r>
        <w:rPr>
          <w:rFonts w:hint="default" w:ascii="Times New Roman" w:hAnsi="Times New Roman" w:cs="Times New Roman"/>
          <w:sz w:val="24"/>
          <w:szCs w:val="24"/>
          <w:lang w:val="vi-VN"/>
        </w:rPr>
        <w:t>Bài tiểu luận đã hoàn thành mục tiêu thiết kế gói bảo hiểm 'UEH Care' cho sinh viên UEH thông qua việc tinh giản sản phẩm tham chiếu Bảo Việt An Gia sát với nhu cầu và khả năng tài chính thực tế. Bằng cách tập trung vào bốn quyền lợi thiết yếu gồm y tế tai nạn, điều trị nội trú phổ thông, khám ngoại trú và trợ cấp nằm viện công lập, sản phẩm giải quyết hiệu quả áp lực chi phí y tế nhờ mức phí hợp lý cùng phương thức đóng linh hoạt theo từng học kỳ.</w:t>
      </w:r>
    </w:p>
    <w:p>
      <w:pPr>
        <w:suppressAutoHyphens w:val="0"/>
        <w:spacing w:line="360" w:lineRule="auto"/>
        <w:ind w:left="0" w:leftChars="0" w:firstLine="0" w:firstLineChars="0"/>
        <w:textAlignment w:val="auto"/>
        <w:outlineLvl w:val="9"/>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lang w:val="vi-VN"/>
        </w:rPr>
        <w:tab/>
        <w:t>Đặc biệt, giải pháp tích hợp phân hệ số vào ứng dụng UEH Student App với thẻ e-Card và quy trình bồi thường tự động e-Claim qua OCR và AI là yếu tố then chốt khẳng định tính khả thi trong vận hành. Đề án không chỉ cung cấp lá chắn an sinh y tế sát sườn cho người học tại đô thị lớn mà còn mở ra hướng đi bền vững cho mô hình bảo hiểm nhóm học đường hiện đại.</w:t>
      </w:r>
    </w:p>
    <w:p>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pPr>
        <w:spacing w:line="360" w:lineRule="auto"/>
        <w:ind w:left="0" w:leftChars="0" w:firstLine="0" w:firstLineChars="0"/>
        <w:rPr>
          <w:b/>
          <w:bCs/>
          <w:sz w:val="24"/>
          <w:szCs w:val="24"/>
        </w:rPr>
      </w:pPr>
      <w:r>
        <w:rPr>
          <w:b/>
          <w:bCs/>
          <w:sz w:val="24"/>
          <w:szCs w:val="24"/>
        </w:rPr>
        <w:t>TÀI LIỆU THAM KHẢO</w:t>
      </w:r>
    </w:p>
    <w:p>
      <w:pPr>
        <w:numPr>
          <w:ilvl w:val="0"/>
          <w:numId w:val="4"/>
        </w:numPr>
        <w:spacing w:line="360" w:lineRule="auto"/>
        <w:ind w:left="-1" w:hanging="2"/>
        <w:rPr>
          <w:sz w:val="24"/>
          <w:szCs w:val="24"/>
        </w:rPr>
      </w:pPr>
      <w:r>
        <w:rPr>
          <w:sz w:val="24"/>
          <w:szCs w:val="24"/>
        </w:rPr>
        <w:t xml:space="preserve">Bộ Tài chính – Cục Quản lý, Giám sát bảo hiểm. (2025). </w:t>
      </w:r>
      <w:r>
        <w:rPr>
          <w:i/>
          <w:iCs/>
          <w:sz w:val="24"/>
          <w:szCs w:val="24"/>
        </w:rPr>
        <w:t>Báo cáo thị trường bảo hiểm Việt Nam năm tài chính gần nhất</w:t>
      </w:r>
      <w:r>
        <w:rPr>
          <w:sz w:val="24"/>
          <w:szCs w:val="24"/>
        </w:rPr>
        <w:t xml:space="preserve">. Nhà xuất bản Tài chính. </w:t>
      </w:r>
    </w:p>
    <w:p>
      <w:pPr>
        <w:numPr>
          <w:ilvl w:val="0"/>
          <w:numId w:val="4"/>
        </w:numPr>
        <w:spacing w:line="360" w:lineRule="auto"/>
        <w:ind w:left="-1" w:hanging="2"/>
        <w:rPr>
          <w:sz w:val="24"/>
          <w:szCs w:val="24"/>
        </w:rPr>
      </w:pPr>
      <w:r>
        <w:rPr>
          <w:sz w:val="24"/>
          <w:szCs w:val="24"/>
        </w:rPr>
        <w:t xml:space="preserve">Chính phủ. (2018). </w:t>
      </w:r>
      <w:r>
        <w:rPr>
          <w:i/>
          <w:iCs/>
          <w:sz w:val="24"/>
          <w:szCs w:val="24"/>
        </w:rPr>
        <w:t>Nghị định số 146/2018/NĐ-CP ngày 17 tháng 10 năm 2018 quy định chi tiết và hướng dẫn biện pháp thi hành một số điều của Luật Bảo hiểm y tế</w:t>
      </w:r>
      <w:r>
        <w:rPr>
          <w:sz w:val="24"/>
          <w:szCs w:val="24"/>
        </w:rPr>
        <w:t xml:space="preserve">. Hà Nội. </w:t>
      </w:r>
    </w:p>
    <w:p>
      <w:pPr>
        <w:numPr>
          <w:ilvl w:val="0"/>
          <w:numId w:val="4"/>
        </w:numPr>
        <w:spacing w:line="360" w:lineRule="auto"/>
        <w:ind w:left="-1" w:hanging="2"/>
        <w:rPr>
          <w:sz w:val="24"/>
          <w:szCs w:val="24"/>
        </w:rPr>
      </w:pPr>
      <w:r>
        <w:rPr>
          <w:sz w:val="24"/>
          <w:szCs w:val="24"/>
        </w:rPr>
        <w:t xml:space="preserve">Chính phủ. (2020). </w:t>
      </w:r>
      <w:r>
        <w:rPr>
          <w:i/>
          <w:iCs/>
          <w:sz w:val="24"/>
          <w:szCs w:val="24"/>
        </w:rPr>
        <w:t>Nghị định số 116/2020/NĐ-CP ngày 25 tháng 9 năm 2020 quy định về chính sách hỗ trợ tiền đóng học phí, chi phí sinh hoạt đối với sinh viên sư phạm</w:t>
      </w:r>
      <w:r>
        <w:rPr>
          <w:sz w:val="24"/>
          <w:szCs w:val="24"/>
        </w:rPr>
        <w:t xml:space="preserve">. Hà Nội. </w:t>
      </w:r>
    </w:p>
    <w:p>
      <w:pPr>
        <w:numPr>
          <w:ilvl w:val="0"/>
          <w:numId w:val="4"/>
        </w:numPr>
        <w:spacing w:line="360" w:lineRule="auto"/>
        <w:ind w:left="-1" w:hanging="2"/>
        <w:rPr>
          <w:sz w:val="24"/>
          <w:szCs w:val="24"/>
        </w:rPr>
      </w:pPr>
      <w:r>
        <w:rPr>
          <w:sz w:val="24"/>
          <w:szCs w:val="24"/>
        </w:rPr>
        <w:t xml:space="preserve">Chính phủ. (2023a). </w:t>
      </w:r>
      <w:r>
        <w:rPr>
          <w:i/>
          <w:iCs/>
          <w:sz w:val="24"/>
          <w:szCs w:val="24"/>
        </w:rPr>
        <w:t>Nghị định số 13/2023/NĐ-CP ngày 17 tháng 4 năm 2023 về bảo vệ dữ liệu cá nhân</w:t>
      </w:r>
      <w:r>
        <w:rPr>
          <w:sz w:val="24"/>
          <w:szCs w:val="24"/>
        </w:rPr>
        <w:t xml:space="preserve">. Hà Nội. </w:t>
      </w:r>
    </w:p>
    <w:p>
      <w:pPr>
        <w:numPr>
          <w:ilvl w:val="0"/>
          <w:numId w:val="4"/>
        </w:numPr>
        <w:spacing w:line="360" w:lineRule="auto"/>
        <w:ind w:left="-1" w:hanging="2"/>
        <w:rPr>
          <w:sz w:val="24"/>
          <w:szCs w:val="24"/>
        </w:rPr>
      </w:pPr>
      <w:r>
        <w:rPr>
          <w:sz w:val="24"/>
          <w:szCs w:val="24"/>
        </w:rPr>
        <w:t xml:space="preserve">Chính phủ. (2023b). </w:t>
      </w:r>
      <w:r>
        <w:rPr>
          <w:i/>
          <w:iCs/>
          <w:sz w:val="24"/>
          <w:szCs w:val="24"/>
        </w:rPr>
        <w:t>Nghị định số 46/2023/NĐ-CP ngày 01 tháng 7 năm 2023 quy định chi tiết thi hành một số điều của Luật Kinh doanh bảo hiểm</w:t>
      </w:r>
      <w:r>
        <w:rPr>
          <w:sz w:val="24"/>
          <w:szCs w:val="24"/>
        </w:rPr>
        <w:t xml:space="preserve">. Hà Nội. </w:t>
      </w:r>
    </w:p>
    <w:p>
      <w:pPr>
        <w:numPr>
          <w:ilvl w:val="0"/>
          <w:numId w:val="4"/>
        </w:numPr>
        <w:spacing w:line="360" w:lineRule="auto"/>
        <w:ind w:left="-1" w:hanging="2"/>
        <w:rPr>
          <w:sz w:val="24"/>
          <w:szCs w:val="24"/>
        </w:rPr>
      </w:pPr>
      <w:r>
        <w:rPr>
          <w:sz w:val="24"/>
          <w:szCs w:val="24"/>
        </w:rPr>
        <w:t xml:space="preserve">Đại học Kinh tế Thành phố Hồ Chí Minh (UEH). (2025). </w:t>
      </w:r>
      <w:r>
        <w:rPr>
          <w:i/>
          <w:iCs/>
          <w:sz w:val="24"/>
          <w:szCs w:val="24"/>
        </w:rPr>
        <w:t>Sổ tay sinh viên và Quy định công tác người học tại Đại học Kinh tế TP. Hồ Chí Minh</w:t>
      </w:r>
      <w:r>
        <w:rPr>
          <w:sz w:val="24"/>
          <w:szCs w:val="24"/>
        </w:rPr>
        <w:t xml:space="preserve">. TP. Hồ Chí Minh: Ban Chăm sóc và Hỗ trợ người học (DSA). </w:t>
      </w:r>
    </w:p>
    <w:p>
      <w:pPr>
        <w:numPr>
          <w:ilvl w:val="0"/>
          <w:numId w:val="4"/>
        </w:numPr>
        <w:spacing w:line="360" w:lineRule="auto"/>
        <w:ind w:left="-1" w:hanging="2"/>
        <w:rPr>
          <w:sz w:val="24"/>
          <w:szCs w:val="24"/>
        </w:rPr>
      </w:pPr>
      <w:r>
        <w:rPr>
          <w:sz w:val="24"/>
          <w:szCs w:val="24"/>
        </w:rPr>
        <w:t xml:space="preserve">Quốc hội. (2022). </w:t>
      </w:r>
      <w:r>
        <w:rPr>
          <w:i/>
          <w:iCs/>
          <w:sz w:val="24"/>
          <w:szCs w:val="24"/>
        </w:rPr>
        <w:t>Luật Kinh doanh bảo hiểm số 08/2022/QH15 ngày 16 tháng 6 năm 2022</w:t>
      </w:r>
      <w:r>
        <w:rPr>
          <w:sz w:val="24"/>
          <w:szCs w:val="24"/>
        </w:rPr>
        <w:t xml:space="preserve">. Hà Nội. </w:t>
      </w:r>
    </w:p>
    <w:p>
      <w:pPr>
        <w:pStyle w:val="24"/>
        <w:numPr>
          <w:ilvl w:val="0"/>
          <w:numId w:val="4"/>
        </w:numPr>
        <w:spacing w:line="360" w:lineRule="auto"/>
        <w:ind w:leftChars="0" w:firstLineChars="0"/>
        <w:rPr>
          <w:sz w:val="24"/>
          <w:szCs w:val="24"/>
        </w:rPr>
      </w:pPr>
      <w:r>
        <w:rPr>
          <w:sz w:val="24"/>
          <w:szCs w:val="24"/>
        </w:rPr>
        <w:t xml:space="preserve">PGS.TS. Tạ Văn Lợi (Chủ biên), </w:t>
      </w:r>
      <w:r>
        <w:rPr>
          <w:i/>
          <w:iCs/>
          <w:sz w:val="24"/>
          <w:szCs w:val="24"/>
        </w:rPr>
        <w:t>Giáo trình Bảo hiểm thương mại</w:t>
      </w:r>
      <w:r>
        <w:rPr>
          <w:sz w:val="24"/>
          <w:szCs w:val="24"/>
        </w:rPr>
        <w:t>, NXB Đại học Kinh tế Quốc dân (2023).</w:t>
      </w:r>
    </w:p>
    <w:p>
      <w:pPr>
        <w:pStyle w:val="24"/>
        <w:numPr>
          <w:ilvl w:val="0"/>
          <w:numId w:val="4"/>
        </w:numPr>
        <w:spacing w:line="360" w:lineRule="auto"/>
        <w:ind w:leftChars="0" w:firstLineChars="0"/>
        <w:rPr>
          <w:sz w:val="24"/>
          <w:szCs w:val="24"/>
        </w:rPr>
      </w:pPr>
      <w:r>
        <w:rPr>
          <w:sz w:val="24"/>
          <w:szCs w:val="24"/>
        </w:rPr>
        <w:t xml:space="preserve">Tổng công ty Bảo hiểm Bảo Việt. (2024). </w:t>
      </w:r>
      <w:r>
        <w:rPr>
          <w:i/>
          <w:iCs/>
          <w:sz w:val="24"/>
          <w:szCs w:val="24"/>
        </w:rPr>
        <w:t>Quy tắc, Bảng quyền lợi và Biểu phí Bảo hiểm sức khỏe Bảo Việt An Gia</w:t>
      </w:r>
      <w:r>
        <w:rPr>
          <w:sz w:val="24"/>
          <w:szCs w:val="24"/>
        </w:rPr>
        <w:t xml:space="preserve">. Hệ thống dịch vụ trực tuyến Tổng công ty Bảo hiểm Bảo Việt. Truy cập tại: </w:t>
      </w:r>
      <w:r>
        <w:rPr>
          <w:sz w:val="24"/>
          <w:szCs w:val="24"/>
        </w:rPr>
        <w:fldChar w:fldCharType="begin"/>
      </w:r>
      <w:r>
        <w:rPr>
          <w:sz w:val="24"/>
          <w:szCs w:val="24"/>
        </w:rPr>
        <w:instrText xml:space="preserve"> HYPERLINK "https://baovietonline.com.vn/" \t "_blank" </w:instrText>
      </w:r>
      <w:r>
        <w:rPr>
          <w:sz w:val="24"/>
          <w:szCs w:val="24"/>
        </w:rPr>
        <w:fldChar w:fldCharType="separate"/>
      </w:r>
      <w:r>
        <w:rPr>
          <w:rStyle w:val="15"/>
          <w:sz w:val="24"/>
          <w:szCs w:val="24"/>
        </w:rPr>
        <w:t>https://baovietonline.com.vn</w:t>
      </w:r>
      <w:r>
        <w:rPr>
          <w:rStyle w:val="15"/>
          <w:sz w:val="24"/>
          <w:szCs w:val="24"/>
        </w:rPr>
        <w:fldChar w:fldCharType="end"/>
      </w:r>
    </w:p>
    <w:p>
      <w:pPr>
        <w:numPr>
          <w:ilvl w:val="0"/>
          <w:numId w:val="4"/>
        </w:numPr>
        <w:spacing w:line="360" w:lineRule="auto"/>
        <w:ind w:left="-1" w:hanging="2"/>
        <w:rPr>
          <w:sz w:val="24"/>
          <w:szCs w:val="24"/>
        </w:rPr>
      </w:pPr>
      <w:r>
        <w:rPr>
          <w:sz w:val="24"/>
          <w:szCs w:val="24"/>
        </w:rPr>
        <w:t xml:space="preserve">Trung tâm Hỗ trợ Học sinh, Sinh viên TP. Hồ Chí Minh (SAC). (2024). </w:t>
      </w:r>
      <w:r>
        <w:rPr>
          <w:i/>
          <w:iCs/>
          <w:sz w:val="24"/>
          <w:szCs w:val="24"/>
        </w:rPr>
        <w:t>Báo cáo khảo sát đời sống, việc làm và chi phí sinh hoạt của sinh viên tại các trường đại học, cao đẳng trên địa bàn TP. Hồ Chí Minh</w:t>
      </w:r>
      <w:r>
        <w:rPr>
          <w:sz w:val="24"/>
          <w:szCs w:val="24"/>
        </w:rPr>
        <w:t xml:space="preserve">. Thành Đoàn TP. Hồ Chí Minh. </w:t>
      </w:r>
    </w:p>
    <w:p>
      <w:pPr>
        <w:suppressAutoHyphens w:val="0"/>
        <w:spacing w:line="360" w:lineRule="auto"/>
        <w:ind w:left="0" w:leftChars="0" w:firstLineChars="0"/>
        <w:textAlignment w:val="auto"/>
        <w:outlineLvl w:val="9"/>
        <w:rPr>
          <w:sz w:val="24"/>
          <w:szCs w:val="24"/>
          <w:lang w:val="vi-VN"/>
        </w:rPr>
      </w:pPr>
      <w:r>
        <w:rPr>
          <w:sz w:val="24"/>
          <w:szCs w:val="24"/>
          <w:lang w:val="vi-VN"/>
        </w:rPr>
        <w:br w:type="page"/>
      </w:r>
    </w:p>
    <w:p>
      <w:pPr>
        <w:spacing w:line="360" w:lineRule="auto"/>
        <w:ind w:left="0" w:leftChars="0" w:firstLine="0" w:firstLineChars="0"/>
        <w:rPr>
          <w:sz w:val="24"/>
          <w:szCs w:val="24"/>
          <w:lang w:val="vi-VN"/>
        </w:rPr>
      </w:pPr>
    </w:p>
    <w:p>
      <w:pPr>
        <w:spacing w:line="360" w:lineRule="auto"/>
        <w:ind w:left="0" w:leftChars="0" w:firstLine="0" w:firstLineChars="0"/>
        <w:rPr>
          <w:b/>
          <w:bCs/>
          <w:sz w:val="24"/>
          <w:szCs w:val="24"/>
          <w:lang w:val="vi-VN"/>
        </w:rPr>
      </w:pPr>
      <w:r>
        <w:rPr>
          <w:b/>
          <w:bCs/>
          <w:sz w:val="24"/>
          <w:szCs w:val="24"/>
          <w:lang w:val="vi-VN"/>
        </w:rPr>
        <w:t>PHỤ LỤC</w:t>
      </w:r>
    </w:p>
    <w:p>
      <w:pPr>
        <w:spacing w:line="360" w:lineRule="auto"/>
        <w:ind w:left="0" w:leftChars="0" w:firstLine="0" w:firstLineChars="0"/>
        <w:rPr>
          <w:b/>
          <w:bCs/>
          <w:sz w:val="24"/>
          <w:szCs w:val="24"/>
          <w:lang w:val="vi-VN"/>
        </w:rPr>
      </w:pPr>
      <w:r>
        <w:rPr>
          <w:b/>
          <w:bCs/>
          <w:sz w:val="24"/>
          <w:szCs w:val="24"/>
          <w:lang w:val="vi-VN"/>
        </w:rPr>
        <w:t>Phụ lục 1: Cơ cấu chi phí sinh hoạt hàng tháng của sinh viên</w:t>
      </w:r>
    </w:p>
    <w:p>
      <w:pPr>
        <w:spacing w:line="360" w:lineRule="auto"/>
        <w:ind w:left="0" w:leftChars="0" w:firstLine="0" w:firstLineChars="0"/>
        <w:rPr>
          <w:sz w:val="24"/>
          <w:szCs w:val="24"/>
          <w:lang w:val="vi-VN"/>
        </w:rPr>
      </w:pPr>
      <w:r>
        <w:rPr>
          <w:i/>
          <w:iCs/>
          <w:sz w:val="24"/>
          <w:szCs w:val="24"/>
          <w:lang w:val="vi-VN"/>
        </w:rPr>
        <w:t>(Đơn vị tính: VNĐ/sinh viên/tháng; Tỷ trọng tính trên tổng ngân sách bình quân)</w:t>
      </w:r>
    </w:p>
    <w:tbl>
      <w:tblPr>
        <w:tblStyle w:val="18"/>
        <w:tblW w:w="10919" w:type="dxa"/>
        <w:tblInd w:w="-10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7" w:type="dxa"/>
          <w:left w:w="17" w:type="dxa"/>
          <w:bottom w:w="17" w:type="dxa"/>
          <w:right w:w="17" w:type="dxa"/>
        </w:tblCellMar>
      </w:tblPr>
      <w:tblGrid>
        <w:gridCol w:w="2192"/>
        <w:gridCol w:w="2302"/>
        <w:gridCol w:w="2149"/>
        <w:gridCol w:w="2662"/>
        <w:gridCol w:w="16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rPr>
          <w:tblHeader/>
        </w:trPr>
        <w:tc>
          <w:tcPr>
            <w:tcW w:w="2192" w:type="dxa"/>
            <w:shd w:val="clear" w:color="auto" w:fill="EBF1DE" w:themeFill="accent3" w:themeFillTint="32"/>
            <w:tcMar>
              <w:top w:w="120" w:type="dxa"/>
              <w:left w:w="180" w:type="dxa"/>
              <w:bottom w:w="120" w:type="dxa"/>
              <w:right w:w="180" w:type="dxa"/>
            </w:tcMar>
            <w:vAlign w:val="center"/>
          </w:tcPr>
          <w:p>
            <w:pPr>
              <w:spacing w:line="360" w:lineRule="auto"/>
              <w:ind w:left="0" w:leftChars="0" w:firstLine="0" w:firstLineChars="0"/>
              <w:jc w:val="center"/>
              <w:rPr>
                <w:sz w:val="24"/>
                <w:szCs w:val="24"/>
                <w:lang w:val="vi-VN"/>
              </w:rPr>
            </w:pPr>
            <w:r>
              <w:rPr>
                <w:b/>
                <w:bCs/>
                <w:sz w:val="24"/>
                <w:szCs w:val="24"/>
                <w:lang w:val="vi-VN"/>
              </w:rPr>
              <w:t>Danh mục chi tiêu sinh hoạt</w:t>
            </w:r>
          </w:p>
        </w:tc>
        <w:tc>
          <w:tcPr>
            <w:tcW w:w="2302" w:type="dxa"/>
            <w:shd w:val="clear" w:color="auto" w:fill="EBF1DE" w:themeFill="accent3" w:themeFillTint="32"/>
            <w:tcMar>
              <w:top w:w="120" w:type="dxa"/>
              <w:left w:w="180" w:type="dxa"/>
              <w:bottom w:w="120" w:type="dxa"/>
              <w:right w:w="180" w:type="dxa"/>
            </w:tcMar>
            <w:vAlign w:val="center"/>
          </w:tcPr>
          <w:p>
            <w:pPr>
              <w:spacing w:line="360" w:lineRule="auto"/>
              <w:ind w:left="0" w:leftChars="0" w:firstLine="0" w:firstLineChars="0"/>
              <w:jc w:val="center"/>
              <w:rPr>
                <w:sz w:val="24"/>
                <w:szCs w:val="24"/>
                <w:lang w:val="vi-VN"/>
              </w:rPr>
            </w:pPr>
            <w:r>
              <w:rPr>
                <w:b/>
                <w:bCs/>
                <w:sz w:val="24"/>
                <w:szCs w:val="24"/>
                <w:lang w:val="vi-VN"/>
              </w:rPr>
              <w:t>Định mức chuẩn toàn quốc(Nghị định 116/2020 &amp; VHLSS)</w:t>
            </w:r>
          </w:p>
        </w:tc>
        <w:tc>
          <w:tcPr>
            <w:tcW w:w="2149" w:type="dxa"/>
            <w:shd w:val="clear" w:color="auto" w:fill="EBF1DE" w:themeFill="accent3" w:themeFillTint="32"/>
            <w:tcMar>
              <w:top w:w="120" w:type="dxa"/>
              <w:left w:w="180" w:type="dxa"/>
              <w:bottom w:w="120" w:type="dxa"/>
              <w:right w:w="180" w:type="dxa"/>
            </w:tcMar>
            <w:vAlign w:val="center"/>
          </w:tcPr>
          <w:p>
            <w:pPr>
              <w:spacing w:line="360" w:lineRule="auto"/>
              <w:ind w:left="0" w:leftChars="0" w:firstLine="0" w:firstLineChars="0"/>
              <w:jc w:val="center"/>
              <w:rPr>
                <w:sz w:val="24"/>
                <w:szCs w:val="24"/>
                <w:lang w:val="vi-VN"/>
              </w:rPr>
            </w:pPr>
            <w:r>
              <w:rPr>
                <w:b/>
                <w:bCs/>
                <w:sz w:val="24"/>
                <w:szCs w:val="24"/>
                <w:lang w:val="vi-VN"/>
              </w:rPr>
              <w:t>Khảo sát thực tế sinh viên tại TP.HCM(SAC, 2024)</w:t>
            </w:r>
          </w:p>
        </w:tc>
        <w:tc>
          <w:tcPr>
            <w:tcW w:w="2662" w:type="dxa"/>
            <w:shd w:val="clear" w:color="auto" w:fill="EBF1DE" w:themeFill="accent3" w:themeFillTint="32"/>
            <w:tcMar>
              <w:top w:w="120" w:type="dxa"/>
              <w:left w:w="180" w:type="dxa"/>
              <w:bottom w:w="120" w:type="dxa"/>
              <w:right w:w="180" w:type="dxa"/>
            </w:tcMar>
            <w:vAlign w:val="center"/>
          </w:tcPr>
          <w:p>
            <w:pPr>
              <w:spacing w:line="360" w:lineRule="auto"/>
              <w:ind w:left="0" w:leftChars="0" w:firstLine="0" w:firstLineChars="0"/>
              <w:jc w:val="center"/>
              <w:rPr>
                <w:sz w:val="24"/>
                <w:szCs w:val="24"/>
                <w:lang w:val="vi-VN"/>
              </w:rPr>
            </w:pPr>
            <w:r>
              <w:rPr>
                <w:b/>
                <w:bCs/>
                <w:sz w:val="24"/>
                <w:szCs w:val="24"/>
                <w:lang w:val="vi-VN"/>
              </w:rPr>
              <w:t>Khảo sát thực tế đặc thù sinh viên UEH(DSA &amp; Khảo sát nội bộ)</w:t>
            </w:r>
          </w:p>
        </w:tc>
        <w:tc>
          <w:tcPr>
            <w:tcW w:w="1614" w:type="dxa"/>
            <w:shd w:val="clear" w:color="auto" w:fill="EBF1DE" w:themeFill="accent3" w:themeFillTint="32"/>
            <w:tcMar>
              <w:top w:w="120" w:type="dxa"/>
              <w:left w:w="180" w:type="dxa"/>
              <w:bottom w:w="120" w:type="dxa"/>
              <w:right w:w="180" w:type="dxa"/>
            </w:tcMar>
            <w:vAlign w:val="center"/>
          </w:tcPr>
          <w:p>
            <w:pPr>
              <w:spacing w:line="360" w:lineRule="auto"/>
              <w:ind w:left="0" w:leftChars="0" w:firstLine="0" w:firstLineChars="0"/>
              <w:jc w:val="center"/>
              <w:rPr>
                <w:sz w:val="24"/>
                <w:szCs w:val="24"/>
              </w:rPr>
            </w:pPr>
            <w:r>
              <w:rPr>
                <w:b/>
                <w:bCs/>
                <w:sz w:val="24"/>
                <w:szCs w:val="24"/>
              </w:rPr>
              <w:t>Tỷ trọng ngân sách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2192"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1. Tiền thuê chỗ ở (Nhà trọ / KTX)</w:t>
            </w:r>
          </w:p>
        </w:tc>
        <w:tc>
          <w:tcPr>
            <w:tcW w:w="2302"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1.000.000 – 1.500.000 đ</w:t>
            </w:r>
          </w:p>
        </w:tc>
        <w:tc>
          <w:tcPr>
            <w:tcW w:w="2149"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1.500.000 – 2.500.000 đ</w:t>
            </w:r>
          </w:p>
        </w:tc>
        <w:tc>
          <w:tcPr>
            <w:tcW w:w="2662"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1.800.000 – 3.000.000 đ</w:t>
            </w:r>
          </w:p>
        </w:tc>
        <w:tc>
          <w:tcPr>
            <w:tcW w:w="1614"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35% – 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2192"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2. Ăn uống, thực phẩm hàng ngày</w:t>
            </w:r>
          </w:p>
        </w:tc>
        <w:tc>
          <w:tcPr>
            <w:tcW w:w="2302"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1.500.000 – 1.800.000 đ</w:t>
            </w:r>
          </w:p>
        </w:tc>
        <w:tc>
          <w:tcPr>
            <w:tcW w:w="2149"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1.800.000 – 2.500.000 đ</w:t>
            </w:r>
          </w:p>
        </w:tc>
        <w:tc>
          <w:tcPr>
            <w:tcW w:w="2662"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2.000.000 – 2.600.000 đ</w:t>
            </w:r>
          </w:p>
        </w:tc>
        <w:tc>
          <w:tcPr>
            <w:tcW w:w="1614"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35% – 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2192"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3. Đi lại, xăng xe, di chuyển</w:t>
            </w:r>
          </w:p>
        </w:tc>
        <w:tc>
          <w:tcPr>
            <w:tcW w:w="2302"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200.000 – 350.000 đ</w:t>
            </w:r>
          </w:p>
        </w:tc>
        <w:tc>
          <w:tcPr>
            <w:tcW w:w="2149"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300.000 – 500.000 đ</w:t>
            </w:r>
          </w:p>
        </w:tc>
        <w:tc>
          <w:tcPr>
            <w:tcW w:w="2662"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400.000 – 600.000 đ</w:t>
            </w:r>
          </w:p>
        </w:tc>
        <w:tc>
          <w:tcPr>
            <w:tcW w:w="1614"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7% – 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2192"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4. Học tập, giáo trình, in ấn</w:t>
            </w:r>
          </w:p>
        </w:tc>
        <w:tc>
          <w:tcPr>
            <w:tcW w:w="2302"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200.000 – 300.000 đ</w:t>
            </w:r>
          </w:p>
        </w:tc>
        <w:tc>
          <w:tcPr>
            <w:tcW w:w="2149"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250.000 – 400.000 đ</w:t>
            </w:r>
          </w:p>
        </w:tc>
        <w:tc>
          <w:tcPr>
            <w:tcW w:w="2662"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300.000 – 500.000 đ</w:t>
            </w:r>
          </w:p>
        </w:tc>
        <w:tc>
          <w:tcPr>
            <w:tcW w:w="1614"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5% – 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2192"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5. Chi tiêu cá nhân, giao tiếp, phát sinh</w:t>
            </w:r>
          </w:p>
        </w:tc>
        <w:tc>
          <w:tcPr>
            <w:tcW w:w="2302"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400.000 – 600.000 đ</w:t>
            </w:r>
          </w:p>
        </w:tc>
        <w:tc>
          <w:tcPr>
            <w:tcW w:w="2149"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500.000 – 800.000 đ</w:t>
            </w:r>
          </w:p>
        </w:tc>
        <w:tc>
          <w:tcPr>
            <w:tcW w:w="2662"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500.000 – 900.000 đ</w:t>
            </w:r>
          </w:p>
        </w:tc>
        <w:tc>
          <w:tcPr>
            <w:tcW w:w="1614"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8% – 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2192"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6. Ngân sách dành cho y tế &amp; dự phòng rủi ro</w:t>
            </w:r>
          </w:p>
        </w:tc>
        <w:tc>
          <w:tcPr>
            <w:tcW w:w="2302"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&lt; 100.000 đ/tháng</w:t>
            </w:r>
          </w:p>
        </w:tc>
        <w:tc>
          <w:tcPr>
            <w:tcW w:w="2149"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100.000 – 150.000 đ/tháng</w:t>
            </w:r>
          </w:p>
        </w:tc>
        <w:tc>
          <w:tcPr>
            <w:tcW w:w="2662"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100.000 – 180.000 đ/tháng</w:t>
            </w:r>
          </w:p>
        </w:tc>
        <w:tc>
          <w:tcPr>
            <w:tcW w:w="1614"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&lt; 2% –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2192"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TỔNG CHI PHÍ SINH HOẠT HÀNG THÁNG</w:t>
            </w:r>
          </w:p>
        </w:tc>
        <w:tc>
          <w:tcPr>
            <w:tcW w:w="2302"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3.630.000 đ</w:t>
            </w:r>
          </w:p>
          <w:p>
            <w:pPr>
              <w:spacing w:line="360" w:lineRule="auto"/>
              <w:ind w:left="0" w:leftChars="0" w:firstLine="0" w:firstLineChars="0"/>
              <w:rPr>
                <w:sz w:val="24"/>
                <w:szCs w:val="24"/>
              </w:rPr>
            </w:pPr>
            <w:r>
              <w:rPr>
                <w:sz w:val="24"/>
                <w:szCs w:val="24"/>
              </w:rPr>
              <w:br w:type="textWrapping"/>
            </w:r>
          </w:p>
          <w:p>
            <w:pPr>
              <w:spacing w:line="360" w:lineRule="auto"/>
              <w:ind w:left="0" w:leftChars="0" w:firstLine="0" w:firstLineChars="0"/>
              <w:rPr>
                <w:sz w:val="24"/>
                <w:szCs w:val="24"/>
              </w:rPr>
            </w:pPr>
            <w:r>
              <w:rPr>
                <w:i/>
                <w:iCs/>
                <w:sz w:val="24"/>
                <w:szCs w:val="24"/>
              </w:rPr>
              <w:t>(Chuẩn Nhà nước quy định tại NĐ 116)</w:t>
            </w:r>
          </w:p>
        </w:tc>
        <w:tc>
          <w:tcPr>
            <w:tcW w:w="2149"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4.350.000 – 6.700.000 đ</w:t>
            </w:r>
          </w:p>
          <w:p>
            <w:pPr>
              <w:spacing w:line="360" w:lineRule="auto"/>
              <w:ind w:left="0" w:leftChars="0" w:firstLine="0" w:firstLineChars="0"/>
              <w:rPr>
                <w:sz w:val="24"/>
                <w:szCs w:val="24"/>
              </w:rPr>
            </w:pPr>
            <w:r>
              <w:rPr>
                <w:sz w:val="24"/>
                <w:szCs w:val="24"/>
              </w:rPr>
              <w:br w:type="textWrapping"/>
            </w:r>
          </w:p>
          <w:p>
            <w:pPr>
              <w:spacing w:line="360" w:lineRule="auto"/>
              <w:ind w:left="0" w:leftChars="0" w:firstLine="0" w:firstLineChars="0"/>
              <w:rPr>
                <w:sz w:val="24"/>
                <w:szCs w:val="24"/>
              </w:rPr>
            </w:pPr>
            <w:r>
              <w:rPr>
                <w:i/>
                <w:iCs/>
                <w:sz w:val="24"/>
                <w:szCs w:val="24"/>
              </w:rPr>
              <w:t>(Bình quân: ~5.000.000 đ)</w:t>
            </w:r>
          </w:p>
        </w:tc>
        <w:tc>
          <w:tcPr>
            <w:tcW w:w="2662"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5.000.000 – 7.600.000 đ</w:t>
            </w:r>
          </w:p>
          <w:p>
            <w:pPr>
              <w:spacing w:line="360" w:lineRule="auto"/>
              <w:ind w:left="0" w:leftChars="0" w:firstLine="0" w:firstLineChars="0"/>
              <w:rPr>
                <w:sz w:val="24"/>
                <w:szCs w:val="24"/>
              </w:rPr>
            </w:pPr>
            <w:r>
              <w:rPr>
                <w:sz w:val="24"/>
                <w:szCs w:val="24"/>
              </w:rPr>
              <w:br w:type="textWrapping"/>
            </w:r>
          </w:p>
          <w:p>
            <w:pPr>
              <w:spacing w:line="360" w:lineRule="auto"/>
              <w:ind w:left="0" w:leftChars="0" w:firstLine="0" w:firstLineChars="0"/>
              <w:rPr>
                <w:sz w:val="24"/>
                <w:szCs w:val="24"/>
              </w:rPr>
            </w:pPr>
            <w:r>
              <w:rPr>
                <w:i/>
                <w:iCs/>
                <w:sz w:val="24"/>
                <w:szCs w:val="24"/>
              </w:rPr>
              <w:t>(Bình quân: ~5.500.000 đ)</w:t>
            </w:r>
          </w:p>
        </w:tc>
        <w:tc>
          <w:tcPr>
            <w:tcW w:w="1614"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100%</w:t>
            </w:r>
          </w:p>
        </w:tc>
      </w:tr>
    </w:tbl>
    <w:p>
      <w:pPr>
        <w:spacing w:line="360" w:lineRule="auto"/>
        <w:ind w:left="0" w:leftChars="0" w:firstLine="0" w:firstLineChars="0"/>
        <w:rPr>
          <w:sz w:val="24"/>
          <w:szCs w:val="24"/>
        </w:rPr>
      </w:pPr>
      <w:r>
        <w:rPr>
          <w:i/>
          <w:iCs/>
          <w:sz w:val="24"/>
          <w:szCs w:val="24"/>
        </w:rPr>
        <w:t>(Nguồn: Nhóm tác giả tổng hợp và đối chiếu từ Nghị định số 116/2020/NĐ-CP; Báo cáo khảo sát đời sống sinh viên của Trung tâm Hỗ trợ Học sinh, Sinh viên TP.HCM - SAC; Sổ tay người học và Khảo sát chi tiêu sinh viên tại Đại học Kinh tế TP.HCM)</w:t>
      </w:r>
    </w:p>
    <w:p>
      <w:pPr>
        <w:spacing w:line="360" w:lineRule="auto"/>
        <w:ind w:left="0" w:leftChars="0" w:firstLine="0" w:firstLineChars="0"/>
        <w:rPr>
          <w:b/>
          <w:bCs/>
          <w:sz w:val="24"/>
          <w:szCs w:val="24"/>
        </w:rPr>
      </w:pPr>
      <w:r>
        <w:rPr>
          <w:b/>
          <w:bCs/>
          <w:sz w:val="24"/>
          <w:szCs w:val="24"/>
        </w:rPr>
        <w:t>Phụ lục 2: Bảng quyền lợi bảo hiểm sức khỏe Bảo Việt An Gia</w:t>
      </w:r>
    </w:p>
    <w:tbl>
      <w:tblPr>
        <w:tblStyle w:val="18"/>
        <w:tblW w:w="0" w:type="auto"/>
        <w:tblInd w:w="-8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7" w:type="dxa"/>
          <w:left w:w="17" w:type="dxa"/>
          <w:bottom w:w="17" w:type="dxa"/>
          <w:right w:w="17" w:type="dxa"/>
        </w:tblCellMar>
      </w:tblPr>
      <w:tblGrid>
        <w:gridCol w:w="1728"/>
        <w:gridCol w:w="1740"/>
        <w:gridCol w:w="1740"/>
        <w:gridCol w:w="1740"/>
        <w:gridCol w:w="1740"/>
        <w:gridCol w:w="17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rPr>
          <w:tblHeader/>
        </w:trPr>
        <w:tc>
          <w:tcPr>
            <w:tcW w:w="1728" w:type="dxa"/>
            <w:shd w:val="clear" w:color="auto" w:fill="EBF1DE" w:themeFill="accent3" w:themeFillTint="32"/>
            <w:tcMar>
              <w:top w:w="120" w:type="dxa"/>
              <w:left w:w="180" w:type="dxa"/>
              <w:bottom w:w="120" w:type="dxa"/>
              <w:right w:w="180" w:type="dxa"/>
            </w:tcMar>
            <w:vAlign w:val="center"/>
          </w:tcPr>
          <w:p>
            <w:pPr>
              <w:spacing w:line="360" w:lineRule="auto"/>
              <w:ind w:left="0" w:leftChars="0" w:firstLine="0" w:firstLineChars="0"/>
              <w:jc w:val="center"/>
              <w:rPr>
                <w:sz w:val="24"/>
                <w:szCs w:val="24"/>
              </w:rPr>
            </w:pPr>
            <w:r>
              <w:rPr>
                <w:b/>
                <w:bCs/>
                <w:sz w:val="24"/>
                <w:szCs w:val="24"/>
              </w:rPr>
              <w:t>Hạng mục quyền lợi</w:t>
            </w:r>
          </w:p>
        </w:tc>
        <w:tc>
          <w:tcPr>
            <w:tcW w:w="1740" w:type="dxa"/>
            <w:shd w:val="clear" w:color="auto" w:fill="EBF1DE" w:themeFill="accent3" w:themeFillTint="32"/>
            <w:tcMar>
              <w:top w:w="120" w:type="dxa"/>
              <w:left w:w="180" w:type="dxa"/>
              <w:bottom w:w="120" w:type="dxa"/>
              <w:right w:w="180" w:type="dxa"/>
            </w:tcMar>
            <w:vAlign w:val="center"/>
          </w:tcPr>
          <w:p>
            <w:pPr>
              <w:spacing w:line="360" w:lineRule="auto"/>
              <w:ind w:left="0" w:leftChars="0" w:firstLine="0" w:firstLineChars="0"/>
              <w:jc w:val="center"/>
              <w:rPr>
                <w:sz w:val="24"/>
                <w:szCs w:val="24"/>
              </w:rPr>
            </w:pPr>
            <w:r>
              <w:rPr>
                <w:b/>
                <w:bCs/>
                <w:sz w:val="24"/>
                <w:szCs w:val="24"/>
              </w:rPr>
              <w:t>Chương trình Đồng</w:t>
            </w:r>
          </w:p>
        </w:tc>
        <w:tc>
          <w:tcPr>
            <w:tcW w:w="1740" w:type="dxa"/>
            <w:shd w:val="clear" w:color="auto" w:fill="EBF1DE" w:themeFill="accent3" w:themeFillTint="32"/>
            <w:tcMar>
              <w:top w:w="120" w:type="dxa"/>
              <w:left w:w="180" w:type="dxa"/>
              <w:bottom w:w="120" w:type="dxa"/>
              <w:right w:w="180" w:type="dxa"/>
            </w:tcMar>
            <w:vAlign w:val="center"/>
          </w:tcPr>
          <w:p>
            <w:pPr>
              <w:spacing w:line="360" w:lineRule="auto"/>
              <w:ind w:left="0" w:leftChars="0" w:firstLine="0" w:firstLineChars="0"/>
              <w:jc w:val="center"/>
              <w:rPr>
                <w:sz w:val="24"/>
                <w:szCs w:val="24"/>
              </w:rPr>
            </w:pPr>
            <w:r>
              <w:rPr>
                <w:b/>
                <w:bCs/>
                <w:sz w:val="24"/>
                <w:szCs w:val="24"/>
              </w:rPr>
              <w:t>Chương trình Bạc</w:t>
            </w:r>
          </w:p>
        </w:tc>
        <w:tc>
          <w:tcPr>
            <w:tcW w:w="1740" w:type="dxa"/>
            <w:shd w:val="clear" w:color="auto" w:fill="EBF1DE" w:themeFill="accent3" w:themeFillTint="32"/>
            <w:tcMar>
              <w:top w:w="120" w:type="dxa"/>
              <w:left w:w="180" w:type="dxa"/>
              <w:bottom w:w="120" w:type="dxa"/>
              <w:right w:w="180" w:type="dxa"/>
            </w:tcMar>
            <w:vAlign w:val="center"/>
          </w:tcPr>
          <w:p>
            <w:pPr>
              <w:spacing w:line="360" w:lineRule="auto"/>
              <w:ind w:left="0" w:leftChars="0" w:firstLine="0" w:firstLineChars="0"/>
              <w:jc w:val="center"/>
              <w:rPr>
                <w:sz w:val="24"/>
                <w:szCs w:val="24"/>
              </w:rPr>
            </w:pPr>
            <w:r>
              <w:rPr>
                <w:b/>
                <w:bCs/>
                <w:sz w:val="24"/>
                <w:szCs w:val="24"/>
              </w:rPr>
              <w:t>Chương trình Vàng</w:t>
            </w:r>
          </w:p>
        </w:tc>
        <w:tc>
          <w:tcPr>
            <w:tcW w:w="1740" w:type="dxa"/>
            <w:shd w:val="clear" w:color="auto" w:fill="EBF1DE" w:themeFill="accent3" w:themeFillTint="32"/>
            <w:tcMar>
              <w:top w:w="120" w:type="dxa"/>
              <w:left w:w="180" w:type="dxa"/>
              <w:bottom w:w="120" w:type="dxa"/>
              <w:right w:w="180" w:type="dxa"/>
            </w:tcMar>
            <w:vAlign w:val="center"/>
          </w:tcPr>
          <w:p>
            <w:pPr>
              <w:spacing w:line="360" w:lineRule="auto"/>
              <w:ind w:left="0" w:leftChars="0" w:firstLine="0" w:firstLineChars="0"/>
              <w:jc w:val="center"/>
              <w:rPr>
                <w:sz w:val="24"/>
                <w:szCs w:val="24"/>
              </w:rPr>
            </w:pPr>
            <w:r>
              <w:rPr>
                <w:b/>
                <w:bCs/>
                <w:sz w:val="24"/>
                <w:szCs w:val="24"/>
              </w:rPr>
              <w:t>Chương trình Bạch Kim</w:t>
            </w:r>
          </w:p>
        </w:tc>
        <w:tc>
          <w:tcPr>
            <w:tcW w:w="1740" w:type="dxa"/>
            <w:shd w:val="clear" w:color="auto" w:fill="EBF1DE" w:themeFill="accent3" w:themeFillTint="32"/>
            <w:tcMar>
              <w:top w:w="120" w:type="dxa"/>
              <w:left w:w="180" w:type="dxa"/>
              <w:bottom w:w="120" w:type="dxa"/>
              <w:right w:w="180" w:type="dxa"/>
            </w:tcMar>
            <w:vAlign w:val="center"/>
          </w:tcPr>
          <w:p>
            <w:pPr>
              <w:spacing w:line="360" w:lineRule="auto"/>
              <w:ind w:left="0" w:leftChars="0" w:firstLine="0" w:firstLineChars="0"/>
              <w:jc w:val="center"/>
              <w:rPr>
                <w:sz w:val="24"/>
                <w:szCs w:val="24"/>
              </w:rPr>
            </w:pPr>
            <w:r>
              <w:rPr>
                <w:b/>
                <w:bCs/>
                <w:sz w:val="24"/>
                <w:szCs w:val="24"/>
              </w:rPr>
              <w:t>Chương trình Kim Cương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0428" w:type="dxa"/>
            <w:gridSpan w:val="6"/>
            <w:tcMar>
              <w:top w:w="120" w:type="dxa"/>
              <w:left w:w="180" w:type="dxa"/>
              <w:bottom w:w="120" w:type="dxa"/>
              <w:right w:w="180" w:type="dxa"/>
            </w:tcMar>
            <w:vAlign w:val="center"/>
          </w:tcPr>
          <w:p>
            <w:pPr>
              <w:spacing w:line="360" w:lineRule="auto"/>
              <w:ind w:left="0" w:leftChars="0" w:firstLine="0" w:firstLineChars="0"/>
              <w:jc w:val="center"/>
              <w:rPr>
                <w:sz w:val="24"/>
                <w:szCs w:val="24"/>
              </w:rPr>
            </w:pPr>
            <w:r>
              <w:rPr>
                <w:b/>
                <w:bCs/>
                <w:sz w:val="24"/>
                <w:szCs w:val="24"/>
              </w:rPr>
              <w:t>A. QUYỀN LỢI NỘI TRÚ CHÍNH (BẮT BUỘC)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728"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 Tổng hạn mức quyền lợi bảo hiểm chính</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94.000.000 đ/người/năm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138.000.000 đ/người/năm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230.000.000 đ/người/năm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342.000.000 đ/người/năm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454.000.000 đ/người/năm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728"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2. Phạm vi lãnh thổ</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Việt Nam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Việt Nam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Việt Nam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Việt Nam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Việt Nam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728"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3. Chi phí nằm viện</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2.000.000 đ/ngày</w:t>
            </w:r>
          </w:p>
          <w:p>
            <w:pPr>
              <w:spacing w:line="360" w:lineRule="auto"/>
              <w:ind w:left="0" w:leftChars="0" w:firstLine="0" w:firstLineChars="0"/>
              <w:rPr>
                <w:sz w:val="24"/>
                <w:szCs w:val="24"/>
              </w:rPr>
            </w:pPr>
            <w:r>
              <w:rPr>
                <w:sz w:val="24"/>
                <w:szCs w:val="24"/>
              </w:rPr>
              <w:t>Tối đa 40.000.000 đ/năm</w:t>
            </w:r>
          </w:p>
          <w:p>
            <w:pPr>
              <w:spacing w:line="360" w:lineRule="auto"/>
              <w:ind w:left="0" w:leftChars="0" w:firstLine="0" w:firstLineChars="0"/>
              <w:rPr>
                <w:sz w:val="24"/>
                <w:szCs w:val="24"/>
              </w:rPr>
            </w:pPr>
            <w:r>
              <w:rPr>
                <w:sz w:val="24"/>
                <w:szCs w:val="24"/>
              </w:rPr>
              <w:t>Không quá 60 ngày/năm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3.000.000 đ/ngày</w:t>
            </w:r>
          </w:p>
          <w:p>
            <w:pPr>
              <w:spacing w:line="360" w:lineRule="auto"/>
              <w:ind w:left="0" w:leftChars="0" w:firstLine="0" w:firstLineChars="0"/>
              <w:rPr>
                <w:sz w:val="24"/>
                <w:szCs w:val="24"/>
              </w:rPr>
            </w:pPr>
            <w:r>
              <w:rPr>
                <w:sz w:val="24"/>
                <w:szCs w:val="24"/>
              </w:rPr>
              <w:t>Tối đa 60.000.000 đ/năm</w:t>
            </w:r>
          </w:p>
          <w:p>
            <w:pPr>
              <w:spacing w:line="360" w:lineRule="auto"/>
              <w:ind w:left="0" w:leftChars="0" w:firstLine="0" w:firstLineChars="0"/>
              <w:rPr>
                <w:sz w:val="24"/>
                <w:szCs w:val="24"/>
              </w:rPr>
            </w:pPr>
            <w:r>
              <w:rPr>
                <w:sz w:val="24"/>
                <w:szCs w:val="24"/>
              </w:rPr>
              <w:t>Không quá 60 ngày/năm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5.000.000 đ/ngày</w:t>
            </w:r>
          </w:p>
          <w:p>
            <w:pPr>
              <w:spacing w:line="360" w:lineRule="auto"/>
              <w:ind w:left="0" w:leftChars="0" w:firstLine="0" w:firstLineChars="0"/>
              <w:rPr>
                <w:sz w:val="24"/>
                <w:szCs w:val="24"/>
              </w:rPr>
            </w:pPr>
            <w:r>
              <w:rPr>
                <w:sz w:val="24"/>
                <w:szCs w:val="24"/>
              </w:rPr>
              <w:t>Tối đa 100.000.000 đ/năm</w:t>
            </w:r>
          </w:p>
          <w:p>
            <w:pPr>
              <w:spacing w:line="360" w:lineRule="auto"/>
              <w:ind w:left="0" w:leftChars="0" w:firstLine="0" w:firstLineChars="0"/>
              <w:rPr>
                <w:sz w:val="24"/>
                <w:szCs w:val="24"/>
              </w:rPr>
            </w:pPr>
            <w:r>
              <w:rPr>
                <w:sz w:val="24"/>
                <w:szCs w:val="24"/>
              </w:rPr>
              <w:t>Không quá 60 ngày/năm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7.500.000 đ/ngày</w:t>
            </w:r>
          </w:p>
          <w:p>
            <w:pPr>
              <w:spacing w:line="360" w:lineRule="auto"/>
              <w:ind w:left="0" w:leftChars="0" w:firstLine="0" w:firstLineChars="0"/>
              <w:rPr>
                <w:sz w:val="24"/>
                <w:szCs w:val="24"/>
              </w:rPr>
            </w:pPr>
            <w:r>
              <w:rPr>
                <w:sz w:val="24"/>
                <w:szCs w:val="24"/>
              </w:rPr>
              <w:t>Tối đa 150.000.000 đ/năm</w:t>
            </w:r>
          </w:p>
          <w:p>
            <w:pPr>
              <w:spacing w:line="360" w:lineRule="auto"/>
              <w:ind w:left="0" w:leftChars="0" w:firstLine="0" w:firstLineChars="0"/>
              <w:rPr>
                <w:sz w:val="24"/>
                <w:szCs w:val="24"/>
              </w:rPr>
            </w:pPr>
            <w:r>
              <w:rPr>
                <w:sz w:val="24"/>
                <w:szCs w:val="24"/>
              </w:rPr>
              <w:t>Không quá 60 ngày/năm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10.000.000 đ/ngày</w:t>
            </w:r>
          </w:p>
          <w:p>
            <w:pPr>
              <w:spacing w:line="360" w:lineRule="auto"/>
              <w:ind w:left="0" w:leftChars="0" w:firstLine="0" w:firstLineChars="0"/>
              <w:rPr>
                <w:sz w:val="24"/>
                <w:szCs w:val="24"/>
              </w:rPr>
            </w:pPr>
            <w:r>
              <w:rPr>
                <w:sz w:val="24"/>
                <w:szCs w:val="24"/>
              </w:rPr>
              <w:t>Tối đa 200.000.000 đ/năm</w:t>
            </w:r>
          </w:p>
          <w:p>
            <w:pPr>
              <w:spacing w:line="360" w:lineRule="auto"/>
              <w:ind w:left="0" w:leftChars="0" w:firstLine="0" w:firstLineChars="0"/>
              <w:rPr>
                <w:sz w:val="24"/>
                <w:szCs w:val="24"/>
              </w:rPr>
            </w:pPr>
            <w:r>
              <w:rPr>
                <w:sz w:val="24"/>
                <w:szCs w:val="24"/>
              </w:rPr>
              <w:t>Không quá 60 ngày/năm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728"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4. Chi phí khám và điều trị</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2.000.000 đ/năm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3.000.000 đ/năm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5.000.000 đ/năm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7.500.000 đ/năm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10.000.000 đ/năm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728"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5. Chi phí tái khám và điều trị</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2.000.000 đ/năm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3.000.000 đ/năm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5.000.000 đ/năm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7.500.000 đ/năm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10.000.000 đ/năm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728"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6. Dịch vụ xe cứu thương bằng đường bộ</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5.000.000 đ/năm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5.000.000 đ/năm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10.000.000 đ/năm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10.000.000 đ/năm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10.000.000 đ/năm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728"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7. Chi phí phẫu thuật</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40.000.000 đ/năm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60.000.000 đ/năm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100.000.000 đ/năm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150.000.000 đ/năm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200.000.000 đ/năm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728"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8. Phục hồi chức năng</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4.000.000 đ/năm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6.000.000 đ/năm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10.000.000 đ/năm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15.000.000 đ/năm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20.000.000 đ/năm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728"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9. Trợ cấp bệnh viện công</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80.000 đ/ngày</w:t>
            </w:r>
          </w:p>
          <w:p>
            <w:pPr>
              <w:spacing w:line="360" w:lineRule="auto"/>
              <w:ind w:left="0" w:leftChars="0" w:firstLine="0" w:firstLineChars="0"/>
              <w:rPr>
                <w:sz w:val="24"/>
                <w:szCs w:val="24"/>
              </w:rPr>
            </w:pPr>
            <w:r>
              <w:rPr>
                <w:sz w:val="24"/>
                <w:szCs w:val="24"/>
              </w:rPr>
              <w:t>Không quá 60 ngày/năm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120.000 đ/ngày</w:t>
            </w:r>
          </w:p>
          <w:p>
            <w:pPr>
              <w:spacing w:line="360" w:lineRule="auto"/>
              <w:ind w:left="0" w:leftChars="0" w:firstLine="0" w:firstLineChars="0"/>
              <w:rPr>
                <w:sz w:val="24"/>
                <w:szCs w:val="24"/>
              </w:rPr>
            </w:pPr>
            <w:r>
              <w:rPr>
                <w:sz w:val="24"/>
                <w:szCs w:val="24"/>
              </w:rPr>
              <w:t>Không quá 60 ngày/năm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200.000 đ/ngày</w:t>
            </w:r>
          </w:p>
          <w:p>
            <w:pPr>
              <w:spacing w:line="360" w:lineRule="auto"/>
              <w:ind w:left="0" w:leftChars="0" w:firstLine="0" w:firstLineChars="0"/>
              <w:rPr>
                <w:sz w:val="24"/>
                <w:szCs w:val="24"/>
              </w:rPr>
            </w:pPr>
            <w:r>
              <w:rPr>
                <w:sz w:val="24"/>
                <w:szCs w:val="24"/>
              </w:rPr>
              <w:t>Không quá 60 ngày/năm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300.000 đ/ngày</w:t>
            </w:r>
          </w:p>
          <w:p>
            <w:pPr>
              <w:spacing w:line="360" w:lineRule="auto"/>
              <w:ind w:left="0" w:leftChars="0" w:firstLine="0" w:firstLineChars="0"/>
              <w:rPr>
                <w:sz w:val="24"/>
                <w:szCs w:val="24"/>
              </w:rPr>
            </w:pPr>
            <w:r>
              <w:rPr>
                <w:sz w:val="24"/>
                <w:szCs w:val="24"/>
              </w:rPr>
              <w:t>Không quá 60 ngày/năm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400.000 đ/ngày</w:t>
            </w:r>
          </w:p>
          <w:p>
            <w:pPr>
              <w:spacing w:line="360" w:lineRule="auto"/>
              <w:ind w:left="0" w:leftChars="0" w:firstLine="0" w:firstLineChars="0"/>
              <w:rPr>
                <w:sz w:val="24"/>
                <w:szCs w:val="24"/>
              </w:rPr>
            </w:pPr>
            <w:r>
              <w:rPr>
                <w:sz w:val="24"/>
                <w:szCs w:val="24"/>
              </w:rPr>
              <w:t>Không quá 60 ngày/năm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728"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10. Trợ cấp mai táng phí tử vong tại bệnh viện</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1.000.000 đ/vụ</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1.000.000 đ/vụ</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1.000.000 đ/vụ</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1.000.000 đ/vụ</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1.000.000 đ/vụ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0428" w:type="dxa"/>
            <w:gridSpan w:val="6"/>
            <w:tcMar>
              <w:top w:w="120" w:type="dxa"/>
              <w:left w:w="180" w:type="dxa"/>
              <w:bottom w:w="120" w:type="dxa"/>
              <w:right w:w="180" w:type="dxa"/>
            </w:tcMar>
            <w:vAlign w:val="center"/>
          </w:tcPr>
          <w:p>
            <w:pPr>
              <w:spacing w:line="360" w:lineRule="auto"/>
              <w:ind w:left="0" w:leftChars="0" w:firstLine="0" w:firstLineChars="0"/>
              <w:jc w:val="center"/>
              <w:rPr>
                <w:sz w:val="24"/>
                <w:szCs w:val="24"/>
              </w:rPr>
            </w:pPr>
            <w:r>
              <w:rPr>
                <w:b/>
                <w:bCs/>
                <w:sz w:val="24"/>
                <w:szCs w:val="24"/>
              </w:rPr>
              <w:t>B. QUYỀN LỢI BỔ SUNG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728"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 Điều trị ngoại trú do ốm bệnh, tai nạn</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6.000.000 đ/năm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7.000.000 đ/năm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8.000.000 đ/năm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10.000.000 đ/năm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15.000.000 đ/năm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728"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 Giới hạn / lần khám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1.200.000 đ/lần</w:t>
            </w:r>
          </w:p>
          <w:p>
            <w:pPr>
              <w:spacing w:line="360" w:lineRule="auto"/>
              <w:ind w:left="0" w:leftChars="0" w:firstLine="0" w:firstLineChars="0"/>
              <w:rPr>
                <w:sz w:val="24"/>
                <w:szCs w:val="24"/>
              </w:rPr>
            </w:pPr>
            <w:r>
              <w:rPr>
                <w:sz w:val="24"/>
                <w:szCs w:val="24"/>
              </w:rPr>
              <w:br w:type="textWrapping"/>
            </w:r>
          </w:p>
          <w:p>
            <w:pPr>
              <w:spacing w:line="360" w:lineRule="auto"/>
              <w:ind w:left="0" w:leftChars="0" w:firstLine="0" w:firstLineChars="0"/>
              <w:rPr>
                <w:sz w:val="24"/>
                <w:szCs w:val="24"/>
              </w:rPr>
            </w:pPr>
            <w:r>
              <w:rPr>
                <w:sz w:val="24"/>
                <w:szCs w:val="24"/>
              </w:rPr>
              <w:t>Không quá 10 lần/năm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1.400.000 đ/lần</w:t>
            </w:r>
          </w:p>
          <w:p>
            <w:pPr>
              <w:spacing w:line="360" w:lineRule="auto"/>
              <w:ind w:left="0" w:leftChars="0" w:firstLine="0" w:firstLineChars="0"/>
              <w:rPr>
                <w:sz w:val="24"/>
                <w:szCs w:val="24"/>
              </w:rPr>
            </w:pPr>
            <w:r>
              <w:rPr>
                <w:sz w:val="24"/>
                <w:szCs w:val="24"/>
              </w:rPr>
              <w:br w:type="textWrapping"/>
            </w:r>
          </w:p>
          <w:p>
            <w:pPr>
              <w:spacing w:line="360" w:lineRule="auto"/>
              <w:ind w:left="0" w:leftChars="0" w:firstLine="0" w:firstLineChars="0"/>
              <w:rPr>
                <w:sz w:val="24"/>
                <w:szCs w:val="24"/>
              </w:rPr>
            </w:pPr>
            <w:r>
              <w:rPr>
                <w:sz w:val="24"/>
                <w:szCs w:val="24"/>
              </w:rPr>
              <w:t>Không quá 10 lần/năm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1.600.000 đ/lần</w:t>
            </w:r>
          </w:p>
          <w:p>
            <w:pPr>
              <w:spacing w:line="360" w:lineRule="auto"/>
              <w:ind w:left="0" w:leftChars="0" w:firstLine="0" w:firstLineChars="0"/>
              <w:rPr>
                <w:sz w:val="24"/>
                <w:szCs w:val="24"/>
              </w:rPr>
            </w:pPr>
            <w:r>
              <w:rPr>
                <w:sz w:val="24"/>
                <w:szCs w:val="24"/>
              </w:rPr>
              <w:br w:type="textWrapping"/>
            </w:r>
          </w:p>
          <w:p>
            <w:pPr>
              <w:spacing w:line="360" w:lineRule="auto"/>
              <w:ind w:left="0" w:leftChars="0" w:firstLine="0" w:firstLineChars="0"/>
              <w:rPr>
                <w:sz w:val="24"/>
                <w:szCs w:val="24"/>
              </w:rPr>
            </w:pPr>
            <w:r>
              <w:rPr>
                <w:sz w:val="24"/>
                <w:szCs w:val="24"/>
              </w:rPr>
              <w:t>Không quá 10 lần/năm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2.000.000 đ/lần</w:t>
            </w:r>
          </w:p>
          <w:p>
            <w:pPr>
              <w:spacing w:line="360" w:lineRule="auto"/>
              <w:ind w:left="0" w:leftChars="0" w:firstLine="0" w:firstLineChars="0"/>
              <w:rPr>
                <w:sz w:val="24"/>
                <w:szCs w:val="24"/>
              </w:rPr>
            </w:pPr>
            <w:r>
              <w:rPr>
                <w:sz w:val="24"/>
                <w:szCs w:val="24"/>
              </w:rPr>
              <w:br w:type="textWrapping"/>
            </w:r>
          </w:p>
          <w:p>
            <w:pPr>
              <w:spacing w:line="360" w:lineRule="auto"/>
              <w:ind w:left="0" w:leftChars="0" w:firstLine="0" w:firstLineChars="0"/>
              <w:rPr>
                <w:sz w:val="24"/>
                <w:szCs w:val="24"/>
              </w:rPr>
            </w:pPr>
            <w:r>
              <w:rPr>
                <w:sz w:val="24"/>
                <w:szCs w:val="24"/>
              </w:rPr>
              <w:t>Không quá 10 lần/năm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3.000.000 đ/lần</w:t>
            </w:r>
          </w:p>
          <w:p>
            <w:pPr>
              <w:spacing w:line="360" w:lineRule="auto"/>
              <w:ind w:left="0" w:leftChars="0" w:firstLine="0" w:firstLineChars="0"/>
              <w:rPr>
                <w:sz w:val="24"/>
                <w:szCs w:val="24"/>
              </w:rPr>
            </w:pPr>
            <w:r>
              <w:rPr>
                <w:sz w:val="24"/>
                <w:szCs w:val="24"/>
              </w:rPr>
              <w:br w:type="textWrapping"/>
            </w:r>
          </w:p>
          <w:p>
            <w:pPr>
              <w:spacing w:line="360" w:lineRule="auto"/>
              <w:ind w:left="0" w:leftChars="0" w:firstLine="0" w:firstLineChars="0"/>
              <w:rPr>
                <w:sz w:val="24"/>
                <w:szCs w:val="24"/>
              </w:rPr>
            </w:pPr>
            <w:r>
              <w:rPr>
                <w:sz w:val="24"/>
                <w:szCs w:val="24"/>
              </w:rPr>
              <w:t>Không quá 10 lần/năm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728"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 Điều trị vật lý trị liệu</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60.000 đ/ngày</w:t>
            </w:r>
          </w:p>
          <w:p>
            <w:pPr>
              <w:spacing w:line="360" w:lineRule="auto"/>
              <w:ind w:left="0" w:leftChars="0" w:firstLine="0" w:firstLineChars="0"/>
              <w:rPr>
                <w:sz w:val="24"/>
                <w:szCs w:val="24"/>
              </w:rPr>
            </w:pPr>
            <w:r>
              <w:rPr>
                <w:sz w:val="24"/>
                <w:szCs w:val="24"/>
              </w:rPr>
              <w:br w:type="textWrapping"/>
            </w:r>
          </w:p>
          <w:p>
            <w:pPr>
              <w:spacing w:line="360" w:lineRule="auto"/>
              <w:ind w:left="0" w:leftChars="0" w:firstLine="0" w:firstLineChars="0"/>
              <w:rPr>
                <w:sz w:val="24"/>
                <w:szCs w:val="24"/>
              </w:rPr>
            </w:pPr>
            <w:r>
              <w:rPr>
                <w:sz w:val="24"/>
                <w:szCs w:val="24"/>
              </w:rPr>
              <w:t>Không quá 60 ngày/năm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70.000 đ/ngày</w:t>
            </w:r>
          </w:p>
          <w:p>
            <w:pPr>
              <w:spacing w:line="360" w:lineRule="auto"/>
              <w:ind w:left="0" w:leftChars="0" w:firstLine="0" w:firstLineChars="0"/>
              <w:rPr>
                <w:sz w:val="24"/>
                <w:szCs w:val="24"/>
              </w:rPr>
            </w:pPr>
            <w:r>
              <w:rPr>
                <w:sz w:val="24"/>
                <w:szCs w:val="24"/>
              </w:rPr>
              <w:br w:type="textWrapping"/>
            </w:r>
          </w:p>
          <w:p>
            <w:pPr>
              <w:spacing w:line="360" w:lineRule="auto"/>
              <w:ind w:left="0" w:leftChars="0" w:firstLine="0" w:firstLineChars="0"/>
              <w:rPr>
                <w:sz w:val="24"/>
                <w:szCs w:val="24"/>
              </w:rPr>
            </w:pPr>
            <w:r>
              <w:rPr>
                <w:sz w:val="24"/>
                <w:szCs w:val="24"/>
              </w:rPr>
              <w:t>Không quá 60 ngày/năm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80.000 đ/ngày</w:t>
            </w:r>
          </w:p>
          <w:p>
            <w:pPr>
              <w:spacing w:line="360" w:lineRule="auto"/>
              <w:ind w:left="0" w:leftChars="0" w:firstLine="0" w:firstLineChars="0"/>
              <w:rPr>
                <w:sz w:val="24"/>
                <w:szCs w:val="24"/>
              </w:rPr>
            </w:pPr>
            <w:r>
              <w:rPr>
                <w:sz w:val="24"/>
                <w:szCs w:val="24"/>
              </w:rPr>
              <w:br w:type="textWrapping"/>
            </w:r>
          </w:p>
          <w:p>
            <w:pPr>
              <w:spacing w:line="360" w:lineRule="auto"/>
              <w:ind w:left="0" w:leftChars="0" w:firstLine="0" w:firstLineChars="0"/>
              <w:rPr>
                <w:sz w:val="24"/>
                <w:szCs w:val="24"/>
              </w:rPr>
            </w:pPr>
            <w:r>
              <w:rPr>
                <w:sz w:val="24"/>
                <w:szCs w:val="24"/>
              </w:rPr>
              <w:t>Không quá 60 ngày/năm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100.000 đ/ngày</w:t>
            </w:r>
          </w:p>
          <w:p>
            <w:pPr>
              <w:spacing w:line="360" w:lineRule="auto"/>
              <w:ind w:left="0" w:leftChars="0" w:firstLine="0" w:firstLineChars="0"/>
              <w:rPr>
                <w:sz w:val="24"/>
                <w:szCs w:val="24"/>
              </w:rPr>
            </w:pPr>
            <w:r>
              <w:rPr>
                <w:sz w:val="24"/>
                <w:szCs w:val="24"/>
              </w:rPr>
              <w:br w:type="textWrapping"/>
            </w:r>
          </w:p>
          <w:p>
            <w:pPr>
              <w:spacing w:line="360" w:lineRule="auto"/>
              <w:ind w:left="0" w:leftChars="0" w:firstLine="0" w:firstLineChars="0"/>
              <w:rPr>
                <w:sz w:val="24"/>
                <w:szCs w:val="24"/>
              </w:rPr>
            </w:pPr>
            <w:r>
              <w:rPr>
                <w:sz w:val="24"/>
                <w:szCs w:val="24"/>
              </w:rPr>
              <w:t>Không quá 60 ngày/năm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150.000 đ/ngày</w:t>
            </w:r>
          </w:p>
          <w:p>
            <w:pPr>
              <w:spacing w:line="360" w:lineRule="auto"/>
              <w:ind w:left="0" w:leftChars="0" w:firstLine="0" w:firstLineChars="0"/>
              <w:rPr>
                <w:sz w:val="24"/>
                <w:szCs w:val="24"/>
              </w:rPr>
            </w:pPr>
            <w:r>
              <w:rPr>
                <w:sz w:val="24"/>
                <w:szCs w:val="24"/>
              </w:rPr>
              <w:br w:type="textWrapping"/>
            </w:r>
          </w:p>
          <w:p>
            <w:pPr>
              <w:spacing w:line="360" w:lineRule="auto"/>
              <w:ind w:left="0" w:leftChars="0" w:firstLine="0" w:firstLineChars="0"/>
              <w:rPr>
                <w:sz w:val="24"/>
                <w:szCs w:val="24"/>
              </w:rPr>
            </w:pPr>
            <w:r>
              <w:rPr>
                <w:sz w:val="24"/>
                <w:szCs w:val="24"/>
              </w:rPr>
              <w:t>Không quá 60 ngày/năm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728"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2. BH Tai nạn cá nhân (TNCN)</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Tối đa 1.000.000.000 đ</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Tối đa 1.000.000.000 đ</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Tối đa 1.000.000.000 đ</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Tối đa 1.000.000.000 đ</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Tối đa 1.000.000.000 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728"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3. BH Sinh mạng cá nhân (SMCN)</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Tối đa 200.000.000 đ</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Tối đa 300.000.000 đ</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Tối đa 500.000.000 đ</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Tối đa 700.000.000 đ</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Tối đa 1.000.000.000 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728"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4. BH Nha khoa</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2.000.000 đ/năm</w:t>
            </w:r>
          </w:p>
          <w:p>
            <w:pPr>
              <w:spacing w:line="360" w:lineRule="auto"/>
              <w:ind w:left="0" w:leftChars="0" w:firstLine="0" w:firstLineChars="0"/>
              <w:rPr>
                <w:sz w:val="24"/>
                <w:szCs w:val="24"/>
              </w:rPr>
            </w:pPr>
            <w:r>
              <w:rPr>
                <w:sz w:val="24"/>
                <w:szCs w:val="24"/>
              </w:rPr>
              <w:br w:type="textWrapping"/>
            </w:r>
          </w:p>
          <w:p>
            <w:pPr>
              <w:spacing w:line="360" w:lineRule="auto"/>
              <w:ind w:left="0" w:leftChars="0" w:firstLine="0" w:firstLineChars="0"/>
              <w:rPr>
                <w:sz w:val="24"/>
                <w:szCs w:val="24"/>
              </w:rPr>
            </w:pPr>
            <w:r>
              <w:rPr>
                <w:sz w:val="24"/>
                <w:szCs w:val="24"/>
              </w:rPr>
              <w:t>1.000.000 đ/lần khám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2.000.000 đ/năm</w:t>
            </w:r>
          </w:p>
          <w:p>
            <w:pPr>
              <w:spacing w:line="360" w:lineRule="auto"/>
              <w:ind w:left="0" w:leftChars="0" w:firstLine="0" w:firstLineChars="0"/>
              <w:rPr>
                <w:sz w:val="24"/>
                <w:szCs w:val="24"/>
              </w:rPr>
            </w:pPr>
            <w:r>
              <w:rPr>
                <w:sz w:val="24"/>
                <w:szCs w:val="24"/>
              </w:rPr>
              <w:br w:type="textWrapping"/>
            </w:r>
          </w:p>
          <w:p>
            <w:pPr>
              <w:spacing w:line="360" w:lineRule="auto"/>
              <w:ind w:left="0" w:leftChars="0" w:firstLine="0" w:firstLineChars="0"/>
              <w:rPr>
                <w:sz w:val="24"/>
                <w:szCs w:val="24"/>
              </w:rPr>
            </w:pPr>
            <w:r>
              <w:rPr>
                <w:sz w:val="24"/>
                <w:szCs w:val="24"/>
              </w:rPr>
              <w:t>1.000.000 đ/lần khám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5.000.000 đ/năm</w:t>
            </w:r>
          </w:p>
          <w:p>
            <w:pPr>
              <w:spacing w:line="360" w:lineRule="auto"/>
              <w:ind w:left="0" w:leftChars="0" w:firstLine="0" w:firstLineChars="0"/>
              <w:rPr>
                <w:sz w:val="24"/>
                <w:szCs w:val="24"/>
              </w:rPr>
            </w:pPr>
            <w:r>
              <w:rPr>
                <w:sz w:val="24"/>
                <w:szCs w:val="24"/>
              </w:rPr>
              <w:br w:type="textWrapping"/>
            </w:r>
          </w:p>
          <w:p>
            <w:pPr>
              <w:spacing w:line="360" w:lineRule="auto"/>
              <w:ind w:left="0" w:leftChars="0" w:firstLine="0" w:firstLineChars="0"/>
              <w:rPr>
                <w:sz w:val="24"/>
                <w:szCs w:val="24"/>
              </w:rPr>
            </w:pPr>
            <w:r>
              <w:rPr>
                <w:sz w:val="24"/>
                <w:szCs w:val="24"/>
              </w:rPr>
              <w:t>2.500.000 đ/lần khám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10.000.000 đ/năm</w:t>
            </w:r>
          </w:p>
          <w:p>
            <w:pPr>
              <w:spacing w:line="360" w:lineRule="auto"/>
              <w:ind w:left="0" w:leftChars="0" w:firstLine="0" w:firstLineChars="0"/>
              <w:rPr>
                <w:sz w:val="24"/>
                <w:szCs w:val="24"/>
              </w:rPr>
            </w:pPr>
            <w:r>
              <w:rPr>
                <w:sz w:val="24"/>
                <w:szCs w:val="24"/>
              </w:rPr>
              <w:br w:type="textWrapping"/>
            </w:r>
          </w:p>
          <w:p>
            <w:pPr>
              <w:spacing w:line="360" w:lineRule="auto"/>
              <w:ind w:left="0" w:leftChars="0" w:firstLine="0" w:firstLineChars="0"/>
              <w:rPr>
                <w:sz w:val="24"/>
                <w:szCs w:val="24"/>
                <w:lang w:val="vi-VN"/>
              </w:rPr>
            </w:pPr>
            <w:r>
              <w:rPr>
                <w:sz w:val="24"/>
                <w:szCs w:val="24"/>
              </w:rPr>
              <w:t>5.000.000 đ/lần</w:t>
            </w:r>
            <w:r>
              <w:rPr>
                <w:sz w:val="24"/>
                <w:szCs w:val="24"/>
                <w:lang w:val="vi-VN"/>
              </w:rPr>
              <w:t xml:space="preserve"> khám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15.000.000 đ/năm</w:t>
            </w:r>
          </w:p>
          <w:p>
            <w:pPr>
              <w:spacing w:line="360" w:lineRule="auto"/>
              <w:ind w:left="0" w:leftChars="0" w:firstLine="0" w:firstLineChars="0"/>
              <w:rPr>
                <w:sz w:val="24"/>
                <w:szCs w:val="24"/>
              </w:rPr>
            </w:pPr>
            <w:r>
              <w:rPr>
                <w:sz w:val="24"/>
                <w:szCs w:val="24"/>
              </w:rPr>
              <w:br w:type="textWrapping"/>
            </w:r>
          </w:p>
          <w:p>
            <w:pPr>
              <w:spacing w:line="360" w:lineRule="auto"/>
              <w:ind w:left="0" w:leftChars="0" w:firstLine="0" w:firstLineChars="0"/>
              <w:rPr>
                <w:sz w:val="24"/>
                <w:szCs w:val="24"/>
              </w:rPr>
            </w:pPr>
            <w:r>
              <w:rPr>
                <w:sz w:val="24"/>
                <w:szCs w:val="24"/>
              </w:rPr>
              <w:t>7.500.000 đ/lần khám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728"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5. BH Thai sản</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Không</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21.000.000 đ/năm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21.000.000 đ/năm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21.000.000 đ/năm</w:t>
            </w:r>
          </w:p>
        </w:tc>
        <w:tc>
          <w:tcPr>
            <w:tcW w:w="174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31.500.000 đ/năm</w:t>
            </w:r>
          </w:p>
        </w:tc>
      </w:tr>
    </w:tbl>
    <w:p>
      <w:pPr>
        <w:spacing w:line="360" w:lineRule="auto"/>
        <w:ind w:left="0" w:leftChars="0" w:firstLine="0" w:firstLineChars="0"/>
        <w:rPr>
          <w:sz w:val="24"/>
          <w:szCs w:val="24"/>
        </w:rPr>
      </w:pPr>
      <w:r>
        <w:rPr>
          <w:i/>
          <w:iCs/>
          <w:sz w:val="24"/>
          <w:szCs w:val="24"/>
        </w:rPr>
        <w:t>(Nguồn dữ liệu chính thức niêm yết công khai bởi Tổng công ty Bảo hiểm Bảo Việt)</w:t>
      </w:r>
    </w:p>
    <w:p>
      <w:pPr>
        <w:spacing w:line="360" w:lineRule="auto"/>
        <w:ind w:left="0" w:leftChars="0" w:firstLine="0" w:firstLineChars="0"/>
        <w:rPr>
          <w:b/>
          <w:bCs/>
          <w:sz w:val="24"/>
          <w:szCs w:val="24"/>
        </w:rPr>
      </w:pPr>
      <w:r>
        <w:rPr>
          <w:b/>
          <w:bCs/>
          <w:sz w:val="24"/>
          <w:szCs w:val="24"/>
        </w:rPr>
        <w:t>Phụ lục 3: Biểu phí chuẩn sản phẩm bảo hiểm sức khỏe Bảo Việt An Gia mà sinh viên có thể tiếp cận</w:t>
      </w:r>
    </w:p>
    <w:p>
      <w:pPr>
        <w:spacing w:line="360" w:lineRule="auto"/>
        <w:ind w:left="0" w:leftChars="0" w:firstLine="0" w:firstLineChars="0"/>
        <w:rPr>
          <w:sz w:val="24"/>
          <w:szCs w:val="24"/>
        </w:rPr>
      </w:pPr>
      <w:r>
        <w:rPr>
          <w:i/>
          <w:iCs/>
          <w:sz w:val="24"/>
          <w:szCs w:val="24"/>
        </w:rPr>
        <w:t>(Đơn vị tính: VNĐ/người/năm)</w:t>
      </w:r>
    </w:p>
    <w:tbl>
      <w:tblPr>
        <w:tblStyle w:val="18"/>
        <w:tblW w:w="10996" w:type="dxa"/>
        <w:tblInd w:w="-10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7" w:type="dxa"/>
          <w:left w:w="17" w:type="dxa"/>
          <w:bottom w:w="17" w:type="dxa"/>
          <w:right w:w="17" w:type="dxa"/>
        </w:tblCellMar>
      </w:tblPr>
      <w:tblGrid>
        <w:gridCol w:w="1680"/>
        <w:gridCol w:w="1516"/>
        <w:gridCol w:w="1770"/>
        <w:gridCol w:w="1520"/>
        <w:gridCol w:w="1520"/>
        <w:gridCol w:w="1520"/>
        <w:gridCol w:w="14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rPr>
          <w:tblHeader/>
        </w:trPr>
        <w:tc>
          <w:tcPr>
            <w:tcW w:w="1680" w:type="dxa"/>
            <w:shd w:val="clear" w:color="auto" w:fill="EBF1DE" w:themeFill="accent3" w:themeFillTint="32"/>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Danh mục quyền lợi bảo hiểm</w:t>
            </w:r>
          </w:p>
        </w:tc>
        <w:tc>
          <w:tcPr>
            <w:tcW w:w="1516" w:type="dxa"/>
            <w:shd w:val="clear" w:color="auto" w:fill="EBF1DE" w:themeFill="accent3" w:themeFillTint="32"/>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Chương trình Đồng</w:t>
            </w:r>
          </w:p>
        </w:tc>
        <w:tc>
          <w:tcPr>
            <w:tcW w:w="1770" w:type="dxa"/>
            <w:shd w:val="clear" w:color="auto" w:fill="EBF1DE" w:themeFill="accent3" w:themeFillTint="32"/>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Chương trình Bạc</w:t>
            </w:r>
          </w:p>
        </w:tc>
        <w:tc>
          <w:tcPr>
            <w:tcW w:w="1520" w:type="dxa"/>
            <w:shd w:val="clear" w:color="auto" w:fill="EBF1DE" w:themeFill="accent3" w:themeFillTint="32"/>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Chương trình Vàng</w:t>
            </w:r>
          </w:p>
        </w:tc>
        <w:tc>
          <w:tcPr>
            <w:tcW w:w="1520" w:type="dxa"/>
            <w:shd w:val="clear" w:color="auto" w:fill="EBF1DE" w:themeFill="accent3" w:themeFillTint="32"/>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Chương trình Bạch Kim</w:t>
            </w:r>
          </w:p>
        </w:tc>
        <w:tc>
          <w:tcPr>
            <w:tcW w:w="1520" w:type="dxa"/>
            <w:shd w:val="clear" w:color="auto" w:fill="EBF1DE" w:themeFill="accent3" w:themeFillTint="32"/>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Chương trình Kim Cương</w:t>
            </w:r>
          </w:p>
        </w:tc>
        <w:tc>
          <w:tcPr>
            <w:tcW w:w="1470" w:type="dxa"/>
            <w:shd w:val="clear" w:color="auto" w:fill="EBF1DE" w:themeFill="accent3" w:themeFillTint="32"/>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Điều kiện &amp; Độ tuổi áp dụng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0996" w:type="dxa"/>
            <w:gridSpan w:val="7"/>
            <w:tcMar>
              <w:top w:w="120" w:type="dxa"/>
              <w:left w:w="180" w:type="dxa"/>
              <w:bottom w:w="120" w:type="dxa"/>
              <w:right w:w="180" w:type="dxa"/>
            </w:tcMar>
            <w:vAlign w:val="center"/>
          </w:tcPr>
          <w:p>
            <w:pPr>
              <w:spacing w:line="360" w:lineRule="auto"/>
              <w:ind w:left="0" w:leftChars="0" w:firstLine="0" w:firstLineChars="0"/>
              <w:jc w:val="center"/>
              <w:rPr>
                <w:sz w:val="24"/>
                <w:szCs w:val="24"/>
              </w:rPr>
            </w:pPr>
            <w:r>
              <w:rPr>
                <w:b/>
                <w:bCs/>
                <w:sz w:val="24"/>
                <w:szCs w:val="24"/>
              </w:rPr>
              <w:t>A. PHÍ QUYỀN LỢI NỘI TRÚ CHÍNH (BẮT BUỘC)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68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Chi phí y tế nội trú do ốm bệnh, tai nạn</w:t>
            </w:r>
          </w:p>
        </w:tc>
        <w:tc>
          <w:tcPr>
            <w:tcW w:w="1516"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1.445.000 đ</w:t>
            </w:r>
          </w:p>
        </w:tc>
        <w:tc>
          <w:tcPr>
            <w:tcW w:w="1770"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2.073.000 đ</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3.140.000 đ</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4.423.000 đ</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5.406.000 đ</w:t>
            </w:r>
          </w:p>
        </w:tc>
        <w:tc>
          <w:tcPr>
            <w:tcW w:w="147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10 – 30 tuổi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0996" w:type="dxa"/>
            <w:gridSpan w:val="7"/>
            <w:tcMar>
              <w:top w:w="120" w:type="dxa"/>
              <w:left w:w="180" w:type="dxa"/>
              <w:bottom w:w="120" w:type="dxa"/>
              <w:right w:w="180" w:type="dxa"/>
            </w:tcMar>
            <w:vAlign w:val="center"/>
          </w:tcPr>
          <w:p>
            <w:pPr>
              <w:spacing w:line="360" w:lineRule="auto"/>
              <w:ind w:left="0" w:leftChars="0" w:firstLine="0" w:firstLineChars="0"/>
              <w:jc w:val="center"/>
              <w:rPr>
                <w:sz w:val="24"/>
                <w:szCs w:val="24"/>
              </w:rPr>
            </w:pPr>
            <w:r>
              <w:rPr>
                <w:b/>
                <w:bCs/>
                <w:sz w:val="24"/>
                <w:szCs w:val="24"/>
              </w:rPr>
              <w:t>B. PHÍ CÁC QUYỀN LỢI BỔ SUNG (TÙY CHỌN)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68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 Điều trị ngoại trú do ốm bệnh, tai nạn</w:t>
            </w:r>
          </w:p>
        </w:tc>
        <w:tc>
          <w:tcPr>
            <w:tcW w:w="1516"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1.786.000 đ</w:t>
            </w:r>
          </w:p>
        </w:tc>
        <w:tc>
          <w:tcPr>
            <w:tcW w:w="1770"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2.083.000 đ</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2.381.000 đ</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3.135.000 đ</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4.840.000 đ</w:t>
            </w:r>
          </w:p>
        </w:tc>
        <w:tc>
          <w:tcPr>
            <w:tcW w:w="147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10 – 30 tuổi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68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2. Bảo hiểm Tai nạn cá nhân (TNCN)</w:t>
            </w:r>
          </w:p>
        </w:tc>
        <w:tc>
          <w:tcPr>
            <w:tcW w:w="1516"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0,1% STBH</w:t>
            </w:r>
          </w:p>
        </w:tc>
        <w:tc>
          <w:tcPr>
            <w:tcW w:w="177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0,1% STBH</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0,1% STBH</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0,1% STBH</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0,1% STBH</w:t>
            </w:r>
          </w:p>
        </w:tc>
        <w:tc>
          <w:tcPr>
            <w:tcW w:w="147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 – 65 tuổi (STBH tự chọn từ 10 triệu đến 1 tỷ đồng)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680" w:type="dxa"/>
            <w:tcMar>
              <w:top w:w="120" w:type="dxa"/>
              <w:left w:w="180" w:type="dxa"/>
              <w:bottom w:w="120" w:type="dxa"/>
              <w:right w:w="180" w:type="dxa"/>
            </w:tcMar>
            <w:vAlign w:val="center"/>
          </w:tcPr>
          <w:p>
            <w:pPr>
              <w:spacing w:line="360" w:lineRule="auto"/>
              <w:ind w:left="0" w:leftChars="0" w:firstLine="0" w:firstLineChars="0"/>
              <w:rPr>
                <w:sz w:val="24"/>
                <w:szCs w:val="24"/>
              </w:rPr>
            </w:pPr>
            <w:r>
              <w:rPr>
                <w:i/>
                <w:iCs/>
                <w:sz w:val="24"/>
                <w:szCs w:val="24"/>
              </w:rPr>
              <w:t>(Ví dụ mức STBH 100 triệu đồng)</w:t>
            </w:r>
          </w:p>
        </w:tc>
        <w:tc>
          <w:tcPr>
            <w:tcW w:w="1516"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100.000 đ</w:t>
            </w:r>
          </w:p>
        </w:tc>
        <w:tc>
          <w:tcPr>
            <w:tcW w:w="177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100.000 đ</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100.000 đ</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100.000 đ</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100.000 đ</w:t>
            </w:r>
          </w:p>
        </w:tc>
        <w:tc>
          <w:tcPr>
            <w:tcW w:w="1470" w:type="dxa"/>
            <w:tcMar>
              <w:top w:w="120" w:type="dxa"/>
              <w:left w:w="180" w:type="dxa"/>
              <w:bottom w:w="120" w:type="dxa"/>
              <w:right w:w="180" w:type="dxa"/>
            </w:tcMar>
            <w:vAlign w:val="center"/>
          </w:tcPr>
          <w:p>
            <w:pPr>
              <w:spacing w:line="360" w:lineRule="auto"/>
              <w:ind w:left="0" w:leftChars="0" w:firstLine="0" w:firstLineChars="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68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3. Bảo hiểm sinh mạng cá nhân (SMCN)</w:t>
            </w:r>
          </w:p>
        </w:tc>
        <w:tc>
          <w:tcPr>
            <w:tcW w:w="1516"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0,25% STBH</w:t>
            </w:r>
          </w:p>
        </w:tc>
        <w:tc>
          <w:tcPr>
            <w:tcW w:w="177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0,25% STBH</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0,25% STBH</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0,25% STBH</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0,25% STBH</w:t>
            </w:r>
          </w:p>
        </w:tc>
        <w:tc>
          <w:tcPr>
            <w:tcW w:w="147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 – 65 tuổi (STBH tự chọn từ 10 triệu đến 1 tỷ đồng)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680" w:type="dxa"/>
            <w:tcMar>
              <w:top w:w="120" w:type="dxa"/>
              <w:left w:w="180" w:type="dxa"/>
              <w:bottom w:w="120" w:type="dxa"/>
              <w:right w:w="180" w:type="dxa"/>
            </w:tcMar>
            <w:vAlign w:val="center"/>
          </w:tcPr>
          <w:p>
            <w:pPr>
              <w:spacing w:line="360" w:lineRule="auto"/>
              <w:ind w:left="0" w:leftChars="0" w:firstLine="0" w:firstLineChars="0"/>
              <w:rPr>
                <w:sz w:val="24"/>
                <w:szCs w:val="24"/>
              </w:rPr>
            </w:pPr>
            <w:r>
              <w:rPr>
                <w:i/>
                <w:iCs/>
                <w:sz w:val="24"/>
                <w:szCs w:val="24"/>
              </w:rPr>
              <w:t>(Ví dụ mức STBH 100 triệu đồng)</w:t>
            </w:r>
          </w:p>
        </w:tc>
        <w:tc>
          <w:tcPr>
            <w:tcW w:w="1516"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250.000 đ</w:t>
            </w:r>
          </w:p>
        </w:tc>
        <w:tc>
          <w:tcPr>
            <w:tcW w:w="177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250.000 đ</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250.000 đ</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250.000 đ</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250.000 đ</w:t>
            </w:r>
          </w:p>
        </w:tc>
        <w:tc>
          <w:tcPr>
            <w:tcW w:w="1470" w:type="dxa"/>
            <w:tcMar>
              <w:top w:w="120" w:type="dxa"/>
              <w:left w:w="180" w:type="dxa"/>
              <w:bottom w:w="120" w:type="dxa"/>
              <w:right w:w="180" w:type="dxa"/>
            </w:tcMar>
            <w:vAlign w:val="center"/>
          </w:tcPr>
          <w:p>
            <w:pPr>
              <w:spacing w:line="360" w:lineRule="auto"/>
              <w:ind w:left="0" w:leftChars="0" w:firstLine="0" w:firstLineChars="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68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4. Bảo hiểm Nha khoa</w:t>
            </w:r>
          </w:p>
        </w:tc>
        <w:tc>
          <w:tcPr>
            <w:tcW w:w="1516"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545.000 đ</w:t>
            </w:r>
          </w:p>
        </w:tc>
        <w:tc>
          <w:tcPr>
            <w:tcW w:w="177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545.000 đ</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1.350.000 đ</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2.300.000 đ</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3.450.000 đ</w:t>
            </w:r>
          </w:p>
        </w:tc>
        <w:tc>
          <w:tcPr>
            <w:tcW w:w="147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 – 65 tuổi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680" w:type="dxa"/>
            <w:tcMar>
              <w:top w:w="120" w:type="dxa"/>
              <w:left w:w="180" w:type="dxa"/>
              <w:bottom w:w="120" w:type="dxa"/>
              <w:right w:w="180" w:type="dxa"/>
            </w:tcMar>
            <w:vAlign w:val="center"/>
          </w:tcPr>
          <w:p>
            <w:pPr>
              <w:spacing w:line="360" w:lineRule="auto"/>
              <w:ind w:left="0" w:leftChars="0" w:firstLine="0" w:firstLineChars="0"/>
              <w:rPr>
                <w:sz w:val="24"/>
                <w:szCs w:val="24"/>
              </w:rPr>
            </w:pPr>
            <w:r>
              <w:rPr>
                <w:i/>
                <w:iCs/>
                <w:sz w:val="24"/>
                <w:szCs w:val="24"/>
              </w:rPr>
              <w:t>(Hạn mức bồi thường nha khoa/năm)</w:t>
            </w:r>
          </w:p>
        </w:tc>
        <w:tc>
          <w:tcPr>
            <w:tcW w:w="1516"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(2.000.000 đ)</w:t>
            </w:r>
          </w:p>
        </w:tc>
        <w:tc>
          <w:tcPr>
            <w:tcW w:w="177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(2.000.000 đ)</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(5.000.000 đ)</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(10.000.000 đ)</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(15.000.000 đ)</w:t>
            </w:r>
          </w:p>
        </w:tc>
        <w:tc>
          <w:tcPr>
            <w:tcW w:w="1470" w:type="dxa"/>
            <w:tcMar>
              <w:top w:w="120" w:type="dxa"/>
              <w:left w:w="180" w:type="dxa"/>
              <w:bottom w:w="120" w:type="dxa"/>
              <w:right w:w="180" w:type="dxa"/>
            </w:tcMar>
            <w:vAlign w:val="center"/>
          </w:tcPr>
          <w:p>
            <w:pPr>
              <w:spacing w:line="360" w:lineRule="auto"/>
              <w:ind w:left="0" w:leftChars="0" w:firstLine="0" w:firstLineChars="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68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5. Bảo hiểm thai sản</w:t>
            </w:r>
          </w:p>
        </w:tc>
        <w:tc>
          <w:tcPr>
            <w:tcW w:w="1516"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Không áp dụng</w:t>
            </w:r>
          </w:p>
        </w:tc>
        <w:tc>
          <w:tcPr>
            <w:tcW w:w="177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5.520.000 đ</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5.520.000 đ</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5.520.000 đ</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6.325.000 đ</w:t>
            </w:r>
          </w:p>
        </w:tc>
        <w:tc>
          <w:tcPr>
            <w:tcW w:w="147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Nữ từ 19 – 45 tuổi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680" w:type="dxa"/>
            <w:tcMar>
              <w:top w:w="120" w:type="dxa"/>
              <w:left w:w="180" w:type="dxa"/>
              <w:bottom w:w="120" w:type="dxa"/>
              <w:right w:w="180" w:type="dxa"/>
            </w:tcMar>
            <w:vAlign w:val="center"/>
          </w:tcPr>
          <w:p>
            <w:pPr>
              <w:spacing w:line="360" w:lineRule="auto"/>
              <w:ind w:left="0" w:leftChars="0" w:firstLine="0" w:firstLineChars="0"/>
              <w:rPr>
                <w:sz w:val="24"/>
                <w:szCs w:val="24"/>
              </w:rPr>
            </w:pPr>
            <w:r>
              <w:rPr>
                <w:i/>
                <w:iCs/>
                <w:sz w:val="24"/>
                <w:szCs w:val="24"/>
              </w:rPr>
              <w:t>(Hạn mức chi trả thai sản/năm)</w:t>
            </w:r>
          </w:p>
        </w:tc>
        <w:tc>
          <w:tcPr>
            <w:tcW w:w="1516"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(Không áp dụng)</w:t>
            </w:r>
          </w:p>
        </w:tc>
        <w:tc>
          <w:tcPr>
            <w:tcW w:w="177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(21.000.000 đ)</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(21.000.000 đ)</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(21.000.000 đ)</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(31.500.000 đ)</w:t>
            </w:r>
          </w:p>
        </w:tc>
        <w:tc>
          <w:tcPr>
            <w:tcW w:w="1470" w:type="dxa"/>
            <w:tcMar>
              <w:top w:w="120" w:type="dxa"/>
              <w:left w:w="180" w:type="dxa"/>
              <w:bottom w:w="120" w:type="dxa"/>
              <w:right w:w="180" w:type="dxa"/>
            </w:tcMar>
            <w:vAlign w:val="center"/>
          </w:tcPr>
          <w:p>
            <w:pPr>
              <w:spacing w:line="360" w:lineRule="auto"/>
              <w:ind w:left="0" w:leftChars="0" w:firstLine="0" w:firstLineChars="0"/>
              <w:rPr>
                <w:sz w:val="24"/>
                <w:szCs w:val="24"/>
              </w:rPr>
            </w:pPr>
            <w:r>
              <w:rPr>
                <w:i/>
                <w:iCs/>
                <w:sz w:val="24"/>
                <w:szCs w:val="24"/>
              </w:rPr>
              <w:t>(Thời gian chờ sinh đẻ: 270 ngày)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0996" w:type="dxa"/>
            <w:gridSpan w:val="7"/>
            <w:tcMar>
              <w:top w:w="120" w:type="dxa"/>
              <w:left w:w="180" w:type="dxa"/>
              <w:bottom w:w="120" w:type="dxa"/>
              <w:right w:w="180" w:type="dxa"/>
            </w:tcMar>
            <w:vAlign w:val="center"/>
          </w:tcPr>
          <w:p>
            <w:pPr>
              <w:spacing w:line="360" w:lineRule="auto"/>
              <w:ind w:left="0" w:leftChars="0" w:firstLine="0" w:firstLineChars="0"/>
              <w:jc w:val="center"/>
              <w:rPr>
                <w:sz w:val="24"/>
                <w:szCs w:val="24"/>
              </w:rPr>
            </w:pPr>
            <w:r>
              <w:rPr>
                <w:b/>
                <w:bCs/>
                <w:sz w:val="24"/>
                <w:szCs w:val="24"/>
              </w:rPr>
              <w:t>C. TỔNG PHÍ GÓI THƯƠNG MẠI CƠ BẢN (NỘI TRÚ + NGOẠI TRÚ)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680"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Tổng phí bảo hiểm (Nội trú + Ngoại trú)/năm</w:t>
            </w:r>
          </w:p>
        </w:tc>
        <w:tc>
          <w:tcPr>
            <w:tcW w:w="1516"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3.231.000 đ</w:t>
            </w:r>
          </w:p>
        </w:tc>
        <w:tc>
          <w:tcPr>
            <w:tcW w:w="1770"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4.156.000 đ</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5.521.000 đ</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7.558.000 đ</w:t>
            </w:r>
          </w:p>
        </w:tc>
        <w:tc>
          <w:tcPr>
            <w:tcW w:w="1520"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10.246.000 đ</w:t>
            </w:r>
          </w:p>
        </w:tc>
        <w:tc>
          <w:tcPr>
            <w:tcW w:w="1470"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Áp dụng cho độ tuổi sinh viên (10 – 30 tuổi)</w:t>
            </w:r>
          </w:p>
        </w:tc>
      </w:tr>
    </w:tbl>
    <w:p>
      <w:pPr>
        <w:spacing w:line="360" w:lineRule="auto"/>
        <w:ind w:left="0" w:leftChars="0" w:firstLine="0" w:firstLineChars="0"/>
        <w:rPr>
          <w:sz w:val="24"/>
          <w:szCs w:val="24"/>
        </w:rPr>
      </w:pPr>
      <w:r>
        <w:rPr>
          <w:i/>
          <w:iCs/>
          <w:sz w:val="24"/>
          <w:szCs w:val="24"/>
        </w:rPr>
        <w:t>(Nguồn: Quy tắc và Biểu phí ban hành kèm theo Quyết định số 6029/QĐ-BHBV của Tổng công ty Bảo hiểm Bảo Việt – Niêm yết tại baovietonline.com.vn; Đơn vị tính: VNĐ/người/năm)</w:t>
      </w:r>
    </w:p>
    <w:p>
      <w:pPr>
        <w:spacing w:line="360" w:lineRule="auto"/>
        <w:ind w:left="0" w:leftChars="0" w:firstLine="0" w:firstLineChars="0"/>
        <w:rPr>
          <w:b/>
          <w:bCs/>
          <w:sz w:val="24"/>
          <w:szCs w:val="24"/>
        </w:rPr>
      </w:pPr>
      <w:r>
        <w:rPr>
          <w:b/>
          <w:bCs/>
          <w:sz w:val="24"/>
          <w:szCs w:val="24"/>
        </w:rPr>
        <w:t>Phụ lục 4: Quy định về thời gian chờ và đồng chi trả của Bảo Việt An Gia</w:t>
      </w:r>
    </w:p>
    <w:tbl>
      <w:tblPr>
        <w:tblStyle w:val="18"/>
        <w:tblW w:w="10810" w:type="dxa"/>
        <w:tblInd w:w="-10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7" w:type="dxa"/>
          <w:left w:w="17" w:type="dxa"/>
          <w:bottom w:w="17" w:type="dxa"/>
          <w:right w:w="17" w:type="dxa"/>
        </w:tblCellMar>
      </w:tblPr>
      <w:tblGrid>
        <w:gridCol w:w="1036"/>
        <w:gridCol w:w="2051"/>
        <w:gridCol w:w="2324"/>
        <w:gridCol w:w="2083"/>
        <w:gridCol w:w="3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rPr>
          <w:tblHeader/>
        </w:trPr>
        <w:tc>
          <w:tcPr>
            <w:tcW w:w="1036"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STT</w:t>
            </w:r>
          </w:p>
        </w:tc>
        <w:tc>
          <w:tcPr>
            <w:tcW w:w="2051"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Nhóm sự kiện rủi ro / Bệnh lý</w:t>
            </w:r>
          </w:p>
        </w:tc>
        <w:tc>
          <w:tcPr>
            <w:tcW w:w="2324"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Thời gian chờ áp dụng (Waiting Period)</w:t>
            </w:r>
          </w:p>
        </w:tc>
        <w:tc>
          <w:tcPr>
            <w:tcW w:w="2083"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Tỷ lệ đồng chi trả (Co-payment)</w:t>
            </w:r>
          </w:p>
        </w:tc>
        <w:tc>
          <w:tcPr>
            <w:tcW w:w="3316"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Nguyên tắc và điều kiện chi trả chi tiết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036"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1</w:t>
            </w:r>
          </w:p>
        </w:tc>
        <w:tc>
          <w:tcPr>
            <w:tcW w:w="2051"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Tai nạn (Sinh hoạt, giao thông)</w:t>
            </w:r>
          </w:p>
        </w:tc>
        <w:tc>
          <w:tcPr>
            <w:tcW w:w="2324"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0 ngày (Hiệu lực ngay)</w:t>
            </w:r>
          </w:p>
        </w:tc>
        <w:tc>
          <w:tcPr>
            <w:tcW w:w="2083"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0% (Chi trả 100% thuộc phạm vi)</w:t>
            </w:r>
          </w:p>
        </w:tc>
        <w:tc>
          <w:tcPr>
            <w:tcW w:w="3316"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Có hiệu lực bảo hiểm ngay sau khi người tham gia đóng đủ phí bảo hiểm theo quy định.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036"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2</w:t>
            </w:r>
          </w:p>
        </w:tc>
        <w:tc>
          <w:tcPr>
            <w:tcW w:w="2051"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Bệnh tật, ốm đau thông thường</w:t>
            </w:r>
          </w:p>
        </w:tc>
        <w:tc>
          <w:tcPr>
            <w:tcW w:w="2324"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30 ngày</w:t>
            </w:r>
          </w:p>
        </w:tc>
        <w:tc>
          <w:tcPr>
            <w:tcW w:w="2083"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0% (Áp dụng cho người từ 4 tuổi trở lên)</w:t>
            </w:r>
          </w:p>
        </w:tc>
        <w:tc>
          <w:tcPr>
            <w:tcW w:w="3316"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Chỉ chi trả cho các đợt khám và điều trị khởi phát sau 30 ngày kể từ ngày bắt đầu thời hạn bảo hiểm.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036"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3</w:t>
            </w:r>
          </w:p>
        </w:tc>
        <w:tc>
          <w:tcPr>
            <w:tcW w:w="2051"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Bệnh có sẵn (Pre-existing conditions)</w:t>
            </w:r>
          </w:p>
        </w:tc>
        <w:tc>
          <w:tcPr>
            <w:tcW w:w="2324"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365 ngày (01 năm)</w:t>
            </w:r>
          </w:p>
        </w:tc>
        <w:tc>
          <w:tcPr>
            <w:tcW w:w="2083"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0% (Từ năm hợp đồng thứ hai trở đi)</w:t>
            </w:r>
          </w:p>
        </w:tc>
        <w:tc>
          <w:tcPr>
            <w:tcW w:w="3316"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Không chi trả trong năm đầu tiên đối với các bệnh đã xuất hiện triệu chứng hoặc đã được chẩn đoán trước ngày mua bảo hiểm.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036"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4</w:t>
            </w:r>
          </w:p>
        </w:tc>
        <w:tc>
          <w:tcPr>
            <w:tcW w:w="2051"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Bệnh đặc biệt (Ung thư, u các loại, tim mạch, suy thận, huyết áp...)</w:t>
            </w:r>
          </w:p>
        </w:tc>
        <w:tc>
          <w:tcPr>
            <w:tcW w:w="2324"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365 ngày (01 năm)</w:t>
            </w:r>
          </w:p>
        </w:tc>
        <w:tc>
          <w:tcPr>
            <w:tcW w:w="2083"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0% (Từ năm hợp đồng thứ hai trở đi)</w:t>
            </w:r>
          </w:p>
        </w:tc>
        <w:tc>
          <w:tcPr>
            <w:tcW w:w="3316"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Áp dụng thời gian chờ đủ 12 tháng liên tục đối với danh mục bệnh đặc biệt quy định tại Phụ lục Quy tắc bảo hiểm.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036"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5</w:t>
            </w:r>
          </w:p>
        </w:tc>
        <w:tc>
          <w:tcPr>
            <w:tcW w:w="2051"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Biến chứng thai sản</w:t>
            </w:r>
          </w:p>
        </w:tc>
        <w:tc>
          <w:tcPr>
            <w:tcW w:w="2324"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90 ngày</w:t>
            </w:r>
          </w:p>
        </w:tc>
        <w:tc>
          <w:tcPr>
            <w:tcW w:w="2083"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0%</w:t>
            </w:r>
          </w:p>
        </w:tc>
        <w:tc>
          <w:tcPr>
            <w:tcW w:w="3316"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Chỉ chi trả khi biến chứng sản khoa phát sinh sau 90 ngày kể từ ngày bảo hiểm có hiệu lực.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036"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6</w:t>
            </w:r>
          </w:p>
        </w:tc>
        <w:tc>
          <w:tcPr>
            <w:tcW w:w="2051"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Sinh đẻ (Sinh thường / Sinh mổ)</w:t>
            </w:r>
          </w:p>
        </w:tc>
        <w:tc>
          <w:tcPr>
            <w:tcW w:w="2324"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270 ngày (09 tháng)</w:t>
            </w:r>
          </w:p>
        </w:tc>
        <w:tc>
          <w:tcPr>
            <w:tcW w:w="2083"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0% (Từ chương trình Bạc trở lên)</w:t>
            </w:r>
          </w:p>
        </w:tc>
        <w:tc>
          <w:tcPr>
            <w:tcW w:w="3316"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Áp dụng cho nữ giới từ 19 đến 45 tuổi; không bảo vệ cho Chương trình Đồng.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036"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7</w:t>
            </w:r>
          </w:p>
        </w:tc>
        <w:tc>
          <w:tcPr>
            <w:tcW w:w="2051"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Trẻ em từ 15 ngày tuổi đến 3 tuổi</w:t>
            </w:r>
          </w:p>
        </w:tc>
        <w:tc>
          <w:tcPr>
            <w:tcW w:w="2324"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Theo từng loại bệnh</w:t>
            </w:r>
          </w:p>
        </w:tc>
        <w:tc>
          <w:tcPr>
            <w:tcW w:w="2083"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Đồng chi trả 70/30 (Bảo hiểm trả 70%, khách hàng tự trả 30%)</w:t>
            </w:r>
          </w:p>
        </w:tc>
        <w:tc>
          <w:tcPr>
            <w:tcW w:w="3316"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Áp dụng tỷ lệ đồng chi trả 70/30 đối với tất cả các chi phí y tế phát sinh tại tất cả các cơ sở y tế.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036" w:type="dxa"/>
            <w:tcMar>
              <w:top w:w="120" w:type="dxa"/>
              <w:left w:w="180" w:type="dxa"/>
              <w:bottom w:w="120" w:type="dxa"/>
              <w:right w:w="180" w:type="dxa"/>
            </w:tcMar>
            <w:vAlign w:val="center"/>
          </w:tcPr>
          <w:p>
            <w:pPr>
              <w:spacing w:line="360" w:lineRule="auto"/>
              <w:ind w:left="0" w:leftChars="0" w:firstLine="0" w:firstLineChars="0"/>
              <w:rPr>
                <w:sz w:val="24"/>
                <w:szCs w:val="24"/>
              </w:rPr>
            </w:pPr>
            <w:r>
              <w:rPr>
                <w:b/>
                <w:bCs/>
                <w:sz w:val="24"/>
                <w:szCs w:val="24"/>
              </w:rPr>
              <w:t>8</w:t>
            </w:r>
          </w:p>
        </w:tc>
        <w:tc>
          <w:tcPr>
            <w:tcW w:w="2051"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Khám chữa bệnh tại Bệnh viện tư nhân / Quốc tế</w:t>
            </w:r>
          </w:p>
        </w:tc>
        <w:tc>
          <w:tcPr>
            <w:tcW w:w="2324"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Theo từng chương trình</w:t>
            </w:r>
          </w:p>
        </w:tc>
        <w:tc>
          <w:tcPr>
            <w:tcW w:w="2083"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Đồng chi trả 50/50 hoặc 70/30 (tùy cơ sở y tế ngoài công lập)</w:t>
            </w:r>
          </w:p>
        </w:tc>
        <w:tc>
          <w:tcPr>
            <w:tcW w:w="3316" w:type="dxa"/>
            <w:tcMar>
              <w:top w:w="120" w:type="dxa"/>
              <w:left w:w="180" w:type="dxa"/>
              <w:bottom w:w="120" w:type="dxa"/>
              <w:right w:w="180" w:type="dxa"/>
            </w:tcMar>
            <w:vAlign w:val="center"/>
          </w:tcPr>
          <w:p>
            <w:pPr>
              <w:spacing w:line="360" w:lineRule="auto"/>
              <w:ind w:left="0" w:leftChars="0" w:firstLine="0" w:firstLineChars="0"/>
              <w:rPr>
                <w:sz w:val="24"/>
                <w:szCs w:val="24"/>
              </w:rPr>
            </w:pPr>
            <w:r>
              <w:rPr>
                <w:sz w:val="24"/>
                <w:szCs w:val="24"/>
              </w:rPr>
              <w:t>Áp dụng đối với một số cơ sở y tế cao cấp trong danh sách loại trừ bảo lãnh viện phí của Bảo Việt.</w:t>
            </w:r>
          </w:p>
        </w:tc>
      </w:tr>
    </w:tbl>
    <w:p>
      <w:pPr>
        <w:spacing w:line="360" w:lineRule="auto"/>
        <w:ind w:left="0" w:leftChars="0" w:firstLine="0" w:firstLineChars="0"/>
        <w:rPr>
          <w:sz w:val="24"/>
          <w:szCs w:val="24"/>
        </w:rPr>
      </w:pPr>
      <w:r>
        <w:rPr>
          <w:i/>
          <w:iCs/>
          <w:sz w:val="24"/>
          <w:szCs w:val="24"/>
        </w:rPr>
        <w:t>(Nguồn: Quy tắc bảo hiểm sức khỏe Bảo Việt An Gia số 6029/QĐ-BHBV – Tổng công ty Bảo hiểm Bảo Việt)</w:t>
      </w:r>
    </w:p>
    <w:p>
      <w:pPr>
        <w:spacing w:line="360" w:lineRule="auto"/>
        <w:ind w:left="0" w:leftChars="0" w:firstLine="0" w:firstLineChars="0"/>
        <w:rPr>
          <w:sz w:val="24"/>
          <w:szCs w:val="24"/>
        </w:rPr>
      </w:pPr>
    </w:p>
    <w:bookmarkEnd w:id="0"/>
    <w:sectPr>
      <w:headerReference r:id="rId5" w:type="first"/>
      <w:footerReference r:id="rId8" w:type="first"/>
      <w:headerReference r:id="rId3" w:type="default"/>
      <w:footerReference r:id="rId6" w:type="default"/>
      <w:headerReference r:id="rId4" w:type="even"/>
      <w:footerReference r:id="rId7" w:type="even"/>
      <w:pgSz w:w="11900" w:h="16840"/>
      <w:pgMar w:top="1134" w:right="1021" w:bottom="1134" w:left="1701"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A3"/>
    <w:family w:val="swiss"/>
    <w:pitch w:val="default"/>
    <w:sig w:usb0="E4002EFF" w:usb1="C200247B" w:usb2="00000009" w:usb3="00000000" w:csb0="200001FF" w:csb1="00000000"/>
  </w:font>
  <w:font w:name="Cambria">
    <w:panose1 w:val="02040503050406030204"/>
    <w:charset w:val="A3"/>
    <w:family w:val="roman"/>
    <w:pitch w:val="default"/>
    <w:sig w:usb0="E00006FF" w:usb1="420024FF" w:usb2="02000000" w:usb3="00000000" w:csb0="2000019F" w:csb1="00000000"/>
  </w:font>
  <w:font w:name="Tahoma">
    <w:panose1 w:val="020B0604030504040204"/>
    <w:charset w:val="A3"/>
    <w:family w:val="swiss"/>
    <w:pitch w:val="default"/>
    <w:sig w:usb0="E1002EFF" w:usb1="C000605B" w:usb2="00000029" w:usb3="00000000" w:csb0="200101FF" w:csb1="20280000"/>
  </w:font>
  <w:font w:name="MS Mincho">
    <w:altName w:val="Yu Gothic UI"/>
    <w:panose1 w:val="02020609040205080304"/>
    <w:charset w:val="80"/>
    <w:family w:val="modern"/>
    <w:pitch w:val="default"/>
    <w:sig w:usb0="00000000" w:usb1="00000000" w:usb2="08000012" w:usb3="00000000" w:csb0="0002009F" w:csb1="00000000"/>
  </w:font>
  <w:font w:name="Georgia">
    <w:panose1 w:val="02040502050405020303"/>
    <w:charset w:val="00"/>
    <w:family w:val="roman"/>
    <w:pitch w:val="default"/>
    <w:sig w:usb0="00000287" w:usb1="00000000" w:usb2="00000000" w:usb3="00000000" w:csb0="2000009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42880573"/>
      <w:docPartObj>
        <w:docPartGallery w:val="AutoText"/>
      </w:docPartObj>
    </w:sdtPr>
    <w:sdtContent>
      <w:p>
        <w:pPr>
          <w:pStyle w:val="8"/>
          <w:ind w:left="0" w:hanging="3"/>
          <w:jc w:val="center"/>
        </w:pPr>
        <w:r>
          <w:fldChar w:fldCharType="begin"/>
        </w:r>
        <w:r>
          <w:instrText xml:space="preserve"> PAGE   \* MERGEFORMAT </w:instrText>
        </w:r>
        <w:r>
          <w:fldChar w:fldCharType="separate"/>
        </w:r>
        <w:r>
          <w:t>2</w:t>
        </w:r>
        <w:r>
          <w:fldChar w:fldCharType="end"/>
        </w:r>
      </w:p>
    </w:sdtContent>
  </w:sdt>
  <w:p>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spacing w:line="240" w:lineRule="auto"/>
      <w:ind w:left="0" w:hanging="3"/>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spacing w:line="240" w:lineRule="auto"/>
      <w:ind w:left="0" w:hanging="3"/>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spacing w:line="240" w:lineRule="auto"/>
      <w:ind w:left="0" w:hanging="3"/>
      <w:rPr>
        <w:color w:val="00000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line="240" w:lineRule="auto"/>
      <w:ind w:left="0" w:hanging="3"/>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line="240" w:lineRule="auto"/>
      <w:ind w:left="0" w:hanging="3"/>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line="240" w:lineRule="auto"/>
      <w:ind w:left="0" w:hanging="3"/>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D35B4"/>
    <w:multiLevelType w:val="multilevel"/>
    <w:tmpl w:val="030D35B4"/>
    <w:lvl w:ilvl="0" w:tentative="0">
      <w:start w:val="1"/>
      <w:numFmt w:val="decimal"/>
      <w:lvlText w:val="%1."/>
      <w:lvlJc w:val="left"/>
      <w:pPr>
        <w:ind w:left="359" w:hanging="360"/>
      </w:pPr>
      <w:rPr>
        <w:rFonts w:hint="default"/>
      </w:rPr>
    </w:lvl>
    <w:lvl w:ilvl="1" w:tentative="0">
      <w:start w:val="1"/>
      <w:numFmt w:val="decimal"/>
      <w:isLgl/>
      <w:lvlText w:val="%1.%2."/>
      <w:lvlJc w:val="left"/>
      <w:pPr>
        <w:ind w:left="419" w:hanging="420"/>
      </w:pPr>
      <w:rPr>
        <w:rFonts w:hint="default"/>
      </w:rPr>
    </w:lvl>
    <w:lvl w:ilvl="2" w:tentative="0">
      <w:start w:val="1"/>
      <w:numFmt w:val="decimal"/>
      <w:isLgl/>
      <w:lvlText w:val="%1.%2.%3."/>
      <w:lvlJc w:val="left"/>
      <w:pPr>
        <w:ind w:left="719" w:hanging="720"/>
      </w:pPr>
      <w:rPr>
        <w:rFonts w:hint="default"/>
      </w:rPr>
    </w:lvl>
    <w:lvl w:ilvl="3" w:tentative="0">
      <w:start w:val="1"/>
      <w:numFmt w:val="decimal"/>
      <w:isLgl/>
      <w:lvlText w:val="%1.%2.%3.%4."/>
      <w:lvlJc w:val="left"/>
      <w:pPr>
        <w:ind w:left="719" w:hanging="720"/>
      </w:pPr>
      <w:rPr>
        <w:rFonts w:hint="default"/>
      </w:rPr>
    </w:lvl>
    <w:lvl w:ilvl="4" w:tentative="0">
      <w:start w:val="1"/>
      <w:numFmt w:val="decimal"/>
      <w:isLgl/>
      <w:lvlText w:val="%1.%2.%3.%4.%5."/>
      <w:lvlJc w:val="left"/>
      <w:pPr>
        <w:ind w:left="1079" w:hanging="1080"/>
      </w:pPr>
      <w:rPr>
        <w:rFonts w:hint="default"/>
      </w:rPr>
    </w:lvl>
    <w:lvl w:ilvl="5" w:tentative="0">
      <w:start w:val="1"/>
      <w:numFmt w:val="decimal"/>
      <w:isLgl/>
      <w:lvlText w:val="%1.%2.%3.%4.%5.%6."/>
      <w:lvlJc w:val="left"/>
      <w:pPr>
        <w:ind w:left="1079" w:hanging="1080"/>
      </w:pPr>
      <w:rPr>
        <w:rFonts w:hint="default"/>
      </w:rPr>
    </w:lvl>
    <w:lvl w:ilvl="6" w:tentative="0">
      <w:start w:val="1"/>
      <w:numFmt w:val="decimal"/>
      <w:isLgl/>
      <w:lvlText w:val="%1.%2.%3.%4.%5.%6.%7."/>
      <w:lvlJc w:val="left"/>
      <w:pPr>
        <w:ind w:left="1439" w:hanging="1440"/>
      </w:pPr>
      <w:rPr>
        <w:rFonts w:hint="default"/>
      </w:rPr>
    </w:lvl>
    <w:lvl w:ilvl="7" w:tentative="0">
      <w:start w:val="1"/>
      <w:numFmt w:val="decimal"/>
      <w:isLgl/>
      <w:lvlText w:val="%1.%2.%3.%4.%5.%6.%7.%8."/>
      <w:lvlJc w:val="left"/>
      <w:pPr>
        <w:ind w:left="1439" w:hanging="1440"/>
      </w:pPr>
      <w:rPr>
        <w:rFonts w:hint="default"/>
      </w:rPr>
    </w:lvl>
    <w:lvl w:ilvl="8" w:tentative="0">
      <w:start w:val="1"/>
      <w:numFmt w:val="decimal"/>
      <w:isLgl/>
      <w:lvlText w:val="%1.%2.%3.%4.%5.%6.%7.%8.%9."/>
      <w:lvlJc w:val="left"/>
      <w:pPr>
        <w:ind w:left="1799" w:hanging="1800"/>
      </w:pPr>
      <w:rPr>
        <w:rFonts w:hint="default"/>
      </w:rPr>
    </w:lvl>
  </w:abstractNum>
  <w:abstractNum w:abstractNumId="1">
    <w:nsid w:val="38B5492A"/>
    <w:multiLevelType w:val="multilevel"/>
    <w:tmpl w:val="38B5492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49BE47F9"/>
    <w:multiLevelType w:val="multilevel"/>
    <w:tmpl w:val="49BE47F9"/>
    <w:lvl w:ilvl="0" w:tentative="0">
      <w:start w:val="1"/>
      <w:numFmt w:val="decimal"/>
      <w:lvlText w:val="%1."/>
      <w:lvlJc w:val="left"/>
      <w:pPr>
        <w:ind w:left="420" w:hanging="420"/>
      </w:pPr>
      <w:rPr>
        <w:rFonts w:hint="default"/>
      </w:rPr>
    </w:lvl>
    <w:lvl w:ilvl="1" w:tentative="0">
      <w:start w:val="1"/>
      <w:numFmt w:val="decimal"/>
      <w:lvlText w:val="%1.%2."/>
      <w:lvlJc w:val="left"/>
      <w:pPr>
        <w:ind w:left="417" w:hanging="420"/>
      </w:pPr>
      <w:rPr>
        <w:rFonts w:hint="default"/>
      </w:rPr>
    </w:lvl>
    <w:lvl w:ilvl="2" w:tentative="0">
      <w:start w:val="1"/>
      <w:numFmt w:val="decimal"/>
      <w:lvlText w:val="%1.%2.%3."/>
      <w:lvlJc w:val="left"/>
      <w:pPr>
        <w:ind w:left="714" w:hanging="720"/>
      </w:pPr>
      <w:rPr>
        <w:rFonts w:hint="default"/>
      </w:rPr>
    </w:lvl>
    <w:lvl w:ilvl="3" w:tentative="0">
      <w:start w:val="1"/>
      <w:numFmt w:val="decimal"/>
      <w:lvlText w:val="%1.%2.%3.%4."/>
      <w:lvlJc w:val="left"/>
      <w:pPr>
        <w:ind w:left="711" w:hanging="720"/>
      </w:pPr>
      <w:rPr>
        <w:rFonts w:hint="default"/>
      </w:rPr>
    </w:lvl>
    <w:lvl w:ilvl="4" w:tentative="0">
      <w:start w:val="1"/>
      <w:numFmt w:val="decimal"/>
      <w:lvlText w:val="%1.%2.%3.%4.%5."/>
      <w:lvlJc w:val="left"/>
      <w:pPr>
        <w:ind w:left="1068" w:hanging="1080"/>
      </w:pPr>
      <w:rPr>
        <w:rFonts w:hint="default"/>
      </w:rPr>
    </w:lvl>
    <w:lvl w:ilvl="5" w:tentative="0">
      <w:start w:val="1"/>
      <w:numFmt w:val="decimal"/>
      <w:lvlText w:val="%1.%2.%3.%4.%5.%6."/>
      <w:lvlJc w:val="left"/>
      <w:pPr>
        <w:ind w:left="1065" w:hanging="1080"/>
      </w:pPr>
      <w:rPr>
        <w:rFonts w:hint="default"/>
      </w:rPr>
    </w:lvl>
    <w:lvl w:ilvl="6" w:tentative="0">
      <w:start w:val="1"/>
      <w:numFmt w:val="decimal"/>
      <w:lvlText w:val="%1.%2.%3.%4.%5.%6.%7."/>
      <w:lvlJc w:val="left"/>
      <w:pPr>
        <w:ind w:left="1422" w:hanging="1440"/>
      </w:pPr>
      <w:rPr>
        <w:rFonts w:hint="default"/>
      </w:rPr>
    </w:lvl>
    <w:lvl w:ilvl="7" w:tentative="0">
      <w:start w:val="1"/>
      <w:numFmt w:val="decimal"/>
      <w:lvlText w:val="%1.%2.%3.%4.%5.%6.%7.%8."/>
      <w:lvlJc w:val="left"/>
      <w:pPr>
        <w:ind w:left="1419" w:hanging="1440"/>
      </w:pPr>
      <w:rPr>
        <w:rFonts w:hint="default"/>
      </w:rPr>
    </w:lvl>
    <w:lvl w:ilvl="8" w:tentative="0">
      <w:start w:val="1"/>
      <w:numFmt w:val="decimal"/>
      <w:lvlText w:val="%1.%2.%3.%4.%5.%6.%7.%8.%9."/>
      <w:lvlJc w:val="left"/>
      <w:pPr>
        <w:ind w:left="1776" w:hanging="1800"/>
      </w:pPr>
      <w:rPr>
        <w:rFonts w:hint="default"/>
      </w:rPr>
    </w:lvl>
  </w:abstractNum>
  <w:abstractNum w:abstractNumId="3">
    <w:nsid w:val="73BF388D"/>
    <w:multiLevelType w:val="multilevel"/>
    <w:tmpl w:val="73BF388D"/>
    <w:lvl w:ilvl="0" w:tentative="0">
      <w:start w:val="1"/>
      <w:numFmt w:val="decimal"/>
      <w:lvlText w:val="%1."/>
      <w:lvlJc w:val="left"/>
      <w:pPr>
        <w:ind w:left="359" w:hanging="360"/>
      </w:pPr>
      <w:rPr>
        <w:rFonts w:hint="default"/>
      </w:rPr>
    </w:lvl>
    <w:lvl w:ilvl="1" w:tentative="0">
      <w:start w:val="1"/>
      <w:numFmt w:val="lowerLetter"/>
      <w:lvlText w:val="%2."/>
      <w:lvlJc w:val="left"/>
      <w:pPr>
        <w:ind w:left="1079" w:hanging="360"/>
      </w:pPr>
    </w:lvl>
    <w:lvl w:ilvl="2" w:tentative="0">
      <w:start w:val="1"/>
      <w:numFmt w:val="lowerRoman"/>
      <w:lvlText w:val="%3."/>
      <w:lvlJc w:val="right"/>
      <w:pPr>
        <w:ind w:left="1799" w:hanging="180"/>
      </w:pPr>
    </w:lvl>
    <w:lvl w:ilvl="3" w:tentative="0">
      <w:start w:val="1"/>
      <w:numFmt w:val="decimal"/>
      <w:lvlText w:val="%4."/>
      <w:lvlJc w:val="left"/>
      <w:pPr>
        <w:ind w:left="2519" w:hanging="360"/>
      </w:pPr>
    </w:lvl>
    <w:lvl w:ilvl="4" w:tentative="0">
      <w:start w:val="1"/>
      <w:numFmt w:val="lowerLetter"/>
      <w:lvlText w:val="%5."/>
      <w:lvlJc w:val="left"/>
      <w:pPr>
        <w:ind w:left="3239" w:hanging="360"/>
      </w:pPr>
    </w:lvl>
    <w:lvl w:ilvl="5" w:tentative="0">
      <w:start w:val="1"/>
      <w:numFmt w:val="lowerRoman"/>
      <w:lvlText w:val="%6."/>
      <w:lvlJc w:val="right"/>
      <w:pPr>
        <w:ind w:left="3959" w:hanging="180"/>
      </w:pPr>
    </w:lvl>
    <w:lvl w:ilvl="6" w:tentative="0">
      <w:start w:val="1"/>
      <w:numFmt w:val="decimal"/>
      <w:lvlText w:val="%7."/>
      <w:lvlJc w:val="left"/>
      <w:pPr>
        <w:ind w:left="4679" w:hanging="360"/>
      </w:pPr>
    </w:lvl>
    <w:lvl w:ilvl="7" w:tentative="0">
      <w:start w:val="1"/>
      <w:numFmt w:val="lowerLetter"/>
      <w:lvlText w:val="%8."/>
      <w:lvlJc w:val="left"/>
      <w:pPr>
        <w:ind w:left="5399" w:hanging="360"/>
      </w:pPr>
    </w:lvl>
    <w:lvl w:ilvl="8" w:tentative="0">
      <w:start w:val="1"/>
      <w:numFmt w:val="lowerRoman"/>
      <w:lvlText w:val="%9."/>
      <w:lvlJc w:val="right"/>
      <w:pPr>
        <w:ind w:left="6119"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5AE"/>
    <w:rsid w:val="00017DB2"/>
    <w:rsid w:val="00091510"/>
    <w:rsid w:val="000E3184"/>
    <w:rsid w:val="000E6234"/>
    <w:rsid w:val="000F177B"/>
    <w:rsid w:val="000F35AE"/>
    <w:rsid w:val="001937B7"/>
    <w:rsid w:val="001C66EA"/>
    <w:rsid w:val="001F5EAF"/>
    <w:rsid w:val="002272B8"/>
    <w:rsid w:val="00260159"/>
    <w:rsid w:val="00266C6C"/>
    <w:rsid w:val="00281F03"/>
    <w:rsid w:val="002B41A6"/>
    <w:rsid w:val="002D109B"/>
    <w:rsid w:val="002F5D02"/>
    <w:rsid w:val="003435BA"/>
    <w:rsid w:val="00376AD1"/>
    <w:rsid w:val="003A232B"/>
    <w:rsid w:val="003B52C4"/>
    <w:rsid w:val="003D5CCA"/>
    <w:rsid w:val="003F0163"/>
    <w:rsid w:val="00482B01"/>
    <w:rsid w:val="00496841"/>
    <w:rsid w:val="004B36F5"/>
    <w:rsid w:val="004E1C60"/>
    <w:rsid w:val="004E29C1"/>
    <w:rsid w:val="00510DB1"/>
    <w:rsid w:val="00514F6D"/>
    <w:rsid w:val="005A3DFF"/>
    <w:rsid w:val="005C05E4"/>
    <w:rsid w:val="005E634B"/>
    <w:rsid w:val="005F77FD"/>
    <w:rsid w:val="00622E87"/>
    <w:rsid w:val="00666F54"/>
    <w:rsid w:val="0067315D"/>
    <w:rsid w:val="006775F1"/>
    <w:rsid w:val="006868BD"/>
    <w:rsid w:val="006B7014"/>
    <w:rsid w:val="006D36E4"/>
    <w:rsid w:val="006E07B9"/>
    <w:rsid w:val="007030A2"/>
    <w:rsid w:val="00777391"/>
    <w:rsid w:val="00793241"/>
    <w:rsid w:val="007E23AE"/>
    <w:rsid w:val="008A20D6"/>
    <w:rsid w:val="008B1C42"/>
    <w:rsid w:val="00914252"/>
    <w:rsid w:val="009229F4"/>
    <w:rsid w:val="00932955"/>
    <w:rsid w:val="00956D94"/>
    <w:rsid w:val="009C571A"/>
    <w:rsid w:val="009D4F60"/>
    <w:rsid w:val="00A11BD3"/>
    <w:rsid w:val="00A37900"/>
    <w:rsid w:val="00A91EA9"/>
    <w:rsid w:val="00A94FEB"/>
    <w:rsid w:val="00AC3D04"/>
    <w:rsid w:val="00AC669C"/>
    <w:rsid w:val="00B378C7"/>
    <w:rsid w:val="00B84CAC"/>
    <w:rsid w:val="00B84DAC"/>
    <w:rsid w:val="00B932B6"/>
    <w:rsid w:val="00BB461E"/>
    <w:rsid w:val="00C66DBC"/>
    <w:rsid w:val="00C80464"/>
    <w:rsid w:val="00CE689E"/>
    <w:rsid w:val="00CE7D13"/>
    <w:rsid w:val="00CE7E86"/>
    <w:rsid w:val="00CF6F51"/>
    <w:rsid w:val="00DC7C50"/>
    <w:rsid w:val="00DD59FC"/>
    <w:rsid w:val="00DF0982"/>
    <w:rsid w:val="00E2620A"/>
    <w:rsid w:val="00E52E1A"/>
    <w:rsid w:val="00E556EA"/>
    <w:rsid w:val="00F347F2"/>
    <w:rsid w:val="00F47CFE"/>
    <w:rsid w:val="00F72D64"/>
    <w:rsid w:val="00F8247D"/>
    <w:rsid w:val="00FA2AE5"/>
    <w:rsid w:val="00FF2E37"/>
    <w:rsid w:val="00FF573C"/>
    <w:rsid w:val="085A55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imes New Roma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unhideWhenUsed="0" w:uiPriority="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line="1" w:lineRule="atLeast"/>
      <w:ind w:left="-1" w:leftChars="-1" w:hanging="1" w:hangingChars="1"/>
      <w:textAlignment w:val="top"/>
      <w:outlineLvl w:val="0"/>
    </w:pPr>
    <w:rPr>
      <w:rFonts w:ascii="Times New Roman" w:hAnsi="Times New Roman" w:eastAsia="Times New Roman" w:cs="Times New Roman"/>
      <w:position w:val="-1"/>
      <w:sz w:val="27"/>
      <w:szCs w:val="27"/>
      <w:lang w:val="en-US" w:eastAsia="en-US" w:bidi="ar-SA"/>
    </w:rPr>
  </w:style>
  <w:style w:type="paragraph" w:styleId="2">
    <w:name w:val="heading 1"/>
    <w:basedOn w:val="1"/>
    <w:next w:val="1"/>
    <w:qFormat/>
    <w:uiPriority w:val="9"/>
    <w:pPr>
      <w:keepNext/>
      <w:spacing w:before="240" w:after="60"/>
    </w:pPr>
    <w:rPr>
      <w:rFonts w:ascii="Calibri Light" w:hAnsi="Calibri Light"/>
      <w:b/>
      <w:bCs/>
      <w:kern w:val="32"/>
      <w:sz w:val="32"/>
      <w:szCs w:val="32"/>
    </w:rPr>
  </w:style>
  <w:style w:type="paragraph" w:styleId="3">
    <w:name w:val="heading 2"/>
    <w:basedOn w:val="1"/>
    <w:next w:val="1"/>
    <w:unhideWhenUsed/>
    <w:qFormat/>
    <w:uiPriority w:val="9"/>
    <w:pPr>
      <w:keepNext/>
      <w:keepLines/>
      <w:spacing w:before="360" w:after="80"/>
      <w:outlineLvl w:val="1"/>
    </w:pPr>
    <w:rPr>
      <w:b/>
      <w:sz w:val="36"/>
      <w:szCs w:val="36"/>
    </w:rPr>
  </w:style>
  <w:style w:type="paragraph" w:styleId="4">
    <w:name w:val="heading 3"/>
    <w:basedOn w:val="1"/>
    <w:next w:val="1"/>
    <w:unhideWhenUsed/>
    <w:qFormat/>
    <w:uiPriority w:val="9"/>
    <w:pPr>
      <w:keepNext/>
      <w:spacing w:before="240" w:after="60"/>
      <w:outlineLvl w:val="2"/>
    </w:pPr>
    <w:rPr>
      <w:rFonts w:ascii="Cambria" w:hAnsi="Cambria"/>
      <w:b/>
      <w:bCs/>
      <w:sz w:val="26"/>
      <w:szCs w:val="26"/>
    </w:rPr>
  </w:style>
  <w:style w:type="paragraph" w:styleId="5">
    <w:name w:val="heading 4"/>
    <w:basedOn w:val="1"/>
    <w:next w:val="1"/>
    <w:unhideWhenUsed/>
    <w:qFormat/>
    <w:uiPriority w:val="9"/>
    <w:pPr>
      <w:spacing w:before="100" w:beforeAutospacing="1" w:after="100" w:afterAutospacing="1"/>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13">
    <w:name w:val="Default Paragraph Font"/>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8">
    <w:name w:val="footer"/>
    <w:basedOn w:val="1"/>
    <w:link w:val="56"/>
    <w:qFormat/>
    <w:uiPriority w:val="99"/>
    <w:pPr>
      <w:tabs>
        <w:tab w:val="center" w:pos="4320"/>
        <w:tab w:val="right" w:pos="8640"/>
      </w:tabs>
    </w:pPr>
  </w:style>
  <w:style w:type="paragraph" w:styleId="9">
    <w:name w:val="header"/>
    <w:basedOn w:val="1"/>
    <w:uiPriority w:val="0"/>
    <w:pPr>
      <w:tabs>
        <w:tab w:val="center" w:pos="4680"/>
        <w:tab w:val="right" w:pos="9360"/>
      </w:tabs>
    </w:pPr>
  </w:style>
  <w:style w:type="paragraph" w:styleId="10">
    <w:name w:val="Normal (Web)"/>
    <w:basedOn w:val="1"/>
    <w:qFormat/>
    <w:uiPriority w:val="99"/>
    <w:pPr>
      <w:spacing w:before="100" w:beforeAutospacing="1" w:after="100" w:afterAutospacing="1"/>
    </w:pPr>
    <w:rPr>
      <w:sz w:val="24"/>
      <w:szCs w:val="24"/>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2">
    <w:name w:val="Title"/>
    <w:basedOn w:val="1"/>
    <w:next w:val="1"/>
    <w:qFormat/>
    <w:uiPriority w:val="10"/>
    <w:pPr>
      <w:keepNext/>
      <w:keepLines/>
      <w:spacing w:before="480" w:after="120"/>
    </w:pPr>
    <w:rPr>
      <w:b/>
      <w:sz w:val="72"/>
      <w:szCs w:val="72"/>
    </w:rPr>
  </w:style>
  <w:style w:type="character" w:styleId="14">
    <w:name w:val="Emphasis"/>
    <w:uiPriority w:val="0"/>
    <w:rPr>
      <w:i/>
      <w:iCs/>
      <w:w w:val="100"/>
      <w:position w:val="-1"/>
      <w:vertAlign w:val="baseline"/>
      <w:cs w:val="0"/>
    </w:rPr>
  </w:style>
  <w:style w:type="character" w:styleId="15">
    <w:name w:val="Hyperlink"/>
    <w:qFormat/>
    <w:uiPriority w:val="0"/>
    <w:rPr>
      <w:color w:val="0000FF"/>
      <w:w w:val="100"/>
      <w:position w:val="-1"/>
      <w:u w:val="single"/>
      <w:vertAlign w:val="baseline"/>
      <w:cs w:val="0"/>
    </w:rPr>
  </w:style>
  <w:style w:type="character" w:styleId="16">
    <w:name w:val="page number"/>
    <w:basedOn w:val="13"/>
    <w:uiPriority w:val="0"/>
    <w:rPr>
      <w:w w:val="100"/>
      <w:position w:val="-1"/>
      <w:vertAlign w:val="baseline"/>
      <w:cs w:val="0"/>
    </w:rPr>
  </w:style>
  <w:style w:type="character" w:styleId="17">
    <w:name w:val="Strong"/>
    <w:qFormat/>
    <w:uiPriority w:val="22"/>
    <w:rPr>
      <w:b/>
      <w:bCs/>
      <w:w w:val="100"/>
      <w:position w:val="-1"/>
      <w:vertAlign w:val="baseline"/>
      <w:cs w:val="0"/>
    </w:rPr>
  </w:style>
  <w:style w:type="table" w:styleId="19">
    <w:name w:val="Table Grid"/>
    <w:basedOn w:val="18"/>
    <w:qFormat/>
    <w:uiPriority w:val="0"/>
    <w:pPr>
      <w:suppressAutoHyphens/>
      <w:spacing w:line="1" w:lineRule="atLeast"/>
      <w:ind w:left="-1" w:leftChars="-1" w:hangingChars="1"/>
      <w:textAlignment w:val="top"/>
      <w:outlineLvl w:val="0"/>
    </w:pPr>
    <w:rPr>
      <w:position w:val="-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0">
    <w:name w:val="Body Text1"/>
    <w:basedOn w:val="1"/>
    <w:qFormat/>
    <w:uiPriority w:val="0"/>
    <w:pPr>
      <w:jc w:val="both"/>
    </w:pPr>
    <w:rPr>
      <w:sz w:val="26"/>
      <w:szCs w:val="26"/>
    </w:rPr>
  </w:style>
  <w:style w:type="paragraph" w:customStyle="1" w:styleId="21">
    <w:name w:val="Char Char1 Char"/>
    <w:basedOn w:val="1"/>
    <w:qFormat/>
    <w:uiPriority w:val="0"/>
    <w:pPr>
      <w:pageBreakBefore/>
      <w:tabs>
        <w:tab w:val="left" w:pos="850"/>
        <w:tab w:val="left" w:pos="1191"/>
        <w:tab w:val="left" w:pos="1531"/>
      </w:tabs>
      <w:spacing w:after="120"/>
      <w:jc w:val="center"/>
    </w:pPr>
    <w:rPr>
      <w:rFonts w:ascii="Tahoma" w:hAnsi="Tahoma" w:eastAsia="MS Mincho" w:cs="Tahoma"/>
      <w:b/>
      <w:bCs/>
      <w:color w:val="FFFFFF"/>
      <w:spacing w:val="20"/>
      <w:sz w:val="22"/>
      <w:szCs w:val="22"/>
      <w:lang w:val="en-GB" w:eastAsia="zh-CN"/>
    </w:rPr>
  </w:style>
  <w:style w:type="paragraph" w:customStyle="1" w:styleId="22">
    <w:name w:val="Standard"/>
    <w:uiPriority w:val="0"/>
    <w:pPr>
      <w:widowControl w:val="0"/>
      <w:autoSpaceDN w:val="0"/>
      <w:spacing w:line="1" w:lineRule="atLeast"/>
      <w:ind w:left="-1" w:leftChars="-1" w:hanging="1" w:hangingChars="1"/>
      <w:textAlignment w:val="baseline"/>
      <w:outlineLvl w:val="0"/>
    </w:pPr>
    <w:rPr>
      <w:rFonts w:ascii="Times New Roman" w:hAnsi="Times New Roman" w:eastAsia="Times New Roman" w:cs="Times New Roman"/>
      <w:kern w:val="3"/>
      <w:position w:val="-1"/>
      <w:sz w:val="24"/>
      <w:szCs w:val="24"/>
      <w:lang w:val="de-DE" w:eastAsia="ja-JP" w:bidi="fa-IR"/>
    </w:rPr>
  </w:style>
  <w:style w:type="character" w:customStyle="1" w:styleId="23">
    <w:name w:val="Heading 4 Char"/>
    <w:uiPriority w:val="0"/>
    <w:rPr>
      <w:b/>
      <w:bCs/>
      <w:w w:val="100"/>
      <w:position w:val="-1"/>
      <w:sz w:val="24"/>
      <w:szCs w:val="24"/>
      <w:vertAlign w:val="baseline"/>
      <w:cs w:val="0"/>
    </w:rPr>
  </w:style>
  <w:style w:type="paragraph" w:styleId="24">
    <w:name w:val="List Paragraph"/>
    <w:basedOn w:val="1"/>
    <w:qFormat/>
    <w:uiPriority w:val="34"/>
    <w:pPr>
      <w:ind w:left="720"/>
      <w:contextualSpacing/>
    </w:pPr>
  </w:style>
  <w:style w:type="character" w:customStyle="1" w:styleId="25">
    <w:name w:val="Heading 1 Char"/>
    <w:uiPriority w:val="0"/>
    <w:rPr>
      <w:rFonts w:ascii="Calibri Light" w:hAnsi="Calibri Light" w:eastAsia="Times New Roman" w:cs="Times New Roman"/>
      <w:b/>
      <w:bCs/>
      <w:w w:val="100"/>
      <w:kern w:val="32"/>
      <w:position w:val="-1"/>
      <w:sz w:val="32"/>
      <w:szCs w:val="32"/>
      <w:vertAlign w:val="baseline"/>
      <w:cs w:val="0"/>
    </w:rPr>
  </w:style>
  <w:style w:type="character" w:customStyle="1" w:styleId="26">
    <w:name w:val="a-size-large"/>
    <w:uiPriority w:val="0"/>
    <w:rPr>
      <w:w w:val="100"/>
      <w:position w:val="-1"/>
      <w:vertAlign w:val="baseline"/>
      <w:cs w:val="0"/>
    </w:rPr>
  </w:style>
  <w:style w:type="character" w:customStyle="1" w:styleId="27">
    <w:name w:val="Heading 3 Char"/>
    <w:uiPriority w:val="0"/>
    <w:rPr>
      <w:rFonts w:ascii="Cambria" w:hAnsi="Cambria" w:eastAsia="Times New Roman" w:cs="Times New Roman"/>
      <w:b/>
      <w:bCs/>
      <w:w w:val="100"/>
      <w:position w:val="-1"/>
      <w:sz w:val="26"/>
      <w:szCs w:val="26"/>
      <w:vertAlign w:val="baseline"/>
      <w:cs w:val="0"/>
    </w:rPr>
  </w:style>
  <w:style w:type="character" w:customStyle="1" w:styleId="28">
    <w:name w:val="Header Char"/>
    <w:uiPriority w:val="0"/>
    <w:rPr>
      <w:w w:val="100"/>
      <w:position w:val="-1"/>
      <w:sz w:val="27"/>
      <w:szCs w:val="27"/>
      <w:vertAlign w:val="baseline"/>
      <w:cs w:val="0"/>
    </w:rPr>
  </w:style>
  <w:style w:type="character" w:customStyle="1" w:styleId="29">
    <w:name w:val="Unresolved Mention"/>
    <w:qFormat/>
    <w:uiPriority w:val="0"/>
    <w:rPr>
      <w:color w:val="605E5C"/>
      <w:w w:val="100"/>
      <w:position w:val="-1"/>
      <w:shd w:val="clear" w:color="auto" w:fill="E1DFDD"/>
      <w:vertAlign w:val="baseline"/>
      <w:cs w:val="0"/>
    </w:rPr>
  </w:style>
  <w:style w:type="character" w:customStyle="1" w:styleId="30">
    <w:name w:val="a-size-extra-large"/>
    <w:basedOn w:val="13"/>
    <w:uiPriority w:val="0"/>
    <w:rPr>
      <w:w w:val="100"/>
      <w:position w:val="-1"/>
      <w:vertAlign w:val="baseline"/>
      <w:cs w:val="0"/>
    </w:rPr>
  </w:style>
  <w:style w:type="paragraph" w:styleId="31">
    <w:name w:val="Quote"/>
    <w:basedOn w:val="1"/>
    <w:next w:val="1"/>
    <w:uiPriority w:val="0"/>
    <w:pPr>
      <w:ind w:left="862" w:right="862"/>
      <w:jc w:val="center"/>
    </w:pPr>
    <w:rPr>
      <w:b/>
      <w:iCs/>
      <w:color w:val="404040"/>
      <w:sz w:val="20"/>
      <w:szCs w:val="22"/>
    </w:rPr>
  </w:style>
  <w:style w:type="character" w:customStyle="1" w:styleId="32">
    <w:name w:val="Quote Char"/>
    <w:uiPriority w:val="0"/>
    <w:rPr>
      <w:b/>
      <w:iCs/>
      <w:color w:val="404040"/>
      <w:w w:val="100"/>
      <w:position w:val="-1"/>
      <w:szCs w:val="22"/>
      <w:vertAlign w:val="baseline"/>
      <w:cs w:val="0"/>
      <w:lang w:val="en-US"/>
    </w:rPr>
  </w:style>
  <w:style w:type="table" w:customStyle="1" w:styleId="33">
    <w:name w:val="_Style 32"/>
    <w:basedOn w:val="18"/>
    <w:uiPriority w:val="0"/>
  </w:style>
  <w:style w:type="table" w:customStyle="1" w:styleId="34">
    <w:name w:val="_Style 33"/>
    <w:basedOn w:val="18"/>
    <w:uiPriority w:val="0"/>
  </w:style>
  <w:style w:type="table" w:customStyle="1" w:styleId="35">
    <w:name w:val="_Style 34"/>
    <w:basedOn w:val="18"/>
    <w:uiPriority w:val="0"/>
  </w:style>
  <w:style w:type="table" w:customStyle="1" w:styleId="36">
    <w:name w:val="_Style 35"/>
    <w:basedOn w:val="18"/>
    <w:uiPriority w:val="0"/>
  </w:style>
  <w:style w:type="table" w:customStyle="1" w:styleId="37">
    <w:name w:val="_Style 36"/>
    <w:basedOn w:val="18"/>
    <w:uiPriority w:val="0"/>
  </w:style>
  <w:style w:type="table" w:customStyle="1" w:styleId="38">
    <w:name w:val="_Style 37"/>
    <w:basedOn w:val="18"/>
    <w:uiPriority w:val="0"/>
  </w:style>
  <w:style w:type="table" w:customStyle="1" w:styleId="39">
    <w:name w:val="_Style 38"/>
    <w:basedOn w:val="18"/>
    <w:uiPriority w:val="0"/>
  </w:style>
  <w:style w:type="table" w:customStyle="1" w:styleId="40">
    <w:name w:val="_Style 39"/>
    <w:basedOn w:val="18"/>
    <w:uiPriority w:val="0"/>
    <w:tblPr>
      <w:tblCellMar>
        <w:top w:w="15" w:type="dxa"/>
        <w:left w:w="15" w:type="dxa"/>
        <w:bottom w:w="15" w:type="dxa"/>
        <w:right w:w="15" w:type="dxa"/>
      </w:tblCellMar>
    </w:tblPr>
  </w:style>
  <w:style w:type="table" w:customStyle="1" w:styleId="41">
    <w:name w:val="_Style 40"/>
    <w:basedOn w:val="18"/>
    <w:uiPriority w:val="0"/>
    <w:tblPr>
      <w:tblCellMar>
        <w:top w:w="15" w:type="dxa"/>
        <w:left w:w="15" w:type="dxa"/>
        <w:bottom w:w="15" w:type="dxa"/>
        <w:right w:w="15" w:type="dxa"/>
      </w:tblCellMar>
    </w:tblPr>
  </w:style>
  <w:style w:type="table" w:customStyle="1" w:styleId="42">
    <w:name w:val="_Style 41"/>
    <w:basedOn w:val="18"/>
    <w:uiPriority w:val="0"/>
  </w:style>
  <w:style w:type="table" w:customStyle="1" w:styleId="43">
    <w:name w:val="_Style 42"/>
    <w:basedOn w:val="18"/>
    <w:uiPriority w:val="0"/>
  </w:style>
  <w:style w:type="table" w:customStyle="1" w:styleId="44">
    <w:name w:val="_Style 43"/>
    <w:basedOn w:val="18"/>
    <w:uiPriority w:val="0"/>
  </w:style>
  <w:style w:type="table" w:customStyle="1" w:styleId="45">
    <w:name w:val="_Style 44"/>
    <w:basedOn w:val="18"/>
    <w:uiPriority w:val="0"/>
    <w:tblPr>
      <w:tblCellMar>
        <w:top w:w="15" w:type="dxa"/>
        <w:left w:w="15" w:type="dxa"/>
        <w:bottom w:w="15" w:type="dxa"/>
        <w:right w:w="15" w:type="dxa"/>
      </w:tblCellMar>
    </w:tblPr>
  </w:style>
  <w:style w:type="table" w:customStyle="1" w:styleId="46">
    <w:name w:val="_Style 45"/>
    <w:basedOn w:val="18"/>
    <w:uiPriority w:val="0"/>
    <w:tblPr>
      <w:tblCellMar>
        <w:left w:w="115" w:type="dxa"/>
        <w:right w:w="115" w:type="dxa"/>
      </w:tblCellMar>
    </w:tblPr>
  </w:style>
  <w:style w:type="table" w:customStyle="1" w:styleId="47">
    <w:name w:val="_Style 46"/>
    <w:basedOn w:val="18"/>
    <w:uiPriority w:val="0"/>
    <w:tblPr>
      <w:tblCellMar>
        <w:top w:w="15" w:type="dxa"/>
        <w:left w:w="15" w:type="dxa"/>
        <w:bottom w:w="15" w:type="dxa"/>
        <w:right w:w="15" w:type="dxa"/>
      </w:tblCellMar>
    </w:tblPr>
  </w:style>
  <w:style w:type="table" w:customStyle="1" w:styleId="48">
    <w:name w:val="_Style 47"/>
    <w:basedOn w:val="18"/>
    <w:uiPriority w:val="0"/>
    <w:tblPr>
      <w:tblCellMar>
        <w:top w:w="15" w:type="dxa"/>
        <w:left w:w="15" w:type="dxa"/>
        <w:bottom w:w="15" w:type="dxa"/>
        <w:right w:w="15" w:type="dxa"/>
      </w:tblCellMar>
    </w:tblPr>
  </w:style>
  <w:style w:type="table" w:customStyle="1" w:styleId="49">
    <w:name w:val="_Style 48"/>
    <w:basedOn w:val="18"/>
    <w:uiPriority w:val="0"/>
    <w:tblPr>
      <w:tblCellMar>
        <w:top w:w="15" w:type="dxa"/>
        <w:left w:w="15" w:type="dxa"/>
        <w:bottom w:w="15" w:type="dxa"/>
        <w:right w:w="15" w:type="dxa"/>
      </w:tblCellMar>
    </w:tblPr>
  </w:style>
  <w:style w:type="table" w:customStyle="1" w:styleId="50">
    <w:name w:val="_Style 49"/>
    <w:basedOn w:val="18"/>
    <w:uiPriority w:val="0"/>
    <w:tblPr>
      <w:tblCellMar>
        <w:top w:w="15" w:type="dxa"/>
        <w:left w:w="15" w:type="dxa"/>
        <w:bottom w:w="15" w:type="dxa"/>
        <w:right w:w="15" w:type="dxa"/>
      </w:tblCellMar>
    </w:tblPr>
  </w:style>
  <w:style w:type="table" w:customStyle="1" w:styleId="51">
    <w:name w:val="_Style 50"/>
    <w:basedOn w:val="18"/>
    <w:uiPriority w:val="0"/>
    <w:tblPr>
      <w:tblCellMar>
        <w:top w:w="15" w:type="dxa"/>
        <w:left w:w="15" w:type="dxa"/>
        <w:bottom w:w="15" w:type="dxa"/>
        <w:right w:w="15" w:type="dxa"/>
      </w:tblCellMar>
    </w:tblPr>
  </w:style>
  <w:style w:type="table" w:customStyle="1" w:styleId="52">
    <w:name w:val="_Style 51"/>
    <w:basedOn w:val="18"/>
    <w:uiPriority w:val="0"/>
    <w:tblPr>
      <w:tblCellMar>
        <w:top w:w="15" w:type="dxa"/>
        <w:left w:w="15" w:type="dxa"/>
        <w:bottom w:w="15" w:type="dxa"/>
        <w:right w:w="15" w:type="dxa"/>
      </w:tblCellMar>
    </w:tblPr>
  </w:style>
  <w:style w:type="table" w:customStyle="1" w:styleId="53">
    <w:name w:val="_Style 52"/>
    <w:basedOn w:val="18"/>
    <w:uiPriority w:val="0"/>
    <w:tblPr>
      <w:tblCellMar>
        <w:top w:w="15" w:type="dxa"/>
        <w:left w:w="15" w:type="dxa"/>
        <w:bottom w:w="15" w:type="dxa"/>
        <w:right w:w="15" w:type="dxa"/>
      </w:tblCellMar>
    </w:tblPr>
  </w:style>
  <w:style w:type="table" w:customStyle="1" w:styleId="54">
    <w:name w:val="_Style 53"/>
    <w:basedOn w:val="18"/>
    <w:uiPriority w:val="0"/>
    <w:tblPr>
      <w:tblCellMar>
        <w:top w:w="15" w:type="dxa"/>
        <w:left w:w="15" w:type="dxa"/>
        <w:bottom w:w="15" w:type="dxa"/>
        <w:right w:w="15" w:type="dxa"/>
      </w:tblCellMar>
    </w:tblPr>
  </w:style>
  <w:style w:type="table" w:customStyle="1" w:styleId="55">
    <w:name w:val="_Style 54"/>
    <w:basedOn w:val="18"/>
    <w:uiPriority w:val="0"/>
    <w:tblPr>
      <w:tblCellMar>
        <w:top w:w="15" w:type="dxa"/>
        <w:left w:w="15" w:type="dxa"/>
        <w:bottom w:w="15" w:type="dxa"/>
        <w:right w:w="15" w:type="dxa"/>
      </w:tblCellMar>
    </w:tblPr>
  </w:style>
  <w:style w:type="character" w:customStyle="1" w:styleId="56">
    <w:name w:val="Footer Char"/>
    <w:basedOn w:val="13"/>
    <w:link w:val="8"/>
    <w:uiPriority w:val="99"/>
    <w:rPr>
      <w:position w:val="-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diagramColors" Target="diagrams/colors1.xml"/><Relationship Id="rId12" Type="http://schemas.openxmlformats.org/officeDocument/2006/relationships/diagramQuickStyle" Target="diagrams/quickStyle1.xml"/><Relationship Id="rId11" Type="http://schemas.openxmlformats.org/officeDocument/2006/relationships/diagramLayout" Target="diagrams/layout1.xml"/><Relationship Id="rId10" Type="http://schemas.openxmlformats.org/officeDocument/2006/relationships/diagramData" Target="diagrams/data1.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40EE9EC5-4356-4A77-96BC-3D21A778E5C1}" type="doc">
      <dgm:prSet loTypeId="urn:microsoft.com/office/officeart/2005/8/layout/vProcess5" loCatId="process" qsTypeId="urn:microsoft.com/office/officeart/2005/8/quickstyle/simple1" qsCatId="simple" csTypeId="urn:microsoft.com/office/officeart/2005/8/colors/accent1_2" csCatId="accent1" phldr="1"/>
      <dgm:spPr/>
      <dgm:t>
        <a:bodyPr/>
        <a:p>
          <a:endParaRPr lang="en-US"/>
        </a:p>
      </dgm:t>
    </dgm:pt>
    <dgm:pt modelId="{5CAB6B48-F3B0-4654-85B1-DBE76B07526F}">
      <dgm:prSet phldrT="[Text]"/>
      <dgm:spPr/>
      <dgm:t>
        <a:bodyPr/>
        <a:p>
          <a:pPr algn="l"/>
          <a:r>
            <a:rPr lang="vi-VN"/>
            <a:t>Sinh viên chụp ảnh hóa đơn và chứng từ y tế trên App</a:t>
          </a:r>
          <a:endParaRPr lang="en-US"/>
        </a:p>
      </dgm:t>
    </dgm:pt>
    <dgm:pt modelId="{4F922DBB-1608-4F91-8033-DF6C1ABD6236}" cxnId="{0B4071C2-F73D-4A0A-8CD0-D6A1CD088D89}" type="parTrans">
      <dgm:prSet/>
      <dgm:spPr/>
      <dgm:t>
        <a:bodyPr/>
        <a:p>
          <a:pPr algn="l"/>
          <a:endParaRPr lang="en-US"/>
        </a:p>
      </dgm:t>
    </dgm:pt>
    <dgm:pt modelId="{5078F20C-132E-4B3A-937A-181A0C99C2B2}" cxnId="{0B4071C2-F73D-4A0A-8CD0-D6A1CD088D89}" type="sibTrans">
      <dgm:prSet/>
      <dgm:spPr/>
      <dgm:t>
        <a:bodyPr/>
        <a:p>
          <a:pPr algn="l"/>
          <a:endParaRPr lang="en-US"/>
        </a:p>
      </dgm:t>
    </dgm:pt>
    <dgm:pt modelId="{C57781E4-E697-48AA-B720-887476887B08}">
      <dgm:prSet phldrT="[Text]"/>
      <dgm:spPr/>
      <dgm:t>
        <a:bodyPr/>
        <a:p>
          <a:pPr algn="l"/>
          <a:r>
            <a:rPr lang="vi-VN"/>
            <a:t>Công nghệ OCR &amp; AI tự động bóc tách và xác thực dữ liệu</a:t>
          </a:r>
          <a:endParaRPr lang="en-US"/>
        </a:p>
      </dgm:t>
    </dgm:pt>
    <dgm:pt modelId="{C0B042F8-62AC-41C3-9A8D-BDE0542CCA15}" cxnId="{8C065554-408B-4446-9E88-6C6184405D6A}" type="parTrans">
      <dgm:prSet/>
      <dgm:spPr/>
      <dgm:t>
        <a:bodyPr/>
        <a:p>
          <a:pPr algn="l"/>
          <a:endParaRPr lang="en-US"/>
        </a:p>
      </dgm:t>
    </dgm:pt>
    <dgm:pt modelId="{AF2DDB83-303E-4B30-83FD-1289611D31B2}" cxnId="{8C065554-408B-4446-9E88-6C6184405D6A}" type="sibTrans">
      <dgm:prSet/>
      <dgm:spPr/>
      <dgm:t>
        <a:bodyPr/>
        <a:p>
          <a:pPr algn="l"/>
          <a:endParaRPr lang="en-US"/>
        </a:p>
      </dgm:t>
    </dgm:pt>
    <dgm:pt modelId="{FDD735EF-F7C3-4445-AD25-F3DFBDE123B5}">
      <dgm:prSet phldrT="[Text]"/>
      <dgm:spPr/>
      <dgm:t>
        <a:bodyPr/>
        <a:p>
          <a:pPr algn="l"/>
          <a:r>
            <a:rPr lang="vi-VN"/>
            <a:t>Hệ thống tự động đối chiếu với quy tắc biểu phí và điều khoản "UEH Care"</a:t>
          </a:r>
          <a:endParaRPr lang="en-US"/>
        </a:p>
      </dgm:t>
    </dgm:pt>
    <dgm:pt modelId="{CE06154E-F6BA-4F0C-AB0E-C57687F28A00}" cxnId="{D09EEAA2-B3C5-44D8-B1C6-93C613DD6A77}" type="parTrans">
      <dgm:prSet/>
      <dgm:spPr/>
      <dgm:t>
        <a:bodyPr/>
        <a:p>
          <a:pPr algn="l"/>
          <a:endParaRPr lang="en-US"/>
        </a:p>
      </dgm:t>
    </dgm:pt>
    <dgm:pt modelId="{BF026EB1-5564-4F0F-9EC5-B70B6D7E1FF3}" cxnId="{D09EEAA2-B3C5-44D8-B1C6-93C613DD6A77}" type="sibTrans">
      <dgm:prSet/>
      <dgm:spPr/>
      <dgm:t>
        <a:bodyPr/>
        <a:p>
          <a:pPr algn="l"/>
          <a:endParaRPr lang="en-US"/>
        </a:p>
      </dgm:t>
    </dgm:pt>
    <dgm:pt modelId="{55278691-1605-4CCF-A429-83D9BBE5CD25}">
      <dgm:prSet phldrT="[Text]"/>
      <dgm:spPr/>
      <dgm:t>
        <a:bodyPr/>
        <a:p>
          <a:pPr algn="l"/>
          <a:r>
            <a:rPr lang="vi-VN"/>
            <a:t>Phê duyệt tự động và giải ngân qua tài khoản ngân hàng liên kết trong 24h</a:t>
          </a:r>
          <a:endParaRPr lang="en-US"/>
        </a:p>
      </dgm:t>
    </dgm:pt>
    <dgm:pt modelId="{244530EC-6A8F-413C-9F47-105908B550FA}" cxnId="{6AFD17BE-603F-496F-A696-64BEDDD647E7}" type="parTrans">
      <dgm:prSet/>
      <dgm:spPr/>
      <dgm:t>
        <a:bodyPr/>
        <a:p>
          <a:pPr algn="l"/>
          <a:endParaRPr lang="en-US"/>
        </a:p>
      </dgm:t>
    </dgm:pt>
    <dgm:pt modelId="{DE65920E-7F8B-4064-92E6-7C8A1C6BAF13}" cxnId="{6AFD17BE-603F-496F-A696-64BEDDD647E7}" type="sibTrans">
      <dgm:prSet/>
      <dgm:spPr/>
      <dgm:t>
        <a:bodyPr/>
        <a:p>
          <a:pPr algn="l"/>
          <a:endParaRPr lang="en-US"/>
        </a:p>
      </dgm:t>
    </dgm:pt>
    <dgm:pt modelId="{8D45E80A-E786-4DF4-8AE1-82A19533962C}" type="pres">
      <dgm:prSet presAssocID="{40EE9EC5-4356-4A77-96BC-3D21A778E5C1}" presName="outerComposite" presStyleCnt="0">
        <dgm:presLayoutVars>
          <dgm:chMax val="5"/>
          <dgm:dir/>
          <dgm:resizeHandles val="exact"/>
        </dgm:presLayoutVars>
      </dgm:prSet>
      <dgm:spPr/>
    </dgm:pt>
    <dgm:pt modelId="{5554EEF5-1140-4434-969B-DAE808DBC75F}" type="pres">
      <dgm:prSet presAssocID="{40EE9EC5-4356-4A77-96BC-3D21A778E5C1}" presName="dummyMaxCanvas" presStyleCnt="0">
        <dgm:presLayoutVars/>
      </dgm:prSet>
      <dgm:spPr/>
    </dgm:pt>
    <dgm:pt modelId="{B9C6704E-EB86-4159-BBB3-FF8A182638AB}" type="pres">
      <dgm:prSet presAssocID="{40EE9EC5-4356-4A77-96BC-3D21A778E5C1}" presName="FourNodes_1" presStyleLbl="node1" presStyleIdx="0" presStyleCnt="4">
        <dgm:presLayoutVars>
          <dgm:bulletEnabled val="1"/>
        </dgm:presLayoutVars>
      </dgm:prSet>
      <dgm:spPr/>
    </dgm:pt>
    <dgm:pt modelId="{9B9D532A-00A7-42B0-B0DA-B829A2F532CF}" type="pres">
      <dgm:prSet presAssocID="{40EE9EC5-4356-4A77-96BC-3D21A778E5C1}" presName="FourNodes_2" presStyleLbl="node1" presStyleIdx="1" presStyleCnt="4">
        <dgm:presLayoutVars>
          <dgm:bulletEnabled val="1"/>
        </dgm:presLayoutVars>
      </dgm:prSet>
      <dgm:spPr/>
    </dgm:pt>
    <dgm:pt modelId="{C6B3E79B-9453-4810-A3BE-8D8EA04D0087}" type="pres">
      <dgm:prSet presAssocID="{40EE9EC5-4356-4A77-96BC-3D21A778E5C1}" presName="FourNodes_3" presStyleLbl="node1" presStyleIdx="2" presStyleCnt="4">
        <dgm:presLayoutVars>
          <dgm:bulletEnabled val="1"/>
        </dgm:presLayoutVars>
      </dgm:prSet>
      <dgm:spPr/>
    </dgm:pt>
    <dgm:pt modelId="{09CA6B9D-D23D-4AF2-9D4A-0734E4E55953}" type="pres">
      <dgm:prSet presAssocID="{40EE9EC5-4356-4A77-96BC-3D21A778E5C1}" presName="FourNodes_4" presStyleLbl="node1" presStyleIdx="3" presStyleCnt="4">
        <dgm:presLayoutVars>
          <dgm:bulletEnabled val="1"/>
        </dgm:presLayoutVars>
      </dgm:prSet>
      <dgm:spPr/>
    </dgm:pt>
    <dgm:pt modelId="{7C7BAD2D-2FD2-4D42-80D9-ED5642A03985}" type="pres">
      <dgm:prSet presAssocID="{40EE9EC5-4356-4A77-96BC-3D21A778E5C1}" presName="FourConn_1-2" presStyleLbl="fgAccFollowNode1" presStyleIdx="0" presStyleCnt="3">
        <dgm:presLayoutVars>
          <dgm:bulletEnabled val="1"/>
        </dgm:presLayoutVars>
      </dgm:prSet>
      <dgm:spPr/>
    </dgm:pt>
    <dgm:pt modelId="{A4A20572-2F57-49CC-ABC8-9B8DAB6DE4C4}" type="pres">
      <dgm:prSet presAssocID="{40EE9EC5-4356-4A77-96BC-3D21A778E5C1}" presName="FourConn_2-3" presStyleLbl="fgAccFollowNode1" presStyleIdx="1" presStyleCnt="3">
        <dgm:presLayoutVars>
          <dgm:bulletEnabled val="1"/>
        </dgm:presLayoutVars>
      </dgm:prSet>
      <dgm:spPr/>
    </dgm:pt>
    <dgm:pt modelId="{ADBF6117-E004-4DBC-A9F1-FBB974C83772}" type="pres">
      <dgm:prSet presAssocID="{40EE9EC5-4356-4A77-96BC-3D21A778E5C1}" presName="FourConn_3-4" presStyleLbl="fgAccFollowNode1" presStyleIdx="2" presStyleCnt="3">
        <dgm:presLayoutVars>
          <dgm:bulletEnabled val="1"/>
        </dgm:presLayoutVars>
      </dgm:prSet>
      <dgm:spPr/>
    </dgm:pt>
    <dgm:pt modelId="{0726C8E2-9D40-407D-AB9D-B59C842ADA14}" type="pres">
      <dgm:prSet presAssocID="{40EE9EC5-4356-4A77-96BC-3D21A778E5C1}" presName="FourNodes_1_text" presStyleLbl="node1" presStyleIdx="3" presStyleCnt="4">
        <dgm:presLayoutVars>
          <dgm:bulletEnabled val="1"/>
        </dgm:presLayoutVars>
      </dgm:prSet>
      <dgm:spPr/>
    </dgm:pt>
    <dgm:pt modelId="{B06E16E5-99FD-4C90-B9B7-EF0F944573D3}" type="pres">
      <dgm:prSet presAssocID="{40EE9EC5-4356-4A77-96BC-3D21A778E5C1}" presName="FourNodes_2_text" presStyleLbl="node1" presStyleIdx="3" presStyleCnt="4">
        <dgm:presLayoutVars>
          <dgm:bulletEnabled val="1"/>
        </dgm:presLayoutVars>
      </dgm:prSet>
      <dgm:spPr/>
    </dgm:pt>
    <dgm:pt modelId="{29C5E140-EF47-4A69-B13E-1604793909EC}" type="pres">
      <dgm:prSet presAssocID="{40EE9EC5-4356-4A77-96BC-3D21A778E5C1}" presName="FourNodes_3_text" presStyleLbl="node1" presStyleIdx="3" presStyleCnt="4">
        <dgm:presLayoutVars>
          <dgm:bulletEnabled val="1"/>
        </dgm:presLayoutVars>
      </dgm:prSet>
      <dgm:spPr/>
    </dgm:pt>
    <dgm:pt modelId="{2A77378E-3127-439D-8C6C-6AF80F99BD81}" type="pres">
      <dgm:prSet presAssocID="{40EE9EC5-4356-4A77-96BC-3D21A778E5C1}" presName="FourNodes_4_text" presStyleLbl="node1" presStyleIdx="3" presStyleCnt="4">
        <dgm:presLayoutVars>
          <dgm:bulletEnabled val="1"/>
        </dgm:presLayoutVars>
      </dgm:prSet>
      <dgm:spPr/>
    </dgm:pt>
  </dgm:ptLst>
  <dgm:cxnLst>
    <dgm:cxn modelId="{9F10FC00-CC58-49BE-9B6C-B854ED49A674}" type="presOf" srcId="{5CAB6B48-F3B0-4654-85B1-DBE76B07526F}" destId="{0726C8E2-9D40-407D-AB9D-B59C842ADA14}" srcOrd="1" destOrd="0" presId="urn:microsoft.com/office/officeart/2005/8/layout/vProcess5"/>
    <dgm:cxn modelId="{CC27610F-D155-430C-82A7-F174640B3FB9}" type="presOf" srcId="{AF2DDB83-303E-4B30-83FD-1289611D31B2}" destId="{A4A20572-2F57-49CC-ABC8-9B8DAB6DE4C4}" srcOrd="0" destOrd="0" presId="urn:microsoft.com/office/officeart/2005/8/layout/vProcess5"/>
    <dgm:cxn modelId="{7449CA29-D5A5-44E9-A7B1-9799110EF063}" type="presOf" srcId="{C57781E4-E697-48AA-B720-887476887B08}" destId="{B06E16E5-99FD-4C90-B9B7-EF0F944573D3}" srcOrd="1" destOrd="0" presId="urn:microsoft.com/office/officeart/2005/8/layout/vProcess5"/>
    <dgm:cxn modelId="{727ADE40-3F43-44FE-9B52-64D33C7DD572}" type="presOf" srcId="{BF026EB1-5564-4F0F-9EC5-B70B6D7E1FF3}" destId="{ADBF6117-E004-4DBC-A9F1-FBB974C83772}" srcOrd="0" destOrd="0" presId="urn:microsoft.com/office/officeart/2005/8/layout/vProcess5"/>
    <dgm:cxn modelId="{9C040046-ED53-4159-9F9B-D7F19D6A88EC}" type="presOf" srcId="{FDD735EF-F7C3-4445-AD25-F3DFBDE123B5}" destId="{C6B3E79B-9453-4810-A3BE-8D8EA04D0087}" srcOrd="0" destOrd="0" presId="urn:microsoft.com/office/officeart/2005/8/layout/vProcess5"/>
    <dgm:cxn modelId="{B5A5736A-E8A0-4786-A299-4D1B3B9756E1}" type="presOf" srcId="{C57781E4-E697-48AA-B720-887476887B08}" destId="{9B9D532A-00A7-42B0-B0DA-B829A2F532CF}" srcOrd="0" destOrd="0" presId="urn:microsoft.com/office/officeart/2005/8/layout/vProcess5"/>
    <dgm:cxn modelId="{9332F54D-2F1F-4ED7-B559-DDCA607BBB9B}" type="presOf" srcId="{5CAB6B48-F3B0-4654-85B1-DBE76B07526F}" destId="{B9C6704E-EB86-4159-BBB3-FF8A182638AB}" srcOrd="0" destOrd="0" presId="urn:microsoft.com/office/officeart/2005/8/layout/vProcess5"/>
    <dgm:cxn modelId="{8C065554-408B-4446-9E88-6C6184405D6A}" srcId="{40EE9EC5-4356-4A77-96BC-3D21A778E5C1}" destId="{C57781E4-E697-48AA-B720-887476887B08}" srcOrd="1" destOrd="0" parTransId="{C0B042F8-62AC-41C3-9A8D-BDE0542CCA15}" sibTransId="{AF2DDB83-303E-4B30-83FD-1289611D31B2}"/>
    <dgm:cxn modelId="{1308D39E-5393-4A98-B989-0DD09D732763}" type="presOf" srcId="{FDD735EF-F7C3-4445-AD25-F3DFBDE123B5}" destId="{29C5E140-EF47-4A69-B13E-1604793909EC}" srcOrd="1" destOrd="0" presId="urn:microsoft.com/office/officeart/2005/8/layout/vProcess5"/>
    <dgm:cxn modelId="{D09EEAA2-B3C5-44D8-B1C6-93C613DD6A77}" srcId="{40EE9EC5-4356-4A77-96BC-3D21A778E5C1}" destId="{FDD735EF-F7C3-4445-AD25-F3DFBDE123B5}" srcOrd="2" destOrd="0" parTransId="{CE06154E-F6BA-4F0C-AB0E-C57687F28A00}" sibTransId="{BF026EB1-5564-4F0F-9EC5-B70B6D7E1FF3}"/>
    <dgm:cxn modelId="{0130EAA7-8CB2-4826-B082-3B3331A9552E}" type="presOf" srcId="{55278691-1605-4CCF-A429-83D9BBE5CD25}" destId="{09CA6B9D-D23D-4AF2-9D4A-0734E4E55953}" srcOrd="0" destOrd="0" presId="urn:microsoft.com/office/officeart/2005/8/layout/vProcess5"/>
    <dgm:cxn modelId="{6AFD17BE-603F-496F-A696-64BEDDD647E7}" srcId="{40EE9EC5-4356-4A77-96BC-3D21A778E5C1}" destId="{55278691-1605-4CCF-A429-83D9BBE5CD25}" srcOrd="3" destOrd="0" parTransId="{244530EC-6A8F-413C-9F47-105908B550FA}" sibTransId="{DE65920E-7F8B-4064-92E6-7C8A1C6BAF13}"/>
    <dgm:cxn modelId="{0B4071C2-F73D-4A0A-8CD0-D6A1CD088D89}" srcId="{40EE9EC5-4356-4A77-96BC-3D21A778E5C1}" destId="{5CAB6B48-F3B0-4654-85B1-DBE76B07526F}" srcOrd="0" destOrd="0" parTransId="{4F922DBB-1608-4F91-8033-DF6C1ABD6236}" sibTransId="{5078F20C-132E-4B3A-937A-181A0C99C2B2}"/>
    <dgm:cxn modelId="{118909CB-CABB-43C6-9D04-1529DA7192CE}" type="presOf" srcId="{55278691-1605-4CCF-A429-83D9BBE5CD25}" destId="{2A77378E-3127-439D-8C6C-6AF80F99BD81}" srcOrd="1" destOrd="0" presId="urn:microsoft.com/office/officeart/2005/8/layout/vProcess5"/>
    <dgm:cxn modelId="{15796CDB-2C0C-468D-9CFC-E1E24D408FE9}" type="presOf" srcId="{5078F20C-132E-4B3A-937A-181A0C99C2B2}" destId="{7C7BAD2D-2FD2-4D42-80D9-ED5642A03985}" srcOrd="0" destOrd="0" presId="urn:microsoft.com/office/officeart/2005/8/layout/vProcess5"/>
    <dgm:cxn modelId="{FD9761E4-ECD2-48AB-9385-D365198ED2E3}" type="presOf" srcId="{40EE9EC5-4356-4A77-96BC-3D21A778E5C1}" destId="{8D45E80A-E786-4DF4-8AE1-82A19533962C}" srcOrd="0" destOrd="0" presId="urn:microsoft.com/office/officeart/2005/8/layout/vProcess5"/>
    <dgm:cxn modelId="{24571758-3E97-4150-8770-80A0D546A3B2}" type="presParOf" srcId="{8D45E80A-E786-4DF4-8AE1-82A19533962C}" destId="{5554EEF5-1140-4434-969B-DAE808DBC75F}" srcOrd="0" destOrd="0" presId="urn:microsoft.com/office/officeart/2005/8/layout/vProcess5"/>
    <dgm:cxn modelId="{893579B6-C1A7-40D0-94AD-EFB5AE7EFDAA}" type="presParOf" srcId="{8D45E80A-E786-4DF4-8AE1-82A19533962C}" destId="{B9C6704E-EB86-4159-BBB3-FF8A182638AB}" srcOrd="1" destOrd="0" presId="urn:microsoft.com/office/officeart/2005/8/layout/vProcess5"/>
    <dgm:cxn modelId="{56D60418-2234-42CC-8413-33C76F9CED48}" type="presParOf" srcId="{8D45E80A-E786-4DF4-8AE1-82A19533962C}" destId="{9B9D532A-00A7-42B0-B0DA-B829A2F532CF}" srcOrd="2" destOrd="0" presId="urn:microsoft.com/office/officeart/2005/8/layout/vProcess5"/>
    <dgm:cxn modelId="{A555BC5B-926D-4A0A-92B4-E543A9333D71}" type="presParOf" srcId="{8D45E80A-E786-4DF4-8AE1-82A19533962C}" destId="{C6B3E79B-9453-4810-A3BE-8D8EA04D0087}" srcOrd="3" destOrd="0" presId="urn:microsoft.com/office/officeart/2005/8/layout/vProcess5"/>
    <dgm:cxn modelId="{5DDF530D-3085-4716-922B-1A0060266CF4}" type="presParOf" srcId="{8D45E80A-E786-4DF4-8AE1-82A19533962C}" destId="{09CA6B9D-D23D-4AF2-9D4A-0734E4E55953}" srcOrd="4" destOrd="0" presId="urn:microsoft.com/office/officeart/2005/8/layout/vProcess5"/>
    <dgm:cxn modelId="{5C34CE5B-44E2-420F-905C-2BA4D27B83F2}" type="presParOf" srcId="{8D45E80A-E786-4DF4-8AE1-82A19533962C}" destId="{7C7BAD2D-2FD2-4D42-80D9-ED5642A03985}" srcOrd="5" destOrd="0" presId="urn:microsoft.com/office/officeart/2005/8/layout/vProcess5"/>
    <dgm:cxn modelId="{2D91A7A0-1E8F-445D-833A-8248291EC7DF}" type="presParOf" srcId="{8D45E80A-E786-4DF4-8AE1-82A19533962C}" destId="{A4A20572-2F57-49CC-ABC8-9B8DAB6DE4C4}" srcOrd="6" destOrd="0" presId="urn:microsoft.com/office/officeart/2005/8/layout/vProcess5"/>
    <dgm:cxn modelId="{0A85229F-9FED-49B9-A2AC-E33DB7DFDCED}" type="presParOf" srcId="{8D45E80A-E786-4DF4-8AE1-82A19533962C}" destId="{ADBF6117-E004-4DBC-A9F1-FBB974C83772}" srcOrd="7" destOrd="0" presId="urn:microsoft.com/office/officeart/2005/8/layout/vProcess5"/>
    <dgm:cxn modelId="{721C27AD-5FD3-4BC0-A72B-5E73F8A760FD}" type="presParOf" srcId="{8D45E80A-E786-4DF4-8AE1-82A19533962C}" destId="{0726C8E2-9D40-407D-AB9D-B59C842ADA14}" srcOrd="8" destOrd="0" presId="urn:microsoft.com/office/officeart/2005/8/layout/vProcess5"/>
    <dgm:cxn modelId="{723D891D-D471-4874-9EF7-E234CBD1DFC2}" type="presParOf" srcId="{8D45E80A-E786-4DF4-8AE1-82A19533962C}" destId="{B06E16E5-99FD-4C90-B9B7-EF0F944573D3}" srcOrd="9" destOrd="0" presId="urn:microsoft.com/office/officeart/2005/8/layout/vProcess5"/>
    <dgm:cxn modelId="{91976D47-14B6-4FC2-B7ED-11592AF91D37}" type="presParOf" srcId="{8D45E80A-E786-4DF4-8AE1-82A19533962C}" destId="{29C5E140-EF47-4A69-B13E-1604793909EC}" srcOrd="10" destOrd="0" presId="urn:microsoft.com/office/officeart/2005/8/layout/vProcess5"/>
    <dgm:cxn modelId="{CD68951A-4BCF-45B8-9F69-EF63A62CD54F}" type="presParOf" srcId="{8D45E80A-E786-4DF4-8AE1-82A19533962C}" destId="{2A77378E-3127-439D-8C6C-6AF80F99BD81}" srcOrd="11" destOrd="0" presId="urn:microsoft.com/office/officeart/2005/8/layout/vProcess5"/>
  </dgm:cxnLst>
  <dgm:bg/>
  <dgm:whole/>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C6704E-EB86-4159-BBB3-FF8A182638AB}">
      <dsp:nvSpPr>
        <dsp:cNvPr id="0" name=""/>
        <dsp:cNvSpPr/>
      </dsp:nvSpPr>
      <dsp:spPr>
        <a:xfrm>
          <a:off x="0" y="0"/>
          <a:ext cx="3555868" cy="34355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vi-VN" sz="900" kern="1200"/>
            <a:t>Sinh viên chụp ảnh hóa đơn và chứng từ y tế trên App</a:t>
          </a:r>
          <a:endParaRPr lang="en-US" sz="900" kern="1200"/>
        </a:p>
      </dsp:txBody>
      <dsp:txXfrm>
        <a:off x="10062" y="10062"/>
        <a:ext cx="3156117" cy="323429"/>
      </dsp:txXfrm>
    </dsp:sp>
    <dsp:sp modelId="{9B9D532A-00A7-42B0-B0DA-B829A2F532CF}">
      <dsp:nvSpPr>
        <dsp:cNvPr id="0" name=""/>
        <dsp:cNvSpPr/>
      </dsp:nvSpPr>
      <dsp:spPr>
        <a:xfrm>
          <a:off x="297803" y="406017"/>
          <a:ext cx="3555868" cy="34355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vi-VN" sz="900" kern="1200"/>
            <a:t>Công nghệ OCR &amp; AI tự động bóc tách và xác thực dữ liệu</a:t>
          </a:r>
          <a:endParaRPr lang="en-US" sz="900" kern="1200"/>
        </a:p>
      </dsp:txBody>
      <dsp:txXfrm>
        <a:off x="307865" y="416079"/>
        <a:ext cx="3014630" cy="323429"/>
      </dsp:txXfrm>
    </dsp:sp>
    <dsp:sp modelId="{C6B3E79B-9453-4810-A3BE-8D8EA04D0087}">
      <dsp:nvSpPr>
        <dsp:cNvPr id="0" name=""/>
        <dsp:cNvSpPr/>
      </dsp:nvSpPr>
      <dsp:spPr>
        <a:xfrm>
          <a:off x="591163" y="812034"/>
          <a:ext cx="3555868" cy="34355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vi-VN" sz="900" kern="1200"/>
            <a:t>Hệ thống tự động đối chiếu với quy tắc biểu phí và điều khoản "UEH Care"</a:t>
          </a:r>
          <a:endParaRPr lang="en-US" sz="900" kern="1200"/>
        </a:p>
      </dsp:txBody>
      <dsp:txXfrm>
        <a:off x="601225" y="822096"/>
        <a:ext cx="3019075" cy="323429"/>
      </dsp:txXfrm>
    </dsp:sp>
    <dsp:sp modelId="{09CA6B9D-D23D-4AF2-9D4A-0734E4E55953}">
      <dsp:nvSpPr>
        <dsp:cNvPr id="0" name=""/>
        <dsp:cNvSpPr/>
      </dsp:nvSpPr>
      <dsp:spPr>
        <a:xfrm>
          <a:off x="888966" y="1218051"/>
          <a:ext cx="3555868" cy="34355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vi-VN" sz="900" kern="1200"/>
            <a:t>Phê duyệt tự động và giải ngân qua tài khoản ngân hàng liên kết trong 24h</a:t>
          </a:r>
          <a:endParaRPr lang="en-US" sz="900" kern="1200"/>
        </a:p>
      </dsp:txBody>
      <dsp:txXfrm>
        <a:off x="899028" y="1228113"/>
        <a:ext cx="3014630" cy="323429"/>
      </dsp:txXfrm>
    </dsp:sp>
    <dsp:sp modelId="{7C7BAD2D-2FD2-4D42-80D9-ED5642A03985}">
      <dsp:nvSpPr>
        <dsp:cNvPr id="0" name=""/>
        <dsp:cNvSpPr/>
      </dsp:nvSpPr>
      <dsp:spPr>
        <a:xfrm>
          <a:off x="3332558" y="263130"/>
          <a:ext cx="223309" cy="223309"/>
        </a:xfrm>
        <a:prstGeom prst="downArrow">
          <a:avLst>
            <a:gd name="adj1" fmla="val 55000"/>
            <a:gd name="adj2" fmla="val 45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l" defTabSz="444500">
            <a:lnSpc>
              <a:spcPct val="90000"/>
            </a:lnSpc>
            <a:spcBef>
              <a:spcPct val="0"/>
            </a:spcBef>
            <a:spcAft>
              <a:spcPct val="35000"/>
            </a:spcAft>
            <a:buNone/>
          </a:pPr>
          <a:endParaRPr lang="en-US" sz="1000" kern="1200"/>
        </a:p>
      </dsp:txBody>
      <dsp:txXfrm>
        <a:off x="3382803" y="263130"/>
        <a:ext cx="122819" cy="168040"/>
      </dsp:txXfrm>
    </dsp:sp>
    <dsp:sp modelId="{A4A20572-2F57-49CC-ABC8-9B8DAB6DE4C4}">
      <dsp:nvSpPr>
        <dsp:cNvPr id="0" name=""/>
        <dsp:cNvSpPr/>
      </dsp:nvSpPr>
      <dsp:spPr>
        <a:xfrm>
          <a:off x="3630362" y="669147"/>
          <a:ext cx="223309" cy="223309"/>
        </a:xfrm>
        <a:prstGeom prst="downArrow">
          <a:avLst>
            <a:gd name="adj1" fmla="val 55000"/>
            <a:gd name="adj2" fmla="val 45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l" defTabSz="444500">
            <a:lnSpc>
              <a:spcPct val="90000"/>
            </a:lnSpc>
            <a:spcBef>
              <a:spcPct val="0"/>
            </a:spcBef>
            <a:spcAft>
              <a:spcPct val="35000"/>
            </a:spcAft>
            <a:buNone/>
          </a:pPr>
          <a:endParaRPr lang="en-US" sz="1000" kern="1200"/>
        </a:p>
      </dsp:txBody>
      <dsp:txXfrm>
        <a:off x="3680607" y="669147"/>
        <a:ext cx="122819" cy="168040"/>
      </dsp:txXfrm>
    </dsp:sp>
    <dsp:sp modelId="{ADBF6117-E004-4DBC-A9F1-FBB974C83772}">
      <dsp:nvSpPr>
        <dsp:cNvPr id="0" name=""/>
        <dsp:cNvSpPr/>
      </dsp:nvSpPr>
      <dsp:spPr>
        <a:xfrm>
          <a:off x="3923721" y="1075165"/>
          <a:ext cx="223309" cy="223309"/>
        </a:xfrm>
        <a:prstGeom prst="downArrow">
          <a:avLst>
            <a:gd name="adj1" fmla="val 55000"/>
            <a:gd name="adj2" fmla="val 45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l" defTabSz="444500">
            <a:lnSpc>
              <a:spcPct val="90000"/>
            </a:lnSpc>
            <a:spcBef>
              <a:spcPct val="0"/>
            </a:spcBef>
            <a:spcAft>
              <a:spcPct val="35000"/>
            </a:spcAft>
            <a:buNone/>
          </a:pPr>
          <a:endParaRPr lang="en-US" sz="1000" kern="1200"/>
        </a:p>
      </dsp:txBody>
      <dsp:txXfrm>
        <a:off x="3973966" y="1075165"/>
        <a:ext cx="122819" cy="168040"/>
      </dsp:txXfrm>
    </dsp:sp>
  </dsp:spTree>
</dsp:drawing>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wle+IcK+V0nuQ1PQhcS4OrdunQ==">CgMxLjAyCGguZ2pkZ3hzMgloLjMwajB6bGwyCWguMWZvYjl0ZTIJaC4zem55c2g3MgloLjJldDkycDAyCGgudHlqY3d0MgloLjNkeTZ2a20yCWguMXQzaDVzZjIJaC40ZDM0b2c4OAByITFTOHRfTEVvcjh6MEdvRHFSWW4tQjdKRTNES0lDQmJwdg==</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2D34FB6-EC1D-4A92-A5F6-38CB6C1028BB}">
  <ds:schemaRefs/>
</ds:datastoreItem>
</file>

<file path=customXml/itemProps3.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24</Pages>
  <Words>5393</Words>
  <Characters>30742</Characters>
  <Lines>256</Lines>
  <Paragraphs>72</Paragraphs>
  <TotalTime>580</TotalTime>
  <ScaleCrop>false</ScaleCrop>
  <LinksUpToDate>false</LinksUpToDate>
  <CharactersWithSpaces>36063</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2026-10-15T15:07:00Z</dcterms:created>
  <dc:creator>user</dc:creator>
  <cp:lastModifiedBy>Acer</cp:lastModifiedBy>
  <dcterms:modified xsi:type="dcterms:W3CDTF">2026-10-20T21:22:18Z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22fa6113eb1f651c93856963485a6b110e4d25d0b6640ea024904a35aaf6f401</vt:lpwstr>
  </property>
  <property fmtid="{D5CDD505-2E9C-101B-9397-08002B2CF9AE}" pid="3" name="KSOProductBuildVer">
    <vt:lpwstr>1033-11.2.0.9052</vt:lpwstr>
  </property>
</Properties>
</file>