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2300" w:after="80" w:line="240" w:lineRule="auto"/>
      </w:pPr>
      <w:r>
        <w:rPr>
          <w:b/>
          <w:color w:val="005288"/>
          <w:sz w:val="21"/>
          <w:spacing w:val="52"/>
        </w:rPr>
        <w:t xml:space="preserve">BAYANIHAN ONE WINDOW</w:t>
      </w:r>
    </w:p>
    <w:p>
      <w:pPr>
        <w:spacing w:after="80" w:line="240" w:lineRule="auto"/>
      </w:pPr>
      <w:r>
        <w:rPr>
          <w:rFonts w:ascii="Calibri Light" w:hAnsi="Calibri Light"/>
          <w:color w:val="0A2D46"/>
          <w:sz w:val="68"/>
          <w:szCs w:val="68"/>
        </w:rPr>
        <w:t xml:space="preserve">Deployment Costing</w:t>
      </w:r>
    </w:p>
    <w:p>
      <w:pPr>
        <w:spacing w:after="340" w:line="264" w:lineRule="auto"/>
      </w:pPr>
      <w:r>
        <w:rPr>
          <w:color w:val="5A6B78"/>
          <w:sz w:val="25"/>
          <w:szCs w:val="25"/>
        </w:rPr>
        <w:t xml:space="preserve">Monthly and annual cost of operating the production environment</w:t>
      </w:r>
    </w:p>
    <w:p>
      <w:pPr>
        <w:pBdr>
          <w:bottom w:val="single" w:sz="20" w:space="1" w:color="005288"/>
        </w:pBdr>
        <w:ind w:right="6200"/>
        <w:spacing w:after="420" w:line="240" w:lineRule="auto"/>
      </w:pPr>
      <w:r>
        <w:rPr>
          <w:sz w:val="8"/>
        </w:rPr>
      </w:r>
    </w:p>
    <w:p>
      <w:pPr>
        <w:tabs>
          <w:tab w:val="left" w:pos="2500"/>
        </w:tabs>
        <w:spacing w:after="110" w:line="240" w:lineRule="auto"/>
      </w:pPr>
      <w:r>
        <w:rPr>
          <w:color w:val="5A6B78"/>
          <w:sz w:val="20"/>
        </w:rPr>
        <w:t xml:space="preserve">Document</w:t>
      </w:r>
      <w:r>
        <w:tab/>
      </w:r>
      <w:r>
        <w:rPr>
          <w:b/>
          <w:color w:val="1F2933"/>
          <w:sz w:val="20"/>
        </w:rPr>
        <w:t xml:space="preserve">Deployment Costing</w:t>
      </w:r>
    </w:p>
    <w:p>
      <w:pPr>
        <w:tabs>
          <w:tab w:val="left" w:pos="2500"/>
        </w:tabs>
        <w:spacing w:after="110" w:line="240" w:lineRule="auto"/>
      </w:pPr>
      <w:r>
        <w:rPr>
          <w:color w:val="5A6B78"/>
          <w:sz w:val="20"/>
        </w:rPr>
        <w:t xml:space="preserve">Version</w:t>
      </w:r>
      <w:r>
        <w:tab/>
      </w:r>
      <w:r>
        <w:rPr>
          <w:b/>
          <w:color w:val="1F2933"/>
          <w:sz w:val="20"/>
        </w:rPr>
        <w:t xml:space="preserve">1.0.0</w:t>
      </w:r>
    </w:p>
    <w:p>
      <w:pPr>
        <w:tabs>
          <w:tab w:val="left" w:pos="2500"/>
        </w:tabs>
        <w:spacing w:after="110" w:line="240" w:lineRule="auto"/>
      </w:pPr>
      <w:r>
        <w:rPr>
          <w:color w:val="5A6B78"/>
          <w:sz w:val="20"/>
        </w:rPr>
        <w:t xml:space="preserve">Date</w:t>
      </w:r>
      <w:r>
        <w:tab/>
      </w:r>
      <w:r>
        <w:rPr>
          <w:b/>
          <w:color w:val="1F2933"/>
          <w:sz w:val="20"/>
        </w:rPr>
        <w:t xml:space="preserve">18 August 2026</w:t>
      </w:r>
    </w:p>
    <w:p>
      <w:pPr>
        <w:tabs>
          <w:tab w:val="left" w:pos="2500"/>
        </w:tabs>
        <w:spacing w:after="110" w:line="240" w:lineRule="auto"/>
      </w:pPr>
      <w:r>
        <w:rPr>
          <w:color w:val="5A6B78"/>
          <w:sz w:val="20"/>
        </w:rPr>
        <w:t xml:space="preserve">Environment</w:t>
      </w:r>
      <w:r>
        <w:tab/>
      </w:r>
      <w:r>
        <w:rPr>
          <w:b/>
          <w:color w:val="1F2933"/>
          <w:sz w:val="20"/>
        </w:rPr>
        <w:t xml:space="preserve">Production — https://dmw7.owbap.app</w:t>
      </w:r>
    </w:p>
    <w:p>
      <w:pPr>
        <w:tabs>
          <w:tab w:val="left" w:pos="2500"/>
        </w:tabs>
        <w:spacing w:after="110" w:line="240" w:lineRule="auto"/>
      </w:pPr>
      <w:r>
        <w:rPr>
          <w:color w:val="5A6B78"/>
          <w:sz w:val="20"/>
        </w:rPr>
        <w:t xml:space="preserve">Region / account</w:t>
      </w:r>
      <w:r>
        <w:tab/>
      </w:r>
      <w:r>
        <w:rPr>
          <w:b/>
          <w:color w:val="1F2933"/>
          <w:sz w:val="20"/>
        </w:rPr>
        <w:t xml:space="preserve">AWS ap-southeast-1 / 677206905439</w:t>
      </w:r>
    </w:p>
    <w:p>
      <w:pPr>
        <w:tabs>
          <w:tab w:val="left" w:pos="2500"/>
        </w:tabs>
        <w:spacing w:after="110" w:line="240" w:lineRule="auto"/>
      </w:pPr>
      <w:r>
        <w:rPr>
          <w:color w:val="5A6B78"/>
          <w:sz w:val="20"/>
        </w:rPr>
        <w:t xml:space="preserve">Prepared for</w:t>
      </w:r>
      <w:r>
        <w:tab/>
      </w:r>
      <w:r>
        <w:rPr>
          <w:b/>
          <w:color w:val="1F2933"/>
          <w:sz w:val="20"/>
        </w:rPr>
        <w:t xml:space="preserve">Department of Migrant Workers — Region VII</w:t>
      </w:r>
    </w:p>
    <w:p>
      <w:pPr>
        <w:tabs>
          <w:tab w:val="left" w:pos="2500"/>
        </w:tabs>
        <w:spacing w:after="110" w:line="240" w:lineRule="auto"/>
      </w:pPr>
      <w:r>
        <w:rPr>
          <w:color w:val="5A6B78"/>
          <w:sz w:val="20"/>
        </w:rPr>
        <w:t xml:space="preserve">Classification</w:t>
      </w:r>
      <w:r>
        <w:tab/>
      </w:r>
      <w:r>
        <w:rPr>
          <w:b/>
          <w:color w:val="1F2933"/>
          <w:sz w:val="20"/>
        </w:rPr>
        <w:t xml:space="preserve">Internal</w:t>
      </w:r>
    </w:p>
    <w:p>
      <w:pPr>
        <w:pBdr>
          <w:top w:val="single" w:sz="4" w:space="8" w:color="C9D4DC"/>
        </w:pBdr>
        <w:spacing w:before="3600" w:after="0" w:line="252" w:lineRule="auto"/>
      </w:pPr>
      <w:r>
        <w:rPr>
          <w:color w:val="5A6B78"/>
          <w:sz w:val="17"/>
        </w:rPr>
        <w:t xml:space="preserve">All figures in US dollars unless stated. Peso conversions are indicative at PHP 58.00 per USD. Infrastructure figures are drawn from the verified AWS production runbook; see section 8 for the assumptions and the one line that must be reconciled against the invoice.</w:t>
      </w:r>
    </w:p>
    <w:p>
      <w:r>
        <w:br w:type="page"/>
      </w:r>
    </w:p>
    <w:p>
      <w:pPr>
        <w:pBdr>
          <w:bottom w:val="single" w:sz="6" w:space="4" w:color="C9D4DC"/>
        </w:pBdr>
        <w:spacing w:before="0" w:after="240" w:line="240" w:lineRule="auto"/>
      </w:pPr>
      <w:r>
        <w:rPr>
          <w:b/>
          <w:color w:val="005288"/>
          <w:sz w:val="34"/>
          <w:szCs w:val="34"/>
        </w:rPr>
        <w:t xml:space="preserve">Contents</w:t>
      </w:r>
    </w:p>
    <w:p>
      <w:pPr>
        <w:spacing w:after="0"/>
      </w:pPr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rPr>
          <w:color w:val="5A6B78"/>
          <w:sz w:val="20"/>
        </w:rPr>
        <w:t xml:space="preserve">Contents build when this field updates. If the list is not shown, select all (Ctrl+A) and press F9.</w:t>
      </w:r>
      <w:r>
        <w:fldChar w:fldCharType="end"/>
      </w:r>
    </w:p>
    <w:p>
      <w:r>
        <w:br w:type="page"/>
      </w:r>
    </w:p>
    <w:bookmarkStart w:id="9" w:name="X14dfe8f0b252f4039975e19fb03b37d6f7b59ff"/>
    <w:p>
      <w:pPr>
        <w:pStyle w:val="Heading1"/>
      </w:pPr>
      <w:r>
        <w:t xml:space="preserve">1. Scope</w:t>
      </w:r>
    </w:p>
    <w:p>
      <w:pPr>
        <w:pStyle w:val="FirstParagraph"/>
      </w:pPr>
      <w:r>
        <w:t xml:space="preserve">This covers</w:t>
      </w:r>
      <w:r>
        <w:t xml:space="preserve"> </w:t>
      </w:r>
      <w:r>
        <w:rPr>
          <w:b/>
          <w:bCs/>
        </w:rPr>
        <w:t xml:space="preserve">running costs only</w:t>
      </w:r>
      <w:r>
        <w:t xml:space="preserve"> </w:t>
      </w:r>
      <w:r>
        <w:t xml:space="preserve">— the infrastructure and third-party services</w:t>
      </w:r>
      <w:r>
        <w:t xml:space="preserve"> </w:t>
      </w:r>
      <w:r>
        <w:t xml:space="preserve">needed to keep the deployed application available. It excludes development</w:t>
      </w:r>
      <w:r>
        <w:t xml:space="preserve"> </w:t>
      </w:r>
      <w:r>
        <w:t xml:space="preserve">labour, project management, training, and hardware.</w:t>
      </w:r>
    </w:p>
    <w:p>
      <w:pPr>
        <w:pStyle w:val="BodyText"/>
      </w:pPr>
      <w:r>
        <w:t xml:space="preserve">Architecture being costed (from</w:t>
      </w:r>
      <w:r>
        <w:t xml:space="preserve"> </w:t>
      </w:r>
      <w:r>
        <w:rPr>
          <w:rStyle w:val="VerbatimChar"/>
        </w:rPr>
        <w:t xml:space="preserve">docs/DEPLOYMENT_PRODUCTION_AWS_v1.6.0.md</w:t>
      </w:r>
      <w:r>
        <w:t xml:space="preserve">):</w:t>
      </w:r>
    </w:p>
    <w:tbl>
      <w:tblPr>
        <w:tblStyle w:val="Table"/>
        <w:tblW w:w="5000" w:type="pc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What runs it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Application (web + queue worker + scheduler)</w:t>
            </w:r>
          </w:p>
        </w:tc>
        <w:tc>
          <w:tcPr/>
          <w:p>
            <w:pPr>
              <w:pStyle w:val="Compact"/>
            </w:pPr>
            <w:r>
              <w:t xml:space="preserve">One Lightsail container service, single node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Lightsail managed PostgreSQL 17, private, encrypted, automated backups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</w:pPr>
            <w:r>
              <w:t xml:space="preserve">Two S3 buckets — uploads, and audit archives with Object Lock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Cache / queue / session</w:t>
            </w:r>
          </w:p>
        </w:tc>
        <w:tc>
          <w:tcPr/>
          <w:p>
            <w:pPr>
              <w:pStyle w:val="Compact"/>
            </w:pPr>
            <w:r>
              <w:t xml:space="preserve">PostgreSQL (</w:t>
            </w:r>
            <w:r>
              <w:rPr>
                <w:rStyle w:val="VerbatimChar"/>
              </w:rPr>
              <w:t xml:space="preserve">database</w:t>
            </w:r>
            <w:r>
              <w:t xml:space="preserve"> </w:t>
            </w:r>
            <w:r>
              <w:t xml:space="preserve">driver) —</w:t>
            </w:r>
            <w:r>
              <w:t xml:space="preserve"> </w:t>
            </w:r>
            <w:r>
              <w:rPr>
                <w:b/>
                <w:bCs/>
              </w:rPr>
              <w:t xml:space="preserve">no Redis in production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Container images</w:t>
            </w:r>
          </w:p>
        </w:tc>
        <w:tc>
          <w:tcPr/>
          <w:p>
            <w:pPr>
              <w:pStyle w:val="Compact"/>
            </w:pPr>
            <w:r>
              <w:t xml:space="preserve">Amazon ECR, immutable tags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TLS certificate</w:t>
            </w:r>
          </w:p>
        </w:tc>
        <w:tc>
          <w:tcPr/>
          <w:p>
            <w:pPr>
              <w:pStyle w:val="Compact"/>
            </w:pPr>
            <w:r>
              <w:t xml:space="preserve">Lightsail-managed, no charge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Resend (HTTPS API)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Error monitoring</w:t>
            </w:r>
          </w:p>
        </w:tc>
        <w:tc>
          <w:tcPr/>
          <w:p>
            <w:pPr>
              <w:pStyle w:val="Compact"/>
            </w:pPr>
            <w:r>
              <w:t xml:space="preserve">Sentry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Bot protection</w:t>
            </w:r>
          </w:p>
        </w:tc>
        <w:tc>
          <w:tcPr/>
          <w:p>
            <w:pPr>
              <w:pStyle w:val="Compact"/>
            </w:pPr>
            <w:r>
              <w:t xml:space="preserve">Cloudflare Turnstile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AI chatbot</w:t>
            </w:r>
          </w:p>
        </w:tc>
        <w:tc>
          <w:tcPr/>
          <w:p>
            <w:pPr>
              <w:pStyle w:val="Compact"/>
            </w:pPr>
            <w:r>
              <w:t xml:space="preserve">OpenRouter (free-tier model), pgvector retrieval in the same database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</w:tr>
    </w:tbl>
    <w:p>
      <w:pPr>
        <w:pStyle w:val="BodyText"/>
      </w:pPr>
      <w:r>
        <w:t xml:space="preserve">There is</w:t>
      </w:r>
      <w:r>
        <w:t xml:space="preserve"> </w:t>
      </w:r>
      <w:r>
        <w:rPr>
          <w:b/>
          <w:bCs/>
        </w:rPr>
        <w:t xml:space="preserve">no staging environment</w:t>
      </w:r>
      <w:r>
        <w:t xml:space="preserve"> </w:t>
      </w:r>
      <w:r>
        <w:t xml:space="preserve">— it was decommissioned. Production is the</w:t>
      </w:r>
      <w:r>
        <w:t xml:space="preserve"> </w:t>
      </w:r>
      <w:r>
        <w:t xml:space="preserve">only environment. §6 prices staging back in if that decision is revisited.</w:t>
      </w:r>
    </w:p>
    <w:bookmarkEnd w:id="9"/>
    <w:bookmarkStart w:id="10" w:name="Xe94fb3ac37ce526fdbd716999dd4b3bd13e7551"/>
    <w:p>
      <w:pPr>
        <w:pStyle w:val="Heading1"/>
      </w:pPr>
      <w:r>
        <w:t xml:space="preserve">2. AWS infrastructure — current baseline</w:t>
      </w:r>
    </w:p>
    <w:tbl>
      <w:tblPr>
        <w:tblStyle w:val="Table"/>
        <w:tblW w:w="5000" w:type="pc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 / 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 / year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Lightsail container service</w:t>
            </w:r>
          </w:p>
        </w:tc>
        <w:tc>
          <w:tcPr/>
          <w:p>
            <w:pPr>
              <w:pStyle w:val="Compact"/>
            </w:pPr>
            <w:r>
              <w:t xml:space="preserve">power</w:t>
            </w:r>
            <w:r>
              <w:t xml:space="preserve"> </w:t>
            </w:r>
            <w:r>
              <w:rPr>
                <w:rStyle w:val="VerbatimChar"/>
              </w:rPr>
              <w:t xml:space="preserve">small</w:t>
            </w:r>
            <w:r>
              <w:t xml:space="preserve">, scale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180.00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Lightsail PostgreSQL</w:t>
            </w:r>
          </w:p>
        </w:tc>
        <w:tc>
          <w:tcPr/>
          <w:p>
            <w:pPr>
              <w:pStyle w:val="Compact"/>
            </w:pPr>
            <w:r>
              <w:t xml:space="preserve">bundle</w:t>
            </w:r>
            <w:r>
              <w:t xml:space="preserve"> </w:t>
            </w:r>
            <w:r>
              <w:rPr>
                <w:rStyle w:val="VerbatimChar"/>
              </w:rPr>
              <w:t xml:space="preserve">micro_2_0</w:t>
            </w:r>
            <w:r>
              <w:t xml:space="preserve">, 40 GB SSD, encrypted, backups 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180.00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S3 —</w:t>
            </w:r>
            <w:r>
              <w:t xml:space="preserve"> </w:t>
            </w:r>
            <w:r>
              <w:rPr>
                <w:rStyle w:val="VerbatimChar"/>
              </w:rPr>
              <w:t xml:space="preserve">bayanihan-production-files</w:t>
            </w:r>
          </w:p>
        </w:tc>
        <w:tc>
          <w:tcPr/>
          <w:p>
            <w:pPr>
              <w:pStyle w:val="Compact"/>
            </w:pPr>
            <w:r>
              <w:t xml:space="preserve">uploads, versioned, low volume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S3 —</w:t>
            </w:r>
            <w:r>
              <w:t xml:space="preserve"> </w:t>
            </w:r>
            <w:r>
              <w:rPr>
                <w:rStyle w:val="VerbatimChar"/>
              </w:rPr>
              <w:t xml:space="preserve">bayanihan-production-audit-archives</w:t>
            </w:r>
          </w:p>
        </w:tc>
        <w:tc>
          <w:tcPr/>
          <w:p>
            <w:pPr>
              <w:pStyle w:val="Compact"/>
            </w:pPr>
            <w:r>
              <w:t xml:space="preserve">Object Lock, monthly bundles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Amazon ECR</w:t>
            </w:r>
          </w:p>
        </w:tc>
        <w:tc>
          <w:tcPr/>
          <w:p>
            <w:pPr>
              <w:pStyle w:val="Compact"/>
            </w:pPr>
            <w:r>
              <w:t xml:space="preserve">container images, under 1 GB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ACM / TLS certificate</w:t>
            </w:r>
          </w:p>
        </w:tc>
        <w:tc>
          <w:tcPr/>
          <w:p>
            <w:pPr>
              <w:pStyle w:val="Compact"/>
            </w:pPr>
            <w:r>
              <w:t xml:space="preserve">Lightsail-managed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Data transfer</w:t>
            </w:r>
          </w:p>
        </w:tc>
        <w:tc>
          <w:tcPr/>
          <w:p>
            <w:pPr>
              <w:pStyle w:val="Compact"/>
            </w:pPr>
            <w:r>
              <w:t xml:space="preserve">within the Lightsail bundle allowance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~31.10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~373.20</w:t>
            </w:r>
          </w:p>
        </w:tc>
      </w:tr>
    </w:tbl>
    <w:p>
      <w:pPr>
        <w:pStyle w:val="BodyText"/>
      </w:pPr>
      <w:r>
        <w:t xml:space="preserve">Both the container service and the database</w:t>
      </w:r>
      <w:r>
        <w:t xml:space="preserve"> </w:t>
      </w:r>
      <w:r>
        <w:rPr>
          <w:b/>
          <w:bCs/>
        </w:rPr>
        <w:t xml:space="preserve">bill continuously</w:t>
      </w:r>
      <w:r>
        <w:t xml:space="preserve"> </w:t>
      </w:r>
      <w:r>
        <w:t xml:space="preserve">— whether a</w:t>
      </w:r>
      <w:r>
        <w:t xml:space="preserve"> </w:t>
      </w:r>
      <w:r>
        <w:t xml:space="preserve">deployment exists or not, and whether the service is enabled or not. Stopping</w:t>
      </w:r>
      <w:r>
        <w:t xml:space="preserve"> </w:t>
      </w:r>
      <w:r>
        <w:t xml:space="preserve">them does not stop the charge; they must be</w:t>
      </w:r>
      <w:r>
        <w:t xml:space="preserve"> </w:t>
      </w:r>
      <w:r>
        <w:rPr>
          <w:i/>
          <w:iCs/>
        </w:rPr>
        <w:t xml:space="preserve">deleted</w:t>
      </w:r>
      <w:r>
        <w:t xml:space="preserve">.</w:t>
      </w:r>
    </w:p>
    <w:bookmarkEnd w:id="10"/>
    <w:bookmarkStart w:id="11" w:name="X5cc127300d673cc0c7bc55c6a4a5375de87f57b"/>
    <w:p>
      <w:pPr>
        <w:pStyle w:val="Heading1"/>
      </w:pPr>
      <w:r>
        <w:t xml:space="preserve">3. Third-party services — current baseline</w:t>
      </w:r>
    </w:p>
    <w:p>
      <w:pPr>
        <w:pStyle w:val="FirstParagraph"/>
      </w:pPr>
      <w:r>
        <w:t xml:space="preserve">All of these currently sit on free tiers. The paid step-up is shown because the</w:t>
      </w:r>
      <w:r>
        <w:t xml:space="preserve"> </w:t>
      </w:r>
      <w:r>
        <w:t xml:space="preserve">free tiers have hard ceilings that ordinary growth will reach.</w:t>
      </w:r>
    </w:p>
    <w:tbl>
      <w:tblPr>
        <w:tblStyle w:val="Table"/>
        <w:tblW w:w="5000" w:type="pc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Current tier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 / month</w:t>
            </w:r>
          </w:p>
        </w:tc>
        <w:tc>
          <w:tcPr/>
          <w:p>
            <w:pPr>
              <w:pStyle w:val="Compact"/>
            </w:pPr>
            <w:r>
              <w:t xml:space="preserve">Next paid tier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Resend</w:t>
            </w:r>
          </w:p>
        </w:tc>
        <w:tc>
          <w:tcPr/>
          <w:p>
            <w:pPr>
              <w:pStyle w:val="Compact"/>
            </w:pPr>
            <w:r>
              <w:t xml:space="preserve">Transactional email — OTP, MFA, password reset</w:t>
            </w:r>
          </w:p>
        </w:tc>
        <w:tc>
          <w:tcPr/>
          <w:p>
            <w:pPr>
              <w:pStyle w:val="Compact"/>
            </w:pPr>
            <w:r>
              <w:t xml:space="preserve">Free: 3,000 emails/mo, 100/day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$20/mo — 50,000 emails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Error and performance monitoring</w:t>
            </w:r>
          </w:p>
        </w:tc>
        <w:tc>
          <w:tcPr/>
          <w:p>
            <w:pPr>
              <w:pStyle w:val="Compact"/>
            </w:pPr>
            <w:r>
              <w:t xml:space="preserve">Developer: 5,000 errors/mo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$26/mo — Team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Cloudflare Turnstile</w:t>
            </w:r>
          </w:p>
        </w:tc>
        <w:tc>
          <w:tcPr/>
          <w:p>
            <w:pPr>
              <w:pStyle w:val="Compact"/>
            </w:pPr>
            <w:r>
              <w:t xml:space="preserve">Bot protection on public forms</w:t>
            </w:r>
          </w:p>
        </w:tc>
        <w:tc>
          <w:tcPr/>
          <w:p>
            <w:pPr>
              <w:pStyle w:val="Compact"/>
            </w:pPr>
            <w:r>
              <w:t xml:space="preserve">Free (unlimited)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OpenRouter</w:t>
            </w:r>
          </w:p>
        </w:tc>
        <w:tc>
          <w:tcPr/>
          <w:p>
            <w:pPr>
              <w:pStyle w:val="Compact"/>
            </w:pPr>
            <w:r>
              <w:t xml:space="preserve">AI chatbot answer generation</w:t>
            </w:r>
          </w:p>
        </w:tc>
        <w:tc>
          <w:tcPr/>
          <w:p>
            <w:pPr>
              <w:pStyle w:val="Compact"/>
            </w:pPr>
            <w:r>
              <w:t xml:space="preserve">Free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~$5–20/mo on a paid model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CI/CD pipeline</w:t>
            </w:r>
          </w:p>
        </w:tc>
        <w:tc>
          <w:tcPr/>
          <w:p>
            <w:pPr>
              <w:pStyle w:val="Compact"/>
            </w:pPr>
            <w:r>
              <w:t xml:space="preserve">Within included minutes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$4/user/mo (Team)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Domain</w:t>
            </w:r>
            <w:r>
              <w:t xml:space="preserve"> </w:t>
            </w:r>
            <w:r>
              <w:rPr>
                <w:rStyle w:val="VerbatimChar"/>
              </w:rPr>
              <w:t xml:space="preserve">owbap.app</w:t>
            </w:r>
          </w:p>
        </w:tc>
        <w:tc>
          <w:tcPr/>
          <w:p>
            <w:pPr>
              <w:pStyle w:val="Compact"/>
            </w:pPr>
            <w:r>
              <w:t xml:space="preserve">Public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.app</w:t>
            </w:r>
            <w:r>
              <w:t xml:space="preserve"> </w:t>
            </w:r>
            <w:r>
              <w:t xml:space="preserve">registration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~1.75</w:t>
            </w:r>
          </w:p>
        </w:tc>
        <w:tc>
          <w:tcPr/>
          <w:p>
            <w:pPr>
              <w:pStyle w:val="Compact"/>
            </w:pPr>
            <w:r>
              <w:t xml:space="preserve">~$21/yr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DNS hosting</w:t>
            </w:r>
          </w:p>
        </w:tc>
        <w:tc>
          <w:tcPr/>
          <w:p>
            <w:pPr>
              <w:pStyle w:val="Compact"/>
            </w:pPr>
            <w:r>
              <w:t xml:space="preserve">Name resolution</w:t>
            </w:r>
          </w:p>
        </w:tc>
        <w:tc>
          <w:tcPr/>
          <w:p>
            <w:pPr>
              <w:pStyle w:val="Compact"/>
            </w:pPr>
            <w:r>
              <w:t xml:space="preserve">Cloudflare free / Route 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0.00–0.50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Third-party 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~1.75–2.25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The 100-emails-per-day Resend cap is the first ceiling you will hit.</w:t>
      </w:r>
      <w:r>
        <w:t xml:space="preserve"> </w:t>
      </w:r>
      <w:r>
        <w:t xml:space="preserve">Every</w:t>
      </w:r>
      <w:r>
        <w:t xml:space="preserve"> </w:t>
      </w:r>
      <w:r>
        <w:t xml:space="preserve">OFW intake sends an OTP. A busy intake day of 100+ verifications silently stops</w:t>
      </w:r>
      <w:r>
        <w:t xml:space="preserve"> </w:t>
      </w:r>
      <w:r>
        <w:t xml:space="preserve">sending, and users cannot sign in. Budget the $20/mo tier before go-live volume,</w:t>
      </w:r>
      <w:r>
        <w:t xml:space="preserve"> </w:t>
      </w:r>
      <w:r>
        <w:t xml:space="preserve">not after.</w:t>
      </w:r>
    </w:p>
    <w:bookmarkEnd w:id="11"/>
    <w:bookmarkStart w:id="12" w:name="X96412eaa6a661214030e81d1969acd902f63014"/>
    <w:p>
      <w:pPr>
        <w:pStyle w:val="Heading1"/>
      </w:pPr>
      <w:r>
        <w:t xml:space="preserve">4. Total cost to keep it running</w:t>
      </w:r>
    </w:p>
    <w:tbl>
      <w:tblPr>
        <w:tblStyle w:val="Table"/>
        <w:tblW w:w="5000" w:type="pc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USD / 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 / 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PHP / 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PHP / year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AWS infrastructure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373.20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₱1,804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₱21,646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Third-party services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₱116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₱1,392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— current baseline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~33.10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~397.20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₱1,920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₱23,038</w:t>
            </w:r>
          </w:p>
        </w:tc>
      </w:tr>
    </w:tbl>
    <w:p>
      <w:pPr>
        <w:pStyle w:val="BodyText"/>
      </w:pPr>
      <w:r>
        <w:rPr>
          <w:b/>
          <w:bCs/>
        </w:rPr>
        <w:t xml:space="preserve">Run rate: roughly $33 a month, or under $400 a year.</w:t>
      </w:r>
    </w:p>
    <w:p>
      <w:pPr>
        <w:pStyle w:val="BodyText"/>
      </w:pPr>
      <w:r>
        <w:t xml:space="preserve">On a $200 AWS credit balance, the AWS portion alone runs about</w:t>
      </w:r>
      <w:r>
        <w:t xml:space="preserve"> </w:t>
      </w:r>
      <w:r>
        <w:rPr>
          <w:b/>
          <w:bCs/>
        </w:rPr>
        <w:t xml:space="preserve">six months</w:t>
      </w:r>
      <w:r>
        <w:t xml:space="preserve">.</w:t>
      </w:r>
    </w:p>
    <w:bookmarkEnd w:id="12"/>
    <w:bookmarkStart w:id="16" w:name="Xe42d502b75204d2eca02daae75c72754544046f"/>
    <w:p>
      <w:pPr>
        <w:pStyle w:val="Heading1"/>
      </w:pPr>
      <w:r>
        <w:t xml:space="preserve">5. Growth scenarios</w:t>
      </w:r>
    </w:p>
    <w:p>
      <w:pPr>
        <w:pStyle w:val="FirstParagraph"/>
      </w:pPr>
      <w:r>
        <w:t xml:space="preserve">The baseline is a single-node deployment with no redundancy and free-tier</w:t>
      </w:r>
      <w:r>
        <w:t xml:space="preserve"> </w:t>
      </w:r>
      <w:r>
        <w:t xml:space="preserve">supporting services. Two realistic step-ups:</w:t>
      </w:r>
    </w:p>
    <w:bookmarkStart w:id="13" w:name="X8b83e40711d1d6713895a1876f371cfe3512034"/>
    <w:p>
      <w:pPr>
        <w:pStyle w:val="Heading2"/>
      </w:pPr>
      <w:r>
        <w:t xml:space="preserve">Tier B — Hardened production (recommended before wide public launch)</w:t>
      </w:r>
    </w:p>
    <w:p>
      <w:pPr>
        <w:pStyle w:val="FirstParagraph"/>
      </w:pPr>
      <w:r>
        <w:t xml:space="preserve">Removes the single point of failure and closes the operational gaps that a</w:t>
      </w:r>
      <w:r>
        <w:t xml:space="preserve"> </w:t>
      </w:r>
      <w:r>
        <w:t xml:space="preserve">certification assessor will ask about.</w:t>
      </w:r>
    </w:p>
    <w:tbl>
      <w:tblPr>
        <w:tblStyle w:val="Table"/>
        <w:tblW w:w="5000" w:type="pc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 / month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Lightsail container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small</w:t>
            </w:r>
            <w:r>
              <w:t xml:space="preserve">, scale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  <w:r>
              <w:t xml:space="preserve"> </w:t>
            </w:r>
            <w:r>
              <w:t xml:space="preserve">— no single node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Lightsail PostgreSQL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micro_2_0</w:t>
            </w:r>
            <w:r>
              <w:t xml:space="preserve"> </w:t>
            </w:r>
            <w:r>
              <w:rPr>
                <w:b/>
                <w:bCs/>
              </w:rPr>
              <w:t xml:space="preserve">high availability</w:t>
            </w:r>
            <w:r>
              <w:t xml:space="preserve"> </w:t>
            </w:r>
            <w:r>
              <w:t xml:space="preserve">(standby + failover)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S3 storage</w:t>
            </w:r>
          </w:p>
        </w:tc>
        <w:tc>
          <w:tcPr/>
          <w:p>
            <w:pPr>
              <w:pStyle w:val="Compact"/>
            </w:pPr>
            <w:r>
              <w:t xml:space="preserve">~50 GB uploads + archives, growing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Log shipping / retention</w:t>
            </w:r>
          </w:p>
        </w:tc>
        <w:tc>
          <w:tcPr/>
          <w:p>
            <w:pPr>
              <w:pStyle w:val="Compact"/>
            </w:pPr>
            <w:r>
              <w:t xml:space="preserve">CloudWatch Logs or equivalent, off-platform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5.00–10.00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Team tier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Resend</w:t>
            </w:r>
          </w:p>
        </w:tc>
        <w:tc>
          <w:tcPr/>
          <w:p>
            <w:pPr>
              <w:pStyle w:val="Compact"/>
            </w:pPr>
            <w:r>
              <w:t xml:space="preserve">Pro tier, 50,000 emails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Cloudflare</w:t>
            </w:r>
          </w:p>
        </w:tc>
        <w:tc>
          <w:tcPr/>
          <w:p>
            <w:pPr>
              <w:pStyle w:val="Compact"/>
            </w:pPr>
            <w:r>
              <w:t xml:space="preserve">Pro — WAF, rate limiting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Uptime / alert routing</w:t>
            </w:r>
          </w:p>
        </w:tc>
        <w:tc>
          <w:tcPr/>
          <w:p>
            <w:pPr>
              <w:pStyle w:val="Compact"/>
            </w:pPr>
            <w:r>
              <w:t xml:space="preserve">consumes</w:t>
            </w:r>
            <w:r>
              <w:t xml:space="preserve"> </w:t>
            </w:r>
            <w:r>
              <w:rPr>
                <w:rStyle w:val="VerbatimChar"/>
              </w:rPr>
              <w:t xml:space="preserve">/api/readyz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0.00–10.00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Snapshot retention</w:t>
            </w:r>
          </w:p>
        </w:tc>
        <w:tc>
          <w:tcPr/>
          <w:p>
            <w:pPr>
              <w:pStyle w:val="Compact"/>
            </w:pPr>
            <w:r>
              <w:t xml:space="preserve">scheduled DB snapshots kept beyond 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ECR + domain + DNS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B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~$138–158/mo · ~$1,656–1,896/yr</w:t>
            </w:r>
          </w:p>
        </w:tc>
      </w:tr>
    </w:tbl>
    <w:p>
      <w:pPr>
        <w:pStyle w:val="BodyText"/>
      </w:pPr>
      <w:r>
        <w:t xml:space="preserve">PHP: roughly</w:t>
      </w:r>
      <w:r>
        <w:t xml:space="preserve"> </w:t>
      </w:r>
      <w:r>
        <w:rPr>
          <w:b/>
          <w:bCs/>
        </w:rPr>
        <w:t xml:space="preserve">₱8,000–9,200/month · ₱96,000–110,000/year</w:t>
      </w:r>
      <w:r>
        <w:t xml:space="preserve">.</w:t>
      </w:r>
    </w:p>
    <w:bookmarkEnd w:id="13"/>
    <w:bookmarkStart w:id="14" w:name="tier-c--high-usage-10-current-caseload"/>
    <w:p>
      <w:pPr>
        <w:pStyle w:val="Heading2"/>
      </w:pPr>
      <w:r>
        <w:t xml:space="preserve">Tier C — High usage (≈10× current caseload)</w:t>
      </w:r>
    </w:p>
    <w:tbl>
      <w:tblPr>
        <w:tblStyle w:val="Table"/>
        <w:tblW w:w="5000" w:type="pc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 / month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Container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medium</w:t>
            </w:r>
            <w:r>
              <w:t xml:space="preserve">, scale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small_2_0</w:t>
            </w:r>
            <w:r>
              <w:t xml:space="preserve"> </w:t>
            </w:r>
            <w:r>
              <w:t xml:space="preserve">HA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S3 + data transfer</w:t>
            </w:r>
          </w:p>
        </w:tc>
        <w:tc>
          <w:tcPr/>
          <w:p>
            <w:pPr>
              <w:pStyle w:val="Compact"/>
            </w:pPr>
            <w:r>
              <w:t xml:space="preserve">~250 GB of case documents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50k–100k/mo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20.00–35.00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AI chatbot (paid model)</w:t>
            </w:r>
          </w:p>
        </w:tc>
        <w:tc>
          <w:tcPr/>
          <w:p>
            <w:pPr>
              <w:pStyle w:val="Compact"/>
            </w:pPr>
            <w:r>
              <w:t xml:space="preserve">~20,000 conversations/mo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15.00–40.00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Monitoring, WAF, logs, backups</w:t>
            </w:r>
          </w:p>
        </w:tc>
        <w:tc>
          <w:tcPr/>
          <w:p>
            <w:pPr>
              <w:pStyle w:val="Compact"/>
            </w:pPr>
            <w:r>
              <w:t xml:space="preserve">as Tier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C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~$248–288/mo · ~$2,976–3,456/yr</w:t>
            </w:r>
          </w:p>
        </w:tc>
      </w:tr>
    </w:tbl>
    <w:p>
      <w:pPr>
        <w:pStyle w:val="BodyText"/>
      </w:pPr>
      <w:r>
        <w:t xml:space="preserve">PHP: roughly</w:t>
      </w:r>
      <w:r>
        <w:t xml:space="preserve"> </w:t>
      </w:r>
      <w:r>
        <w:rPr>
          <w:b/>
          <w:bCs/>
        </w:rPr>
        <w:t xml:space="preserve">₱14,400–16,700/month · ₱173,000–200,000/year</w:t>
      </w:r>
      <w:r>
        <w:t xml:space="preserve">.</w:t>
      </w:r>
    </w:p>
    <w:bookmarkEnd w:id="14"/>
    <w:bookmarkStart w:id="15" w:name="what-actually-drives-the-cost-up"/>
    <w:p>
      <w:pPr>
        <w:pStyle w:val="Heading2"/>
      </w:pPr>
      <w:r>
        <w:t xml:space="preserve">What actually drives the cost up</w:t>
      </w:r>
    </w:p>
    <w:tbl>
      <w:tblPr>
        <w:tblStyle w:val="Table"/>
        <w:tblW w:w="5000" w:type="pc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Uploaded case documents</w:t>
            </w:r>
          </w:p>
        </w:tc>
        <w:tc>
          <w:tcPr/>
          <w:p>
            <w:pPr>
              <w:pStyle w:val="Compact"/>
            </w:pPr>
            <w:r>
              <w:t xml:space="preserve">S3 storage — linear and cheap; 100 GB ≈ $2.50/mo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Email volume</w:t>
            </w:r>
          </w:p>
        </w:tc>
        <w:tc>
          <w:tcPr/>
          <w:p>
            <w:pPr>
              <w:pStyle w:val="Compact"/>
            </w:pPr>
            <w:r>
              <w:t xml:space="preserve">Step function at the 3,000/mo and 50,000/mo tier boundaries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Concurrent users</w:t>
            </w:r>
          </w:p>
        </w:tc>
        <w:tc>
          <w:tcPr/>
          <w:p>
            <w:pPr>
              <w:pStyle w:val="Compact"/>
            </w:pPr>
            <w:r>
              <w:t xml:space="preserve">Container power and scale — the largest single line item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Database size and query load</w:t>
            </w:r>
          </w:p>
        </w:tc>
        <w:tc>
          <w:tcPr/>
          <w:p>
            <w:pPr>
              <w:pStyle w:val="Compact"/>
            </w:pPr>
            <w:r>
              <w:t xml:space="preserve">Bundle upgrade;</w:t>
            </w:r>
            <w:r>
              <w:t xml:space="preserve"> </w:t>
            </w:r>
            <w:r>
              <w:rPr>
                <w:rStyle w:val="VerbatimChar"/>
              </w:rPr>
              <w:t xml:space="preserve">micro_2_0</w:t>
            </w:r>
            <w:r>
              <w:t xml:space="preserve"> </w:t>
            </w:r>
            <w:r>
              <w:t xml:space="preserve">is 40 GB and 1 GB RAM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AI chatbot usage</w:t>
            </w:r>
          </w:p>
        </w:tc>
        <w:tc>
          <w:tcPr/>
          <w:p>
            <w:pPr>
              <w:pStyle w:val="Compact"/>
            </w:pPr>
            <w:r>
              <w:t xml:space="preserve">Zero on the free model; per-token once on a paid one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Audit retention (</w:t>
            </w:r>
            <w:r>
              <w:rPr>
                <w:rStyle w:val="VerbatimChar"/>
              </w:rPr>
              <w:t xml:space="preserve">AUDIT_RETENTION_DAYS=365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Archive bundles accumulate permanently under Object Lock — by design they cannot be deleted early</w:t>
            </w:r>
          </w:p>
        </w:tc>
      </w:tr>
    </w:tbl>
    <w:bookmarkEnd w:id="15"/>
    <w:bookmarkEnd w:id="16"/>
    <w:bookmarkStart w:id="17" w:name="X7a17e52815168bb2c4bafbcc5b2d1e78b510f74"/>
    <w:p>
      <w:pPr>
        <w:pStyle w:val="Heading1"/>
      </w:pPr>
      <w:r>
        <w:t xml:space="preserve">6. Optional and deferred items</w:t>
      </w:r>
    </w:p>
    <w:p>
      <w:pPr>
        <w:pStyle w:val="FirstParagraph"/>
      </w:pPr>
      <w:r>
        <w:t xml:space="preserve">Not provisioned today. Each is a cost decision, not a technical obstacle.</w:t>
      </w:r>
    </w:p>
    <w:tbl>
      <w:tblPr>
        <w:tblStyle w:val="Table"/>
        <w:tblW w:w="5000" w:type="pc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 / month</w:t>
            </w:r>
          </w:p>
        </w:tc>
        <w:tc>
          <w:tcPr/>
          <w:p>
            <w:pPr>
              <w:pStyle w:val="Compact"/>
            </w:pPr>
            <w:r>
              <w:t xml:space="preserve">Why you might add it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Staging environment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~25–31</w:t>
            </w:r>
          </w:p>
        </w:tc>
        <w:tc>
          <w:tcPr/>
          <w:p>
            <w:pPr>
              <w:pStyle w:val="Compact"/>
            </w:pPr>
            <w:r>
              <w:t xml:space="preserve">Currently none — every change is verified in production. A second container service (</w:t>
            </w:r>
            <w:r>
              <w:rPr>
                <w:rStyle w:val="VerbatimChar"/>
              </w:rPr>
              <w:t xml:space="preserve">nano</w:t>
            </w:r>
            <w:r>
              <w:t xml:space="preserve">, no public endpoint) plus a second database.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Admin container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nano</w:t>
            </w:r>
            <w:r>
              <w:t xml:space="preserve">, no public endpoint, scheduler and worker off — a throwaway target for one-off</w:t>
            </w:r>
            <w:r>
              <w:t xml:space="preserve"> </w:t>
            </w:r>
            <w:r>
              <w:rPr>
                <w:rStyle w:val="VerbatimChar"/>
              </w:rPr>
              <w:t xml:space="preserve">artisan</w:t>
            </w:r>
            <w:r>
              <w:t xml:space="preserve"> </w:t>
            </w:r>
            <w:r>
              <w:t xml:space="preserve">commands at zero production downtime.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Split queue worker / scheduler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7.00–10.00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RUN_SCHEDULER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RUN_QUEUE_WORKER</w:t>
            </w:r>
            <w:r>
              <w:t xml:space="preserve"> </w:t>
            </w:r>
            <w:r>
              <w:t xml:space="preserve">already make this possible without an image rebuild.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Malware scanning of uploads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0.00–15.00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MALWARE_SCANNER=null</w:t>
            </w:r>
            <w:r>
              <w:t xml:space="preserve"> </w:t>
            </w:r>
            <w:r>
              <w:t xml:space="preserve">today. ClamAV in-container is free but needs RAM; a hosted scanning API is not.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Secret management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~5.00</w:t>
            </w:r>
          </w:p>
        </w:tc>
        <w:tc>
          <w:tcPr/>
          <w:p>
            <w:pPr>
              <w:pStyle w:val="Compact"/>
            </w:pPr>
            <w:r>
              <w:t xml:space="preserve">Lightsail has no secret store — production secrets sit in plaintext container environment variables today.</w:t>
            </w:r>
          </w:p>
        </w:tc>
      </w:tr>
    </w:tbl>
    <w:bookmarkEnd w:id="17"/>
    <w:bookmarkStart w:id="18" w:name="Xcf2324e21be400a6b8d9b4a236ec7d920674dc8"/>
    <w:p>
      <w:pPr>
        <w:pStyle w:val="Heading1"/>
      </w:pPr>
      <w:r>
        <w:t xml:space="preserve">7. Standards-readiness check</w:t>
      </w:r>
    </w:p>
    <w:p>
      <w:pPr>
        <w:pStyle w:val="FirstParagraph"/>
      </w:pPr>
      <w:r>
        <w:t xml:space="preserve">Per project policy, this document is not a certification artefact, so the costed</w:t>
      </w:r>
      <w:r>
        <w:t xml:space="preserve"> </w:t>
      </w:r>
      <w:r>
        <w:t xml:space="preserve">architecture is checked against ISO 9001 / ISO 27001 / DPTM / SOC 2 for anything</w:t>
      </w:r>
      <w:r>
        <w:t xml:space="preserve"> </w:t>
      </w:r>
      <w:r>
        <w:t xml:space="preserve">that would need rework at audit time. Each item below is a</w:t>
      </w:r>
      <w:r>
        <w:t xml:space="preserve"> </w:t>
      </w:r>
      <w:r>
        <w:rPr>
          <w:b/>
          <w:bCs/>
        </w:rPr>
        <w:t xml:space="preserve">cost line with a</w:t>
      </w:r>
      <w:r>
        <w:rPr>
          <w:b/>
          <w:bCs/>
        </w:rPr>
        <w:t xml:space="preserve"> </w:t>
      </w:r>
      <w:r>
        <w:rPr>
          <w:b/>
          <w:bCs/>
        </w:rPr>
        <w:t xml:space="preserve">compliance consequence</w:t>
      </w:r>
      <w:r>
        <w:t xml:space="preserve"> </w:t>
      </w:r>
      <w:r>
        <w:t xml:space="preserve">— deferring it is a budget decision that carries an</w:t>
      </w:r>
      <w:r>
        <w:t xml:space="preserve"> </w:t>
      </w:r>
      <w:r>
        <w:t xml:space="preserve">audit finding.</w:t>
      </w:r>
    </w:p>
    <w:tbl>
      <w:tblPr>
        <w:tblStyle w:val="Table"/>
        <w:tblW w:w="5000" w:type="pc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Gap in the current baseline</w:t>
            </w:r>
          </w:p>
        </w:tc>
        <w:tc>
          <w:tcPr/>
          <w:p>
            <w:pPr>
              <w:pStyle w:val="Compact"/>
            </w:pPr>
            <w:r>
              <w:t xml:space="preserve">Standard reference</w:t>
            </w:r>
          </w:p>
        </w:tc>
        <w:tc>
          <w:tcPr/>
          <w:p>
            <w:pPr>
              <w:pStyle w:val="Compact"/>
            </w:pPr>
            <w:r>
              <w:t xml:space="preserve">Cost to close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Single node, no HA — no availability redundancy</w:t>
            </w:r>
          </w:p>
        </w:tc>
        <w:tc>
          <w:tcPr/>
          <w:p>
            <w:pPr>
              <w:pStyle w:val="Compact"/>
            </w:pPr>
            <w:r>
              <w:t xml:space="preserve">ISO 27001 A.8.14, SOC 2 A1.2</w:t>
            </w:r>
          </w:p>
        </w:tc>
        <w:tc>
          <w:tcPr/>
          <w:p>
            <w:pPr>
              <w:pStyle w:val="Compact"/>
            </w:pPr>
            <w:r>
              <w:t xml:space="preserve">+$15–30/mo (Tier B)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No off-platform log retention — container logs are ephemeral</w:t>
            </w:r>
          </w:p>
        </w:tc>
        <w:tc>
          <w:tcPr/>
          <w:p>
            <w:pPr>
              <w:pStyle w:val="Compact"/>
            </w:pPr>
            <w:r>
              <w:t xml:space="preserve">A.8.15, CC7.2</w:t>
            </w:r>
          </w:p>
        </w:tc>
        <w:tc>
          <w:tcPr/>
          <w:p>
            <w:pPr>
              <w:pStyle w:val="Compact"/>
            </w:pPr>
            <w:r>
              <w:t xml:space="preserve">+$5–10/mo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No alert routing —</w:t>
            </w:r>
            <w:r>
              <w:t xml:space="preserve"> </w:t>
            </w:r>
            <w:r>
              <w:rPr>
                <w:rStyle w:val="VerbatimChar"/>
              </w:rPr>
              <w:t xml:space="preserve">/api/readyz</w:t>
            </w:r>
            <w:r>
              <w:t xml:space="preserve"> </w:t>
            </w:r>
            <w:r>
              <w:t xml:space="preserve">exposes thresholds, nothing consumes them</w:t>
            </w:r>
          </w:p>
        </w:tc>
        <w:tc>
          <w:tcPr/>
          <w:p>
            <w:pPr>
              <w:pStyle w:val="Compact"/>
            </w:pPr>
            <w:r>
              <w:t xml:space="preserve">A.8.16, CC7.2</w:t>
            </w:r>
          </w:p>
        </w:tc>
        <w:tc>
          <w:tcPr/>
          <w:p>
            <w:pPr>
              <w:pStyle w:val="Compact"/>
            </w:pPr>
            <w:r>
              <w:t xml:space="preserve">$0–10/mo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Backups never restore-tested — backups are not recovery evidence</w:t>
            </w:r>
          </w:p>
        </w:tc>
        <w:tc>
          <w:tcPr/>
          <w:p>
            <w:pPr>
              <w:pStyle w:val="Compact"/>
            </w:pPr>
            <w:r>
              <w:t xml:space="preserve">A.8.13, A.5.30, SOC 2 A1.3</w:t>
            </w:r>
          </w:p>
        </w:tc>
        <w:tc>
          <w:tcPr/>
          <w:p>
            <w:pPr>
              <w:pStyle w:val="Compact"/>
            </w:pPr>
            <w:r>
              <w:t xml:space="preserve">Labour only, no infra cost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Secrets in plaintext container environment variables</w:t>
            </w:r>
          </w:p>
        </w:tc>
        <w:tc>
          <w:tcPr/>
          <w:p>
            <w:pPr>
              <w:pStyle w:val="Compact"/>
            </w:pPr>
            <w:r>
              <w:t xml:space="preserve">A.8.24, CC6.1</w:t>
            </w:r>
          </w:p>
        </w:tc>
        <w:tc>
          <w:tcPr/>
          <w:p>
            <w:pPr>
              <w:pStyle w:val="Compact"/>
            </w:pPr>
            <w:r>
              <w:t xml:space="preserve">~$5/mo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No upload malware scanning</w:t>
            </w:r>
          </w:p>
        </w:tc>
        <w:tc>
          <w:tcPr/>
          <w:p>
            <w:pPr>
              <w:pStyle w:val="Compact"/>
            </w:pPr>
            <w:r>
              <w:t xml:space="preserve">A.8.7, CC6.8</w:t>
            </w:r>
          </w:p>
        </w:tc>
        <w:tc>
          <w:tcPr/>
          <w:p>
            <w:pPr>
              <w:pStyle w:val="Compact"/>
            </w:pPr>
            <w:r>
              <w:t xml:space="preserve">$0–15/mo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No staging — changes are verified in production</w:t>
            </w:r>
          </w:p>
        </w:tc>
        <w:tc>
          <w:tcPr/>
          <w:p>
            <w:pPr>
              <w:pStyle w:val="Compact"/>
            </w:pPr>
            <w:r>
              <w:t xml:space="preserve">ISO 9001 §8.3.4, A.8.31, CC8.1</w:t>
            </w:r>
          </w:p>
        </w:tc>
        <w:tc>
          <w:tcPr/>
          <w:p>
            <w:pPr>
              <w:pStyle w:val="Compact"/>
            </w:pPr>
            <w:r>
              <w:t xml:space="preserve">+$25–31/mo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Supplier register incomplete (AWS, Resend, Sentry, OpenRouter, Cloudflare)</w:t>
            </w:r>
          </w:p>
        </w:tc>
        <w:tc>
          <w:tcPr/>
          <w:p>
            <w:pPr>
              <w:pStyle w:val="Compact"/>
            </w:pPr>
            <w:r>
              <w:t xml:space="preserve">A.5.19–A.5.22, CC9.2</w:t>
            </w:r>
          </w:p>
        </w:tc>
        <w:tc>
          <w:tcPr/>
          <w:p>
            <w:pPr>
              <w:pStyle w:val="Compact"/>
            </w:pPr>
            <w:r>
              <w:t xml:space="preserve">Labour only, no infra cost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Tier B closes most of these for roughly $105–125/month above the current</w:t>
      </w:r>
      <w:r>
        <w:rPr>
          <w:b/>
          <w:bCs/>
        </w:rPr>
        <w:t xml:space="preserve"> </w:t>
      </w:r>
      <w:r>
        <w:rPr>
          <w:b/>
          <w:bCs/>
        </w:rPr>
        <w:t xml:space="preserve">baseline.</w:t>
      </w:r>
      <w:r>
        <w:t xml:space="preserve"> </w:t>
      </w:r>
      <w:r>
        <w:t xml:space="preserve">That is the number to quote if certification is on the roadmap —</w:t>
      </w:r>
      <w:r>
        <w:t xml:space="preserve"> </w:t>
      </w:r>
      <w:r>
        <w:t xml:space="preserve">budgeting only the $33 baseline means retrofitting at audit time, which costs</w:t>
      </w:r>
      <w:r>
        <w:t xml:space="preserve"> </w:t>
      </w:r>
      <w:r>
        <w:t xml:space="preserve">more than building it in now.</w:t>
      </w:r>
    </w:p>
    <w:bookmarkEnd w:id="18"/>
    <w:bookmarkStart w:id="19" w:name="X5e87c6980ed91cc3e7ba3e39c2d7b456b7be1cb"/>
    <w:p>
      <w:pPr>
        <w:pStyle w:val="Heading1"/>
      </w:pPr>
      <w:r>
        <w:t xml:space="preserve">8. Assumptions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Prices are AWS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ap-southeast-1</w:t>
      </w:r>
      <w:r>
        <w:rPr>
          <w:b/>
          <w:bCs/>
        </w:rPr>
        <w:t xml:space="preserve"> </w:t>
      </w:r>
      <w:r>
        <w:rPr>
          <w:b/>
          <w:bCs/>
        </w:rPr>
        <w:t xml:space="preserve">(Singapore) list prices.</w:t>
      </w:r>
      <w:r>
        <w:t xml:space="preserve"> </w:t>
      </w:r>
      <w:r>
        <w:t xml:space="preserve">The AWS baseline</w:t>
      </w:r>
      <w:r>
        <w:t xml:space="preserve"> </w:t>
      </w:r>
      <w:r>
        <w:t xml:space="preserve">in §2 is taken from the deployment runbook, which records figures verified</w:t>
      </w:r>
      <w:r>
        <w:t xml:space="preserve"> </w:t>
      </w:r>
      <w:r>
        <w:t xml:space="preserve">against the live account.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line to reconcile against the actual invoice:</w:t>
      </w:r>
      <w:r>
        <w:t xml:space="preserve"> </w:t>
      </w:r>
      <w:r>
        <w:t xml:space="preserve">the runbook records the</w:t>
      </w:r>
      <w:r>
        <w:t xml:space="preserve"> </w:t>
      </w:r>
      <w:r>
        <w:rPr>
          <w:rStyle w:val="VerbatimChar"/>
        </w:rPr>
        <w:t xml:space="preserve">small</w:t>
      </w:r>
      <w:r>
        <w:t xml:space="preserve"> </w:t>
      </w:r>
      <w:r>
        <w:t xml:space="preserve">container service at</w:t>
      </w:r>
      <w:r>
        <w:t xml:space="preserve"> </w:t>
      </w:r>
      <w:r>
        <w:rPr>
          <w:b/>
          <w:bCs/>
        </w:rPr>
        <w:t xml:space="preserve">$15/month</w:t>
      </w:r>
      <w:r>
        <w:t xml:space="preserve">; AWS list price for a</w:t>
      </w:r>
      <w:r>
        <w:t xml:space="preserve"> </w:t>
      </w:r>
      <w:r>
        <w:rPr>
          <w:rStyle w:val="VerbatimChar"/>
        </w:rPr>
        <w:t xml:space="preserve">small</w:t>
      </w:r>
      <w:r>
        <w:t xml:space="preserve"> </w:t>
      </w:r>
      <w:r>
        <w:t xml:space="preserve">container node is</w:t>
      </w:r>
      <w:r>
        <w:t xml:space="preserve"> </w:t>
      </w:r>
      <w:r>
        <w:rPr>
          <w:b/>
          <w:bCs/>
        </w:rPr>
        <w:t xml:space="preserve">$20/node/month</w:t>
      </w:r>
      <w:r>
        <w:t xml:space="preserve"> </w:t>
      </w:r>
      <w:r>
        <w:t xml:space="preserve">in most regions. If the invoice shows</w:t>
      </w:r>
      <w:r>
        <w:t xml:space="preserve"> </w:t>
      </w:r>
      <w:r>
        <w:t xml:space="preserve">$20, the baseline totals become</w:t>
      </w:r>
      <w:r>
        <w:t xml:space="preserve"> </w:t>
      </w:r>
      <w:r>
        <w:rPr>
          <w:b/>
          <w:bCs/>
        </w:rPr>
        <w:t xml:space="preserve">$38/month · $456/year</w:t>
      </w:r>
      <w:r>
        <w:t xml:space="preserve">, and Tier B rises by</w:t>
      </w:r>
      <w:r>
        <w:t xml:space="preserve"> </w:t>
      </w:r>
      <w:r>
        <w:t xml:space="preserve">$10/month. Confirm from the billing console before this figure goes into a</w:t>
      </w:r>
      <w:r>
        <w:t xml:space="preserve"> </w:t>
      </w:r>
      <w:r>
        <w:t xml:space="preserve">budget submission.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FX rate ₱58.00/USD</w:t>
      </w:r>
      <w:r>
        <w:t xml:space="preserve">, indicative only. AWS bills in USD, so the peso figure</w:t>
      </w:r>
      <w:r>
        <w:t xml:space="preserve"> </w:t>
      </w:r>
      <w:r>
        <w:t xml:space="preserve">moves with the exchange rate — carry a 10% FX contingency in any peso budget.</w:t>
      </w:r>
    </w:p>
    <w:p>
      <w:pPr>
        <w:pStyle w:val="Compact"/>
        <w:numPr>
          <w:ilvl w:val="0"/>
          <w:numId w:val="1001"/>
        </w:numPr>
      </w:pPr>
      <w:r>
        <w:t xml:space="preserve">Free tiers are assumed genuinely free at current volume. Resend (100</w:t>
      </w:r>
      <w:r>
        <w:t xml:space="preserve"> </w:t>
      </w:r>
      <w:r>
        <w:t xml:space="preserve">emails/day) and Sentry (5,000 errors/month) are the two that will be reached</w:t>
      </w:r>
      <w:r>
        <w:t xml:space="preserve"> </w:t>
      </w:r>
      <w:r>
        <w:t xml:space="preserve">first.</w:t>
      </w:r>
    </w:p>
    <w:p>
      <w:pPr>
        <w:pStyle w:val="Compact"/>
        <w:numPr>
          <w:ilvl w:val="0"/>
          <w:numId w:val="1001"/>
        </w:numPr>
      </w:pPr>
      <w:r>
        <w:t xml:space="preserve">Data transfer is assumed to stay inside the Lightsail bundle allowance. Heavy</w:t>
      </w:r>
      <w:r>
        <w:t xml:space="preserve"> </w:t>
      </w:r>
      <w:r>
        <w:t xml:space="preserve">document downloads by many concurrent users would add overage.</w:t>
      </w:r>
    </w:p>
    <w:p>
      <w:pPr>
        <w:pStyle w:val="Compact"/>
        <w:numPr>
          <w:ilvl w:val="0"/>
          <w:numId w:val="1001"/>
        </w:numPr>
      </w:pPr>
      <w:r>
        <w:t xml:space="preserve">Excludes: developer time, penetration testing, certification audit fees, and</w:t>
      </w:r>
      <w:r>
        <w:t xml:space="preserve"> </w:t>
      </w:r>
      <w:r>
        <w:t xml:space="preserve">any DMW-side network or endpoint costs.</w:t>
      </w:r>
    </w:p>
    <w:p>
      <w:pPr>
        <w:pStyle w:val="Compact"/>
        <w:numPr>
          <w:ilvl w:val="0"/>
          <w:numId w:val="1001"/>
        </w:numPr>
      </w:pPr>
      <w:r>
        <w:t xml:space="preserve">Taxes (VAT / withholding on AWS invoices) are not included.</w:t>
      </w:r>
    </w:p>
    <w:bookmarkEnd w:id="19"/>
    <w:bookmarkStart w:id="20" w:name="X90fa7e61783d85be5f7792cbde4b4149c6a059b"/>
    <w:p>
      <w:pPr>
        <w:pStyle w:val="Heading1"/>
      </w:pPr>
      <w:r>
        <w:t xml:space="preserve">9. Summary</w:t>
      </w:r>
    </w:p>
    <w:tbl>
      <w:tblPr>
        <w:tblStyle w:val="Table"/>
        <w:tblW w:w="5000" w:type="pc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 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 year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baseline</w:t>
            </w:r>
            <w:r>
              <w:t xml:space="preserve"> </w:t>
            </w:r>
            <w:r>
              <w:t xml:space="preserve">— what it costs today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~$33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~$397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B</w:t>
            </w:r>
            <w:r>
              <w:t xml:space="preserve"> </w:t>
            </w:r>
            <w:r>
              <w:t xml:space="preserve">— hardened, HA, audit-ready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~$138–158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~$1,656–1,896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C</w:t>
            </w:r>
            <w:r>
              <w:t xml:space="preserve"> </w:t>
            </w:r>
            <w:r>
              <w:t xml:space="preserve">— 10× caseload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~$248–288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~$2,976–3,456</w:t>
            </w:r>
          </w:p>
        </w:tc>
      </w:tr>
    </w:tbl>
    <w:bookmarkEnd w:id="20"/>
    <w:bookmarkStart w:id="21" w:name="changelog"/>
    <w:p>
      <w:pPr>
        <w:pStyle w:val="Heading1"/>
      </w:pPr>
      <w:r>
        <w:t xml:space="preserve">Changelog</w:t>
      </w:r>
    </w:p>
    <w:tbl>
      <w:tblPr>
        <w:tblStyle w:val="Table"/>
        <w:tblW w:w="5000" w:type="pc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1.0.0</w:t>
            </w:r>
          </w:p>
        </w:tc>
        <w:tc>
          <w:tcPr/>
          <w:p>
            <w:pPr>
              <w:pStyle w:val="Compact"/>
            </w:pPr>
            <w:r>
              <w:t xml:space="preserve">2026-08-18</w:t>
            </w:r>
          </w:p>
        </w:tc>
        <w:tc>
          <w:tcPr/>
          <w:p>
            <w:pPr>
              <w:pStyle w:val="Compact"/>
            </w:pPr>
            <w:r>
              <w:t xml:space="preserve">Initial costing. Baseline drawn from the verified AWS production runbook (</w:t>
            </w:r>
            <w:r>
              <w:rPr>
                <w:rStyle w:val="VerbatimChar"/>
              </w:rPr>
              <w:t xml:space="preserve">DEPLOYMENT_PRODUCTION_AWS_v1.4.0.md</w:t>
            </w:r>
            <w:r>
              <w:t xml:space="preserve"> </w:t>
            </w:r>
            <w:r>
              <w:t xml:space="preserve">§8,</w:t>
            </w:r>
            <w:r>
              <w:t xml:space="preserve"> </w:t>
            </w:r>
            <w:r>
              <w:rPr>
                <w:rStyle w:val="VerbatimChar"/>
              </w:rPr>
              <w:t xml:space="preserve">v1.6.0</w:t>
            </w:r>
            <w:r>
              <w:t xml:space="preserve"> </w:t>
            </w:r>
            <w:r>
              <w:t xml:space="preserve">§1); third-party services identified from</w:t>
            </w:r>
            <w:r>
              <w:t xml:space="preserve"> </w:t>
            </w:r>
            <w:r>
              <w:rPr>
                <w:rStyle w:val="VerbatimChar"/>
              </w:rPr>
              <w:t xml:space="preserve">deploy/lightsail/app-deployment.template.json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.github/workflows/deploy.yml</w:t>
            </w:r>
            <w:r>
              <w:t xml:space="preserve">. Added growth tiers, cost drivers, deferred items, and a standards-readiness check.</w:t>
            </w:r>
          </w:p>
        </w:tc>
      </w:tr>
    </w:tbl>
    <w:bookmarkEnd w:id="21"/>
    <w:sectPr>
      <w:headerReference w:type="default" r:id="rIdHdrA"/>
      <w:footerReference w:type="default" r:id="rIdFtrA"/>
      <w:footnotePr>
        <w:numRestart w:val="eachSect"/>
      </w:footnotePr>
      <w:pgSz w:w="11906" w:h="16838"/>
      <w:pgMar w:top="1304" w:right="1247" w:bottom="1304" w:left="1247" w:header="680" w:footer="680" w:gutter="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pBdr>
        <w:top w:val="single" w:sz="4" w:space="6" w:color="C9D4DC"/>
      </w:pBdr>
      <w:tabs>
        <w:tab w:val="center" w:pos="4706"/>
        <w:tab w:val="right" w:pos="9412"/>
      </w:tabs>
      <w:spacing w:before="80" w:after="0"/>
    </w:pPr>
    <w:r>
      <w:t xml:space="preserve">Internal</w:t>
    </w:r>
    <w:r>
      <w:tab/>
      <w:t xml:space="preserve">Deployment Costing v1.0.0</w:t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pBdr>
        <w:bottom w:val="single" w:sz="4" w:space="6" w:color="C9D4DC"/>
      </w:pBdr>
      <w:spacing w:after="0"/>
    </w:pPr>
    <w:r>
      <w:t xml:space="preserve">Bayanihan One Window · Deployment Costing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cs="Calibri" w:eastAsia="Calibri"/>
        <w:sz w:val="21"/>
        <w:szCs w:val="21"/>
        <w:color w:val="1F2933"/>
        <w:lang w:bidi="ar-SA" w:eastAsia="en-US" w:val="en-US"/>
      </w:rPr>
    </w:rPrDefault>
    <w:pPrDefault>
      <w:pPr>
        <w:spacing w:after="160" w:line="264" w:lineRule="auto"/>
      </w:pPr>
    </w:pPrDefault>
  </w:docDefaults>
  <w:latentStyles w:count="276" w:defLockedState="0" w:defQFormat="0" w:defSemiHidden="0" w:defUIPriority="0" w:defUnhideWhenUsed="0"/>
  <w:style w:type="paragraph" w:default="1" w:styleId="Normal">
    <w:name w:val="Normal"/>
    <w:pPr>
      <w:spacing w:after="160" w:line="264" w:lineRule="auto"/>
    </w:pPr>
  </w:style>
  <w:style w:type="paragraph" w:styleId="BodyText">
    <w:name w:val="Body Text"/>
    <w:basedOn w:val="Normal"/>
    <w:pPr>
      <w:spacing w:after="160" w:line="264" w:lineRule="auto"/>
    </w:pPr>
  </w:style>
  <w:style w:type="paragraph" w:styleId="FirstParagraph">
    <w:name w:val="First Paragraph"/>
    <w:basedOn w:val="Normal"/>
    <w:pPr>
      <w:spacing w:after="160" w:line="264" w:lineRule="auto"/>
    </w:pPr>
  </w:style>
  <w:style w:type="paragraph" w:styleId="Compact">
    <w:name w:val="Compact"/>
    <w:basedOn w:val="Normal"/>
    <w:pPr>
      <w:spacing w:before="40" w:after="40" w:line="252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pPr>
      <w:keepNext/>
      <w:keepLines/>
      <w:spacing w:before="400" w:after="160" w:line="264" w:lineRule="auto"/>
      <w:pBdr>
        <w:bottom w:val="single" w:sz="6" w:space="4" w:color="C9D4DC"/>
      </w:pBdr>
      <w:outlineLvl w:val="0"/>
    </w:pPr>
    <w:rPr>
      <w:rFonts w:ascii="Calibri" w:hAnsi="Calibri"/>
      <w:b/>
      <w:color w:val="005288"/>
      <w:sz w:val="30"/>
      <w:szCs w:val="30"/>
    </w:rPr>
  </w:style>
  <w:style w:type="paragraph" w:styleId="Heading2">
    <w:name w:val="heading 2"/>
    <w:basedOn w:val="Normal"/>
    <w:next w:val="BodyText"/>
    <w:pPr>
      <w:keepNext/>
      <w:keepLines/>
      <w:spacing w:before="280" w:after="120" w:line="264" w:lineRule="auto"/>
      <w:outlineLvl w:val="1"/>
    </w:pPr>
    <w:rPr>
      <w:rFonts w:ascii="Calibri" w:hAnsi="Calibri"/>
      <w:b/>
      <w:color w:val="0A2D46"/>
      <w:sz w:val="24"/>
      <w:szCs w:val="24"/>
    </w:rPr>
  </w:style>
  <w:style w:type="paragraph" w:styleId="Heading3">
    <w:name w:val="heading 3"/>
    <w:basedOn w:val="Normal"/>
    <w:next w:val="BodyText"/>
    <w:pPr>
      <w:keepNext/>
      <w:keepLines/>
      <w:spacing w:before="240" w:after="100" w:line="264" w:lineRule="auto"/>
      <w:outlineLvl w:val="2"/>
    </w:pPr>
    <w:rPr>
      <w:rFonts w:ascii="Calibri" w:hAnsi="Calibri"/>
      <w:b/>
      <w:color w:val="0A2D46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type="paragraph" w:styleId="BlockText">
    <w:name w:val="Block Text"/>
    <w:basedOn w:val="Normal"/>
    <w:pPr>
      <w:pBdr>
        <w:left w:val="single" w:sz="18" w:space="10" w:color="005288"/>
      </w:pBdr>
      <w:shd w:val="clear" w:color="auto" w:fill="EEF4F8"/>
      <w:spacing w:before="140" w:after="200" w:line="264" w:lineRule="auto"/>
      <w:ind w:left="200" w:right="120"/>
    </w:pPr>
    <w:rPr>
      <w:color w:val="0A2D46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type="table" w:styleId="Table">
    <w:name w:val="Table"/>
    <w:tblPr>
      <w:tblCellMar>
        <w:top w:w="72" w:type="dxa"/>
        <w:left w:w="115" w:type="dxa"/>
        <w:bottom w:w="72" w:type="dxa"/>
        <w:right w:w="115" w:type="dxa"/>
      </w:tblCellMar>
      <w:tblBorders>
        <w:top w:val="single" w:sz="12" w:space="0" w:color="005288"/>
        <w:bottom w:val="single" w:sz="12" w:space="0" w:color="005288"/>
        <w:left w:val="none" w:sz="0" w:space="0" w:color="auto"/>
        <w:right w:val="none" w:sz="0" w:space="0" w:color="auto"/>
        <w:insideH w:val="single" w:sz="4" w:space="0" w:color="C9D4DC"/>
        <w:insideV w:val="none" w:sz="0" w:space="0" w:color="auto"/>
      </w:tblBorders>
    </w:tblPr>
    <w:rPr>
      <w:sz w:val="18"/>
      <w:szCs w:val="18"/>
    </w:rPr>
    <w:tblStylePr w:type="firstRow">
      <w:rPr>
        <w:b/>
        <w:color w:val="FFFFFF"/>
        <w:sz w:val="18"/>
      </w:rPr>
      <w:tcPr>
        <w:shd w:val="clear" w:color="auto" w:fill="005288"/>
      </w:tcPr>
    </w:tblStylePr>
    <w:tblStylePr w:type="band1Horz">
      <w:tcPr>
        <w:shd w:val="clear" w:color="auto" w:fill="EEF4F8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type="paragraph" w:styleId="TableCaption">
    <w:name w:val="Table Caption"/>
    <w:basedOn w:val="Normal"/>
    <w:pPr>
      <w:spacing w:before="60" w:after="200"/>
    </w:pPr>
    <w:rPr>
      <w:i/>
      <w:color w:val="5A6B78"/>
      <w:sz w:val="17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type="character" w:styleId="VerbatimChar">
    <w:name w:val="Verbatim Char"/>
    <w:rPr>
      <w:rFonts w:ascii="Consolas" w:hAnsi="Consolas" w:cs="Consolas"/>
      <w:color w:val="0A2D46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styleId="Header">
    <w:name w:val="header"/>
    <w:basedOn w:val="Normal"/>
    <w:pPr>
      <w:spacing w:after="0" w:line="240" w:lineRule="auto"/>
    </w:pPr>
    <w:rPr>
      <w:color w:val="5A6B78"/>
      <w:sz w:val="17"/>
      <w:szCs w:val="17"/>
    </w:rPr>
  </w:style>
  <w:style w:type="paragraph" w:styleId="Footer">
    <w:name w:val="footer"/>
    <w:basedOn w:val="Normal"/>
    <w:pPr>
      <w:spacing w:after="0" w:line="240" w:lineRule="auto"/>
    </w:pPr>
    <w:rPr>
      <w:color w:val="5A6B78"/>
      <w:sz w:val="17"/>
      <w:szCs w:val="17"/>
    </w:rPr>
  </w:style>
  <w:style w:type="paragraph" w:styleId="TOC1">
    <w:name w:val="toc 1"/>
    <w:basedOn w:val="Normal"/>
    <w:pPr>
      <w:tabs>
        <w:tab w:val="right" w:leader="dot" w:pos="9412"/>
      </w:tabs>
      <w:spacing w:before="160" w:after="40" w:line="240" w:lineRule="auto"/>
    </w:pPr>
    <w:rPr>
      <w:b/>
      <w:color w:val="0A2D46"/>
      <w:sz w:val="22"/>
    </w:rPr>
  </w:style>
  <w:style w:type="paragraph" w:styleId="TOC2">
    <w:name w:val="toc 2"/>
    <w:basedOn w:val="Normal"/>
    <w:pPr>
      <w:tabs>
        <w:tab w:val="right" w:leader="dot" w:pos="9412"/>
      </w:tabs>
      <w:ind w:left="284"/>
      <w:spacing w:before="0" w:after="40" w:line="240" w:lineRule="auto"/>
    </w:pPr>
    <w:rPr>
      <w:color w:val="5A6B78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A" Type="http://schemas.openxmlformats.org/officeDocument/2006/relationships/header" Target="header1.xml"/><Relationship Id="rIdFtrA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Costing — Bayanihan One Window</dc:title>
  <dc:creator/>
  <cp:keywords/>
  <dcterms:created xsi:type="dcterms:W3CDTF">2026-08-18T14:45:39Z</dcterms:created>
  <dcterms:modified xsi:type="dcterms:W3CDTF">2026-08-18T14:45:39Z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