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Лабораторная работа №7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Основы информационной безопасности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Пинега Белла Александровна</w:t>
      </w:r>
      <w:r>
        <w:t xml:space="preserve">”</w:t>
      </w:r>
    </w:p>
    <w:bookmarkEnd w:id="20"/>
    <w:bookmarkStart w:id="21" w:name="generic-otion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5" w:name="pdf-output-format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0"/>
        </w:numPr>
        <w:pStyle w:val="Heading1"/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numPr>
          <w:ilvl w:val="1"/>
          <w:numId w:val="1002"/>
        </w:numPr>
        <w:pStyle w:val="Heading2"/>
      </w:pPr>
      <w:bookmarkStart w:id="24" w:name="X94ea5b1a9ad1db96c8ed73c19fcaa297f45e42d"/>
      <w:r>
        <w:t xml:space="preserve"> </w:t>
      </w:r>
      <w:r>
        <w:t xml:space="preserve"># keep figures where there are in the text</w:t>
      </w:r>
      <w:bookmarkEnd w:id="24"/>
    </w:p>
    <w:bookmarkEnd w:id="25"/>
    <w:bookmarkStart w:id="26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6"/>
    <w:bookmarkStart w:id="27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  <w:r>
        <w:t xml:space="preserve"> </w:t>
      </w:r>
      <w:r>
        <w:t xml:space="preserve">1. Определить вид шифротекста при известном ключе и известном откры-</w:t>
      </w:r>
      <w:r>
        <w:t xml:space="preserve"> </w:t>
      </w:r>
      <w:r>
        <w:t xml:space="preserve">том тексте.</w:t>
      </w:r>
      <w:r>
        <w:t xml:space="preserve"> </w:t>
      </w:r>
      <w:r>
        <w:t xml:space="preserve">2. Определить ключ, с помощью которого шифротекст может быть преоб-</w:t>
      </w:r>
      <w:r>
        <w:t xml:space="preserve"> </w:t>
      </w:r>
      <w:r>
        <w:t xml:space="preserve">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</w:t>
      </w:r>
    </w:p>
    <w:bookmarkEnd w:id="27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ис-</w:t>
      </w:r>
      <w:r>
        <w:t xml:space="preserve"> </w:t>
      </w:r>
      <w:r>
        <w:t xml:space="preserve">пользования (гаммирования)» (рис. 7.1) является простой, но надёжной схе-</w:t>
      </w:r>
      <w:r>
        <w:t xml:space="preserve"> </w:t>
      </w:r>
      <w:r>
        <w:t xml:space="preserve">мой шифрования данных.</w:t>
      </w:r>
      <w:r>
        <w:t xml:space="preserve"> </w:t>
      </w:r>
      <w:r>
        <w:t xml:space="preserve">Гаммирование представляет собой наложение (снятие) на открытые (за-</w:t>
      </w:r>
      <w:r>
        <w:t xml:space="preserve"> </w:t>
      </w:r>
      <w:r>
        <w:t xml:space="preserve">шифрованные) данные последовательности элементов других данных, по-</w:t>
      </w:r>
      <w:r>
        <w:t xml:space="preserve"> </w:t>
      </w:r>
      <w:r>
        <w:t xml:space="preserve">лученной с помощью некоторого криптографического алгоритма, для по-</w:t>
      </w:r>
      <w:r>
        <w:t xml:space="preserve"> </w:t>
      </w:r>
      <w:r>
        <w:t xml:space="preserve">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пред-</w:t>
      </w:r>
      <w:r>
        <w:t xml:space="preserve"> </w:t>
      </w:r>
      <w:r>
        <w:t xml:space="preserve">ставляет собой известную часть алгоритма шифрования.</w:t>
      </w:r>
      <w:r>
        <w:t xml:space="preserve"> </w:t>
      </w:r>
      <w:r>
        <w:t xml:space="preserve">В соответствии с теорией криптоанализа, если в методе шифрования ис-</w:t>
      </w:r>
      <w:r>
        <w:t xml:space="preserve"> </w:t>
      </w:r>
      <w:r>
        <w:t xml:space="preserve">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ин-</w:t>
      </w:r>
      <w:r>
        <w:t xml:space="preserve"> </w:t>
      </w:r>
      <w:r>
        <w:t xml:space="preserve">формацию о всём скрываемом тексте.</w:t>
      </w:r>
      <w:r>
        <w:t xml:space="preserve"> </w:t>
      </w:r>
      <w:r>
        <w:t xml:space="preserve">Наложение гаммы по сути представляет собой выполнение операции</w:t>
      </w:r>
      <w:r>
        <w:t xml:space="preserve"> </w:t>
      </w:r>
      <w:r>
        <w:t xml:space="preserve">сложения по модулю 2 (XOR) (обозначаемая знаком ⊕) между элементами</w:t>
      </w:r>
      <w:r>
        <w:t xml:space="preserve"> </w:t>
      </w:r>
      <w:r>
        <w:t xml:space="preserve">гаммы и элементами подлежащего сокрытию текста. Напомним, как рабо-</w:t>
      </w:r>
      <w:r>
        <w:t xml:space="preserve"> </w:t>
      </w:r>
      <w:r>
        <w:t xml:space="preserve">тает операция XOR над битами: 0 ⊕ 0 = 0, 0 ⊕ 1 = 1, 1 ⊕ 0 = 1, 1 ⊕ 1 = 0.</w:t>
      </w:r>
      <w:r>
        <w:t xml:space="preserve"> </w:t>
      </w:r>
      <w:r>
        <w:t xml:space="preserve">Такой метод шифрования является симметричным, так как двойное при-</w:t>
      </w:r>
      <w:r>
        <w:t xml:space="preserve"> </w:t>
      </w:r>
      <w:r>
        <w:t xml:space="preserve">бавление одной и той же величины по модулю 2 восстанавливает исходное</w:t>
      </w:r>
      <w:r>
        <w:t xml:space="preserve"> </w:t>
      </w:r>
      <w:r>
        <w:t xml:space="preserve">Рис. 7.1. Схема однократного использования Вернама</w:t>
      </w:r>
      <w:r>
        <w:t xml:space="preserve"> </w:t>
      </w:r>
      <w:r>
        <w:t xml:space="preserve">1При составлении работы использовалось пособие [1].</w:t>
      </w:r>
      <w:r>
        <w:t xml:space="preserve"> </w:t>
      </w:r>
      <w:r>
        <w:t xml:space="preserve">46 Кулябов Д. С., Королькова А. В., Геворкян М. Н.</w:t>
      </w:r>
      <w:r>
        <w:t xml:space="preserve"> </w:t>
      </w:r>
      <w:r>
        <w:t xml:space="preserve">значение, а шифрование и расшифрование выполняется одной и той же про-</w:t>
      </w:r>
      <w:r>
        <w:t xml:space="preserve"> </w:t>
      </w:r>
      <w:r>
        <w:t xml:space="preserve">граммой.</w:t>
      </w:r>
      <w:r>
        <w:t xml:space="preserve"> </w:t>
      </w:r>
      <w:r>
        <w:t xml:space="preserve">Если известны ключ и открытый текст, то задача нахождения шифротек-</w:t>
      </w:r>
      <w:r>
        <w:t xml:space="preserve"> </w:t>
      </w:r>
      <w:r>
        <w:t xml:space="preserve">ста заключается в применении к каждому символу открытого текста следу-</w:t>
      </w:r>
      <w:r>
        <w:t xml:space="preserve"> </w:t>
      </w:r>
      <w:r>
        <w:t xml:space="preserve">ющего правила: Ci = Pi ⊕ Ki, (7.1)</w:t>
      </w:r>
      <w:r>
        <w:t xml:space="preserve"> </w:t>
      </w:r>
      <w:r>
        <w:t xml:space="preserve">где Ci — i-й символ получившегося зашифрованного послания, Pi — i-й</w:t>
      </w:r>
      <w:r>
        <w:t xml:space="preserve"> </w:t>
      </w:r>
      <w:r>
        <w:t xml:space="preserve">символ открытого текста, Ki — i-й символ ключа, i = 1, m. Размерности</w:t>
      </w:r>
      <w:r>
        <w:t xml:space="preserve"> </w:t>
      </w:r>
      <w:r>
        <w:t xml:space="preserve">открытого текста и ключа должны совпадать, и полученный шифротекст</w:t>
      </w:r>
      <w:r>
        <w:t xml:space="preserve"> </w:t>
      </w:r>
      <w:r>
        <w:t xml:space="preserve">будет такой же длины.</w:t>
      </w:r>
      <w:r>
        <w:t xml:space="preserve"> </w:t>
      </w:r>
      <w:r>
        <w:t xml:space="preserve">Если известны шифротекст и открытый текст, то задача нахождения</w:t>
      </w:r>
      <w:r>
        <w:t xml:space="preserve"> </w:t>
      </w:r>
      <w:r>
        <w:t xml:space="preserve">ключа решается также в соответствии с (7.1), а именно, обе части равен-</w:t>
      </w:r>
      <w:r>
        <w:t xml:space="preserve"> </w:t>
      </w:r>
      <w:r>
        <w:t xml:space="preserve">ства необходимо сложить по модулю 2 с Pi:</w:t>
      </w:r>
      <w:r>
        <w:t xml:space="preserve"> </w:t>
      </w:r>
      <w:r>
        <w:t xml:space="preserve">Ci ⊕ Pi = Pi ⊕ Ki ⊕ Pi = Ki,</w:t>
      </w:r>
      <w:r>
        <w:t xml:space="preserve"> </w:t>
      </w:r>
      <w:r>
        <w:t xml:space="preserve">Ki = Ci ⊕ Pi.</w:t>
      </w:r>
      <w:r>
        <w:t xml:space="preserve"> </w:t>
      </w:r>
      <w:r>
        <w:t xml:space="preserve">Открытый текст имеет символьный вид, а ключ — шестнадцатеричное</w:t>
      </w:r>
      <w:r>
        <w:t xml:space="preserve"> </w:t>
      </w:r>
      <w:r>
        <w:t xml:space="preserve">представление. Ключ также можно представить в символьном виде, вос-</w:t>
      </w:r>
      <w:r>
        <w:t xml:space="preserve"> </w:t>
      </w:r>
      <w:r>
        <w:t xml:space="preserve">пользовавшись таблицей ASCII-кодов.</w:t>
      </w:r>
      <w:r>
        <w:t xml:space="preserve"> </w:t>
      </w:r>
      <w:r>
        <w:t xml:space="preserve">К. Шеннон доказал абсолютную стойкость шифра в случае, когда одно-</w:t>
      </w:r>
      <w:r>
        <w:t xml:space="preserve"> </w:t>
      </w:r>
      <w:r>
        <w:t xml:space="preserve">кратно используемый ключ, длиной, равной длине исходного сообщения,</w:t>
      </w:r>
      <w:r>
        <w:t xml:space="preserve"> </w:t>
      </w:r>
      <w:r>
        <w:t xml:space="preserve">является фрагментом истинно случайной двоичной последовательности с</w:t>
      </w:r>
      <w:r>
        <w:t xml:space="preserve"> </w:t>
      </w:r>
      <w:r>
        <w:t xml:space="preserve">равномерным законом распределения. Криптоалгоритм не даёт никакой ин-</w:t>
      </w:r>
      <w:r>
        <w:t xml:space="preserve"> </w:t>
      </w:r>
      <w:r>
        <w:t xml:space="preserve">формации об открытом тексте: при известном зашифрованном сообщении</w:t>
      </w:r>
      <w:r>
        <w:t xml:space="preserve"> </w:t>
      </w:r>
      <w:r>
        <w:t xml:space="preserve">C все различные ключевые последовательности K возможны и равноверо-</w:t>
      </w:r>
      <w:r>
        <w:t xml:space="preserve"> </w:t>
      </w:r>
      <w:r>
        <w:t xml:space="preserve">ятны, а значит, возможны и любые сообщения P .</w:t>
      </w:r>
      <w:r>
        <w:t xml:space="preserve"> </w:t>
      </w:r>
      <w:r>
        <w:t xml:space="preserve">Необходимые и достаточные условия абсолютной стойкости шифра:</w:t>
      </w:r>
      <w:r>
        <w:t xml:space="preserve"> </w:t>
      </w:r>
      <w:r>
        <w:t xml:space="preserve">– полная случайность ключа;</w:t>
      </w:r>
      <w:r>
        <w:t xml:space="preserve"> </w:t>
      </w:r>
      <w:r>
        <w:t xml:space="preserve">– равенство длин ключа и открытого текста;</w:t>
      </w:r>
      <w:r>
        <w:t xml:space="preserve"> </w:t>
      </w:r>
      <w:r>
        <w:t xml:space="preserve">– однократное использование ключа.</w:t>
      </w:r>
      <w:r>
        <w:t xml:space="preserve"> </w:t>
      </w:r>
      <w:r>
        <w:t xml:space="preserve">Рассмотрим пример.</w:t>
      </w:r>
      <w:r>
        <w:t xml:space="preserve"> </w:t>
      </w:r>
      <w:r>
        <w:t xml:space="preserve">Ключ Центра:</w:t>
      </w:r>
      <w:r>
        <w:t xml:space="preserve"> </w:t>
      </w:r>
      <w:r>
        <w:t xml:space="preserve">05 0C 17 7F 0E 4E 37 D2 94 10 09 2E 22 57 FF C8 0B B2 70 54</w:t>
      </w:r>
      <w:r>
        <w:t xml:space="preserve"> </w:t>
      </w:r>
      <w:r>
        <w:t xml:space="preserve">Сообщение Центра:</w:t>
      </w:r>
      <w:r>
        <w:t xml:space="preserve"> </w:t>
      </w:r>
      <w:r>
        <w:t xml:space="preserve">Штирлиц – Вы Герой!!</w:t>
      </w:r>
      <w:r>
        <w:t xml:space="preserve"> </w:t>
      </w:r>
      <w:r>
        <w:t xml:space="preserve">D8 F2 E8 F0 EB E8 F6 20 2D 20 C2 FB 20 C3 E5 F0 EE E9 21 21</w:t>
      </w:r>
      <w:r>
        <w:t xml:space="preserve"> </w:t>
      </w:r>
      <w:r>
        <w:t xml:space="preserve">Зашифрованный текст, находящийся у Мюллера:</w:t>
      </w:r>
      <w:r>
        <w:t xml:space="preserve"> </w:t>
      </w:r>
      <w:r>
        <w:t xml:space="preserve">DD FE FF 8F E5 A6 C1 F2 B9 30 CB D5 02 94 1A 38 E5 5B 51 75</w:t>
      </w:r>
      <w:r>
        <w:t xml:space="preserve"> </w:t>
      </w:r>
      <w:r>
        <w:t xml:space="preserve">Дешифровальщики попробовали ключ:</w:t>
      </w:r>
      <w:r>
        <w:t xml:space="preserve"> </w:t>
      </w:r>
      <w:r>
        <w:t xml:space="preserve">05 0C 17 7F 0E 4E 37 D2 94 10 09 2E 22 55 F4 D3 07 BB BC 54</w:t>
      </w:r>
      <w:r>
        <w:t xml:space="preserve"> </w:t>
      </w:r>
      <w:r>
        <w:t xml:space="preserve">и получили текст:</w:t>
      </w:r>
      <w:r>
        <w:t xml:space="preserve"> </w:t>
      </w:r>
      <w:r>
        <w:t xml:space="preserve">D8 F2 E8 F0 EB E8 F6 20 2D 20 C2 FB 20 C1 EE EB E2 E0 ED 21</w:t>
      </w:r>
      <w:r>
        <w:t xml:space="preserve"> </w:t>
      </w:r>
      <w:r>
        <w:t xml:space="preserve">Штирлиц - Вы Болван!</w:t>
      </w:r>
    </w:p>
    <w:bookmarkEnd w:id="28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Код программы:</w:t>
      </w:r>
      <w:r>
        <w:t xml:space="preserve"> </w:t>
      </w:r>
      <w:bookmarkStart w:id="30" w:name="fig:001"/>
      <w:r>
        <w:drawing>
          <wp:inline>
            <wp:extent cx="5334000" cy="4766398"/>
            <wp:effectExtent b="0" l="0" r="0" t="0"/>
            <wp:docPr descr="рис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6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3"/>
        </w:numPr>
        <w:pStyle w:val="Compact"/>
      </w:pPr>
      <w:r>
        <w:t xml:space="preserve">Результат,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</w:t>
      </w:r>
      <w:r>
        <w:t xml:space="preserve"> </w:t>
      </w:r>
      <w:bookmarkStart w:id="32" w:name="fig:002"/>
      <w:r>
        <w:drawing>
          <wp:inline>
            <wp:extent cx="5334000" cy="619093"/>
            <wp:effectExtent b="0" l="0" r="0" t="0"/>
            <wp:docPr descr="рис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на практике применение режима однократного гаммирования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2024-03-06T15:12:35Z</dcterms:created>
  <dcterms:modified xsi:type="dcterms:W3CDTF">2024-03-06T15:12:35Z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figLabels">
    <vt:lpwstr>arabic</vt:lpwstr>
  </property>
  <property fmtid="{D5CDD505-2E9C-101B-9397-08002B2CF9AE}" pid="17" name="figPrefix">
    <vt:lpwstr/>
  </property>
  <property fmtid="{D5CDD505-2E9C-101B-9397-08002B2CF9AE}" pid="18" name="figPrefixTemplate">
    <vt:lpwstr>p i</vt:lpwstr>
  </property>
  <property fmtid="{D5CDD505-2E9C-101B-9397-08002B2CF9AE}" pid="19" name="figureTemplate">
    <vt:lpwstr>figureTitle ititleDelim t</vt:lpwstr>
  </property>
  <property fmtid="{D5CDD505-2E9C-101B-9397-08002B2CF9AE}" pid="20" name="figureTitle">
    <vt:lpwstr>Figure</vt:lpwstr>
  </property>
  <property fmtid="{D5CDD505-2E9C-101B-9397-08002B2CF9AE}" pid="21" name="lastDelim">
    <vt:lpwstr>, </vt:lpwstr>
  </property>
  <property fmtid="{D5CDD505-2E9C-101B-9397-08002B2CF9AE}" pid="22" name="linkReferences">
    <vt:lpwstr>False</vt:lpwstr>
  </property>
  <property fmtid="{D5CDD505-2E9C-101B-9397-08002B2CF9AE}" pid="23" name="listingTemplate">
    <vt:lpwstr>listingTitle ititleDelim t</vt:lpwstr>
  </property>
  <property fmtid="{D5CDD505-2E9C-101B-9397-08002B2CF9AE}" pid="24" name="listingTitle">
    <vt:lpwstr>Listing</vt:lpwstr>
  </property>
  <property fmtid="{D5CDD505-2E9C-101B-9397-08002B2CF9AE}" pid="25" name="listings">
    <vt:lpwstr>False</vt:lpwstr>
  </property>
  <property fmtid="{D5CDD505-2E9C-101B-9397-08002B2CF9AE}" pid="26" name="lofTitle">
    <vt:lpwstr>List of Figures</vt:lpwstr>
  </property>
  <property fmtid="{D5CDD505-2E9C-101B-9397-08002B2CF9AE}" pid="27" name="lolTitle">
    <vt:lpwstr>List of Listings</vt:lpwstr>
  </property>
  <property fmtid="{D5CDD505-2E9C-101B-9397-08002B2CF9AE}" pid="28" name="lotTitle">
    <vt:lpwstr>List of Tables</vt:lpwstr>
  </property>
  <property fmtid="{D5CDD505-2E9C-101B-9397-08002B2CF9AE}" pid="29" name="lstLabels">
    <vt:lpwstr>arabic</vt:lpwstr>
  </property>
  <property fmtid="{D5CDD505-2E9C-101B-9397-08002B2CF9AE}" pid="30" name="lstPrefix">
    <vt:lpwstr/>
  </property>
  <property fmtid="{D5CDD505-2E9C-101B-9397-08002B2CF9AE}" pid="31" name="lstPrefixTemplate">
    <vt:lpwstr>p i</vt:lpwstr>
  </property>
  <property fmtid="{D5CDD505-2E9C-101B-9397-08002B2CF9AE}" pid="32" name="nameInLink">
    <vt:lpwstr>False</vt:lpwstr>
  </property>
  <property fmtid="{D5CDD505-2E9C-101B-9397-08002B2CF9AE}" pid="33" name="numberSections">
    <vt:lpwstr>False</vt:lpwstr>
  </property>
  <property fmtid="{D5CDD505-2E9C-101B-9397-08002B2CF9AE}" pid="34" name="pairDelim">
    <vt:lpwstr>, </vt:lpwstr>
  </property>
  <property fmtid="{D5CDD505-2E9C-101B-9397-08002B2CF9AE}" pid="35" name="rangeDelim">
    <vt:lpwstr>-</vt:lpwstr>
  </property>
  <property fmtid="{D5CDD505-2E9C-101B-9397-08002B2CF9AE}" pid="36" name="refDelim">
    <vt:lpwstr>, </vt:lpwstr>
  </property>
  <property fmtid="{D5CDD505-2E9C-101B-9397-08002B2CF9AE}" pid="37" name="refIndexTemplate">
    <vt:lpwstr>isuf</vt:lpwstr>
  </property>
  <property fmtid="{D5CDD505-2E9C-101B-9397-08002B2CF9AE}" pid="38" name="secHeaderDelim">
    <vt:lpwstr> </vt:lpwstr>
  </property>
  <property fmtid="{D5CDD505-2E9C-101B-9397-08002B2CF9AE}" pid="39" name="secHeaderTemplate">
    <vt:lpwstr>isecHeaderDelim[n]t</vt:lpwstr>
  </property>
  <property fmtid="{D5CDD505-2E9C-101B-9397-08002B2CF9AE}" pid="40" name="secLabels">
    <vt:lpwstr>arabic</vt:lpwstr>
  </property>
  <property fmtid="{D5CDD505-2E9C-101B-9397-08002B2CF9AE}" pid="41" name="secPrefix">
    <vt:lpwstr/>
  </property>
  <property fmtid="{D5CDD505-2E9C-101B-9397-08002B2CF9AE}" pid="42" name="secPrefixTemplate">
    <vt:lpwstr>p i</vt:lpwstr>
  </property>
  <property fmtid="{D5CDD505-2E9C-101B-9397-08002B2CF9AE}" pid="43" name="sectionsDepth">
    <vt:lpwstr>0</vt:lpwstr>
  </property>
  <property fmtid="{D5CDD505-2E9C-101B-9397-08002B2CF9AE}" pid="44" name="subfigGrid">
    <vt:lpwstr>False</vt:lpwstr>
  </property>
  <property fmtid="{D5CDD505-2E9C-101B-9397-08002B2CF9AE}" pid="45" name="subfigLabels">
    <vt:lpwstr>alpha a</vt:lpwstr>
  </property>
  <property fmtid="{D5CDD505-2E9C-101B-9397-08002B2CF9AE}" pid="46" name="subfigureChildTemplate">
    <vt:lpwstr>i</vt:lpwstr>
  </property>
  <property fmtid="{D5CDD505-2E9C-101B-9397-08002B2CF9AE}" pid="47" name="subfigureRefIndexTemplate">
    <vt:lpwstr>isuf (s)</vt:lpwstr>
  </property>
  <property fmtid="{D5CDD505-2E9C-101B-9397-08002B2CF9AE}" pid="48" name="subfigureTemplate">
    <vt:lpwstr>figureTitle ititleDelim t. ccs</vt:lpwstr>
  </property>
  <property fmtid="{D5CDD505-2E9C-101B-9397-08002B2CF9AE}" pid="49" name="tableEqns">
    <vt:lpwstr>False</vt:lpwstr>
  </property>
  <property fmtid="{D5CDD505-2E9C-101B-9397-08002B2CF9AE}" pid="50" name="tableTemplate">
    <vt:lpwstr>tableTitle ititleDelim t</vt:lpwstr>
  </property>
  <property fmtid="{D5CDD505-2E9C-101B-9397-08002B2CF9AE}" pid="51" name="tableTitle">
    <vt:lpwstr>Table</vt:lpwstr>
  </property>
  <property fmtid="{D5CDD505-2E9C-101B-9397-08002B2CF9AE}" pid="52" name="tblLabels">
    <vt:lpwstr>arabic</vt:lpwstr>
  </property>
  <property fmtid="{D5CDD505-2E9C-101B-9397-08002B2CF9AE}" pid="53" name="tblPrefix">
    <vt:lpwstr/>
  </property>
  <property fmtid="{D5CDD505-2E9C-101B-9397-08002B2CF9AE}" pid="54" name="tblPrefixTemplate">
    <vt:lpwstr>p i</vt:lpwstr>
  </property>
  <property fmtid="{D5CDD505-2E9C-101B-9397-08002B2CF9AE}" pid="55" name="titleDelim">
    <vt:lpwstr>:</vt:lpwstr>
  </property>
</Properties>
</file>