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Индивидуальный проект этап 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информационной безопасности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Пинега Белла Александровна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6"/>
    <w:bookmarkStart w:id="27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nikto — базовый сканер безопасности веб-сервера. Он сканирует и обнаруживает 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</w:t>
      </w:r>
    </w:p>
    <w:bookmarkEnd w:id="27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Ищутся уязвимости в специально предназначенном для этого веб приложении под названием Damn Vulnerable Web Application (DVWA).</w:t>
      </w:r>
      <w:r>
        <w:t xml:space="preserve"> </w:t>
      </w:r>
      <w:r>
        <w:t xml:space="preserve">Назначение DVWA — попрактиковаться в некоторых самых распространённых веб уязвимостях.</w:t>
      </w:r>
      <w:r>
        <w:t xml:space="preserve"> </w:t>
      </w:r>
      <w:r>
        <w:t xml:space="preserve">Предлагается попробовать и обнаружить так много уязвимостей, как сможете.</w:t>
      </w:r>
    </w:p>
    <w:bookmarkEnd w:id="28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Установлю nikto</w:t>
      </w:r>
      <w:r>
        <w:t xml:space="preserve"> </w:t>
      </w:r>
      <w:bookmarkStart w:id="30" w:name="fig:001"/>
      <w:r>
        <w:drawing>
          <wp:inline>
            <wp:extent cx="5334000" cy="1411941"/>
            <wp:effectExtent b="0" l="0" r="0" t="0"/>
            <wp:docPr descr="рис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3"/>
        </w:numPr>
        <w:pStyle w:val="Compact"/>
      </w:pPr>
      <w:r>
        <w:t xml:space="preserve">Познакомлюсь с nikto</w:t>
      </w:r>
      <w:r>
        <w:t xml:space="preserve"> </w:t>
      </w:r>
      <w:bookmarkStart w:id="32" w:name="fig:002"/>
      <w:r>
        <w:drawing>
          <wp:inline>
            <wp:extent cx="5334000" cy="4312133"/>
            <wp:effectExtent b="0" l="0" r="0" t="0"/>
            <wp:docPr descr="рис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  <w:pStyle w:val="Compact"/>
      </w:pPr>
      <w:r>
        <w:t xml:space="preserve">Выполню сканирование SSL и порта 443</w:t>
      </w:r>
      <w:r>
        <w:t xml:space="preserve"> </w:t>
      </w:r>
      <w:bookmarkStart w:id="34" w:name="fig:003"/>
      <w:r>
        <w:drawing>
          <wp:inline>
            <wp:extent cx="5334000" cy="2704854"/>
            <wp:effectExtent b="0" l="0" r="0" t="0"/>
            <wp:docPr descr="рис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3"/>
        </w:numPr>
        <w:pStyle w:val="Compact"/>
      </w:pPr>
      <w:r>
        <w:t xml:space="preserve">Сканирую ip-адрес</w:t>
      </w:r>
      <w:r>
        <w:t xml:space="preserve"> </w:t>
      </w:r>
      <w:bookmarkStart w:id="36" w:name="fig:004"/>
      <w:r>
        <w:drawing>
          <wp:inline>
            <wp:extent cx="5334000" cy="2977325"/>
            <wp:effectExtent b="0" l="0" r="0" t="0"/>
            <wp:docPr descr="рис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5"/>
      <w:r>
        <w:drawing>
          <wp:inline>
            <wp:extent cx="2194560" cy="394635"/>
            <wp:effectExtent b="0" l="0" r="0" t="0"/>
            <wp:docPr descr="рис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3"/>
        </w:numPr>
        <w:pStyle w:val="Compact"/>
      </w:pPr>
      <w:r>
        <w:t xml:space="preserve">Чтобы отправить все хосты в nikto и увидеть все ip-адреса проделаем следующее:</w:t>
      </w:r>
      <w:r>
        <w:t xml:space="preserve"> </w:t>
      </w:r>
      <w:bookmarkStart w:id="40" w:name="fig:006"/>
      <w:r>
        <w:drawing>
          <wp:inline>
            <wp:extent cx="5255393" cy="962526"/>
            <wp:effectExtent b="0" l="0" r="0" t="0"/>
            <wp:docPr descr="рис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07"/>
      <w:r>
        <w:drawing>
          <wp:inline>
            <wp:extent cx="2175309" cy="413886"/>
            <wp:effectExtent b="0" l="0" r="0" t="0"/>
            <wp:docPr descr="рис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309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08"/>
      <w:r>
        <w:drawing>
          <wp:inline>
            <wp:extent cx="5334000" cy="2792342"/>
            <wp:effectExtent b="0" l="0" r="0" t="0"/>
            <wp:docPr descr="рис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nikto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2024-03-08T00:55:59Z</dcterms:created>
  <dcterms:modified xsi:type="dcterms:W3CDTF">2024-03-08T00:55:59Z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figLabels">
    <vt:lpwstr>arabic</vt:lpwstr>
  </property>
  <property fmtid="{D5CDD505-2E9C-101B-9397-08002B2CF9AE}" pid="17" name="figPrefix">
    <vt:lpwstr/>
  </property>
  <property fmtid="{D5CDD505-2E9C-101B-9397-08002B2CF9AE}" pid="18" name="figPrefixTemplate">
    <vt:lpwstr>p i</vt:lpwstr>
  </property>
  <property fmtid="{D5CDD505-2E9C-101B-9397-08002B2CF9AE}" pid="19" name="figureTemplate">
    <vt:lpwstr>figureTitle ititleDelim t</vt:lpwstr>
  </property>
  <property fmtid="{D5CDD505-2E9C-101B-9397-08002B2CF9AE}" pid="20" name="figureTitle">
    <vt:lpwstr>Figure</vt:lpwstr>
  </property>
  <property fmtid="{D5CDD505-2E9C-101B-9397-08002B2CF9AE}" pid="21" name="lastDelim">
    <vt:lpwstr>, </vt:lpwstr>
  </property>
  <property fmtid="{D5CDD505-2E9C-101B-9397-08002B2CF9AE}" pid="22" name="linkReferences">
    <vt:lpwstr>False</vt:lpwstr>
  </property>
  <property fmtid="{D5CDD505-2E9C-101B-9397-08002B2CF9AE}" pid="23" name="listingTemplate">
    <vt:lpwstr>listingTitle ititleDelim t</vt:lpwstr>
  </property>
  <property fmtid="{D5CDD505-2E9C-101B-9397-08002B2CF9AE}" pid="24" name="listingTitle">
    <vt:lpwstr>Listing</vt:lpwstr>
  </property>
  <property fmtid="{D5CDD505-2E9C-101B-9397-08002B2CF9AE}" pid="25" name="listings">
    <vt:lpwstr>False</vt:lpwstr>
  </property>
  <property fmtid="{D5CDD505-2E9C-101B-9397-08002B2CF9AE}" pid="26" name="lofTitle">
    <vt:lpwstr>List of Figures</vt:lpwstr>
  </property>
  <property fmtid="{D5CDD505-2E9C-101B-9397-08002B2CF9AE}" pid="27" name="lolTitle">
    <vt:lpwstr>List of Listings</vt:lpwstr>
  </property>
  <property fmtid="{D5CDD505-2E9C-101B-9397-08002B2CF9AE}" pid="28" name="lotTitle">
    <vt:lpwstr>List of Tables</vt:lpwstr>
  </property>
  <property fmtid="{D5CDD505-2E9C-101B-9397-08002B2CF9AE}" pid="29" name="lstLabels">
    <vt:lpwstr>arabic</vt:lpwstr>
  </property>
  <property fmtid="{D5CDD505-2E9C-101B-9397-08002B2CF9AE}" pid="30" name="lstPrefix">
    <vt:lpwstr/>
  </property>
  <property fmtid="{D5CDD505-2E9C-101B-9397-08002B2CF9AE}" pid="31" name="lstPrefixTemplate">
    <vt:lpwstr>p i</vt:lpwstr>
  </property>
  <property fmtid="{D5CDD505-2E9C-101B-9397-08002B2CF9AE}" pid="32" name="nameInLink">
    <vt:lpwstr>False</vt:lpwstr>
  </property>
  <property fmtid="{D5CDD505-2E9C-101B-9397-08002B2CF9AE}" pid="33" name="numberSections">
    <vt:lpwstr>False</vt:lpwstr>
  </property>
  <property fmtid="{D5CDD505-2E9C-101B-9397-08002B2CF9AE}" pid="34" name="pairDelim">
    <vt:lpwstr>, </vt:lpwstr>
  </property>
  <property fmtid="{D5CDD505-2E9C-101B-9397-08002B2CF9AE}" pid="35" name="rangeDelim">
    <vt:lpwstr>-</vt:lpwstr>
  </property>
  <property fmtid="{D5CDD505-2E9C-101B-9397-08002B2CF9AE}" pid="36" name="refDelim">
    <vt:lpwstr>, </vt:lpwstr>
  </property>
  <property fmtid="{D5CDD505-2E9C-101B-9397-08002B2CF9AE}" pid="37" name="refIndexTemplate">
    <vt:lpwstr>isuf</vt:lpwstr>
  </property>
  <property fmtid="{D5CDD505-2E9C-101B-9397-08002B2CF9AE}" pid="38" name="secHeaderDelim">
    <vt:lpwstr> </vt:lpwstr>
  </property>
  <property fmtid="{D5CDD505-2E9C-101B-9397-08002B2CF9AE}" pid="39" name="secHeaderTemplate">
    <vt:lpwstr>isecHeaderDelim[n]t</vt:lpwstr>
  </property>
  <property fmtid="{D5CDD505-2E9C-101B-9397-08002B2CF9AE}" pid="40" name="secLabels">
    <vt:lpwstr>arabic</vt:lpwstr>
  </property>
  <property fmtid="{D5CDD505-2E9C-101B-9397-08002B2CF9AE}" pid="41" name="secPrefix">
    <vt:lpwstr/>
  </property>
  <property fmtid="{D5CDD505-2E9C-101B-9397-08002B2CF9AE}" pid="42" name="secPrefixTemplate">
    <vt:lpwstr>p i</vt:lpwstr>
  </property>
  <property fmtid="{D5CDD505-2E9C-101B-9397-08002B2CF9AE}" pid="43" name="sectionsDepth">
    <vt:lpwstr>0</vt:lpwstr>
  </property>
  <property fmtid="{D5CDD505-2E9C-101B-9397-08002B2CF9AE}" pid="44" name="subfigGrid">
    <vt:lpwstr>False</vt:lpwstr>
  </property>
  <property fmtid="{D5CDD505-2E9C-101B-9397-08002B2CF9AE}" pid="45" name="subfigLabels">
    <vt:lpwstr>alpha a</vt:lpwstr>
  </property>
  <property fmtid="{D5CDD505-2E9C-101B-9397-08002B2CF9AE}" pid="46" name="subfigureChildTemplate">
    <vt:lpwstr>i</vt:lpwstr>
  </property>
  <property fmtid="{D5CDD505-2E9C-101B-9397-08002B2CF9AE}" pid="47" name="subfigureRefIndexTemplate">
    <vt:lpwstr>isuf (s)</vt:lpwstr>
  </property>
  <property fmtid="{D5CDD505-2E9C-101B-9397-08002B2CF9AE}" pid="48" name="subfigureTemplate">
    <vt:lpwstr>figureTitle ititleDelim t. ccs</vt:lpwstr>
  </property>
  <property fmtid="{D5CDD505-2E9C-101B-9397-08002B2CF9AE}" pid="49" name="tableEqns">
    <vt:lpwstr>False</vt:lpwstr>
  </property>
  <property fmtid="{D5CDD505-2E9C-101B-9397-08002B2CF9AE}" pid="50" name="tableTemplate">
    <vt:lpwstr>tableTitle ititleDelim t</vt:lpwstr>
  </property>
  <property fmtid="{D5CDD505-2E9C-101B-9397-08002B2CF9AE}" pid="51" name="tableTitle">
    <vt:lpwstr>Table</vt:lpwstr>
  </property>
  <property fmtid="{D5CDD505-2E9C-101B-9397-08002B2CF9AE}" pid="52" name="tblLabels">
    <vt:lpwstr>arabic</vt:lpwstr>
  </property>
  <property fmtid="{D5CDD505-2E9C-101B-9397-08002B2CF9AE}" pid="53" name="tblPrefix">
    <vt:lpwstr/>
  </property>
  <property fmtid="{D5CDD505-2E9C-101B-9397-08002B2CF9AE}" pid="54" name="tblPrefixTemplate">
    <vt:lpwstr>p i</vt:lpwstr>
  </property>
  <property fmtid="{D5CDD505-2E9C-101B-9397-08002B2CF9AE}" pid="55" name="titleDelim">
    <vt:lpwstr>:</vt:lpwstr>
  </property>
</Properties>
</file>