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47.png" ContentType="image/png"/>
  <Override PartName="/word/media/rId4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front-matte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Front matter</w: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</w:t>
      </w:r>
      <w:r>
        <w:t xml:space="preserve">Индивидуальный проект этап 5</w:t>
      </w:r>
      <w:r>
        <w:t xml:space="preserve">”</w:t>
      </w:r>
      <w:r>
        <w:t xml:space="preserve"> </w:t>
      </w:r>
      <w:r>
        <w:t xml:space="preserve">subtitle:</w:t>
      </w:r>
      <w:r>
        <w:t xml:space="preserve"> </w:t>
      </w:r>
      <w:r>
        <w:t xml:space="preserve">“</w:t>
      </w:r>
      <w:r>
        <w:t xml:space="preserve">Основы информационной безопасности</w:t>
      </w:r>
      <w:r>
        <w:t xml:space="preserve">”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Пинега Белла Александровна</w:t>
      </w:r>
      <w:r>
        <w:t xml:space="preserve">”</w:t>
      </w:r>
    </w:p>
    <w:bookmarkEnd w:id="20"/>
    <w:bookmarkStart w:id="21" w:name="generic-otions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Generic otions</w:t>
      </w:r>
    </w:p>
    <w:p>
      <w:pPr>
        <w:pStyle w:val="FirstParagraph"/>
      </w:pPr>
      <w:r>
        <w:t xml:space="preserve">lang: ru-RU</w:t>
      </w:r>
      <w:r>
        <w:t xml:space="preserve"> </w:t>
      </w:r>
      <w:r>
        <w:t xml:space="preserve">toc-title:</w:t>
      </w:r>
      <w:r>
        <w:t xml:space="preserve"> </w:t>
      </w:r>
      <w:r>
        <w:t xml:space="preserve">“</w:t>
      </w:r>
      <w:r>
        <w:t xml:space="preserve">Содержание</w:t>
      </w:r>
      <w:r>
        <w:t xml:space="preserve">”</w:t>
      </w:r>
    </w:p>
    <w:bookmarkEnd w:id="21"/>
    <w:bookmarkStart w:id="22" w:name="bibliography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Bibliography</w:t>
      </w:r>
    </w:p>
    <w:p>
      <w:pPr>
        <w:pStyle w:val="FirstParagraph"/>
      </w:pPr>
      <w:r>
        <w:t xml:space="preserve">bibliography: bib/cite.bib</w:t>
      </w:r>
      <w:r>
        <w:t xml:space="preserve"> </w:t>
      </w:r>
      <w:r>
        <w:t xml:space="preserve">csl: pandoc/csl/gost-r-7-0-5-2008-numeric.csl</w:t>
      </w:r>
    </w:p>
    <w:bookmarkEnd w:id="22"/>
    <w:bookmarkStart w:id="25" w:name="pdf-output-format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t xml:space="preserve">Pdf output format</w:t>
      </w:r>
    </w:p>
    <w:p>
      <w:pPr>
        <w:pStyle w:val="FirstParagraph"/>
      </w:pPr>
      <w:r>
        <w:t xml:space="preserve">toc: true # Table of contents</w:t>
      </w:r>
      <w:r>
        <w:t xml:space="preserve"> </w:t>
      </w:r>
      <w:r>
        <w:t xml:space="preserve">toc-depth: 2</w:t>
      </w:r>
      <w:r>
        <w:t xml:space="preserve"> </w:t>
      </w:r>
      <w:r>
        <w:t xml:space="preserve">lof: true # List of figures</w:t>
      </w:r>
      <w:r>
        <w:t xml:space="preserve"> </w:t>
      </w:r>
      <w:r>
        <w:t xml:space="preserve">lot: true # List of tables</w:t>
      </w:r>
      <w:r>
        <w:t xml:space="preserve"> </w:t>
      </w:r>
      <w:r>
        <w:t xml:space="preserve">fontsize: 12pt</w:t>
      </w:r>
      <w:r>
        <w:t xml:space="preserve"> </w:t>
      </w:r>
      <w:r>
        <w:t xml:space="preserve">linestretch: 1.5</w:t>
      </w:r>
      <w:r>
        <w:t xml:space="preserve"> </w:t>
      </w:r>
      <w:r>
        <w:t xml:space="preserve">papersize: a4</w:t>
      </w:r>
      <w:r>
        <w:t xml:space="preserve"> </w:t>
      </w:r>
      <w:r>
        <w:t xml:space="preserve">documentclass: scrreprt</w:t>
      </w:r>
      <w:r>
        <w:t xml:space="preserve"> </w:t>
      </w:r>
      <w:r>
        <w:t xml:space="preserve">## I18n polyglossia</w:t>
      </w:r>
      <w:r>
        <w:t xml:space="preserve"> </w:t>
      </w:r>
      <w:r>
        <w:t xml:space="preserve">polyglossia-lang:</w:t>
      </w:r>
      <w:r>
        <w:t xml:space="preserve"> </w:t>
      </w:r>
      <w:r>
        <w:t xml:space="preserve">name: russian</w:t>
      </w:r>
      <w:r>
        <w:t xml:space="preserve"> </w:t>
      </w:r>
      <w:r>
        <w:t xml:space="preserve">options:</w:t>
      </w:r>
      <w:r>
        <w:t xml:space="preserve"> </w:t>
      </w:r>
      <w:r>
        <w:t xml:space="preserve">- spelling=modern</w:t>
      </w:r>
      <w:r>
        <w:t xml:space="preserve"> </w:t>
      </w:r>
      <w:r>
        <w:t xml:space="preserve">- babelshorthands=true</w:t>
      </w:r>
      <w:r>
        <w:t xml:space="preserve"> </w:t>
      </w:r>
      <w:r>
        <w:t xml:space="preserve">polyglossia-otherlangs:</w:t>
      </w:r>
      <w:r>
        <w:t xml:space="preserve"> </w:t>
      </w:r>
      <w:r>
        <w:t xml:space="preserve">name: english</w:t>
      </w:r>
      <w:r>
        <w:t xml:space="preserve"> </w:t>
      </w:r>
      <w:r>
        <w:t xml:space="preserve">## I18n babel</w:t>
      </w:r>
      <w:r>
        <w:t xml:space="preserve"> </w:t>
      </w:r>
      <w:r>
        <w:t xml:space="preserve">babel-lang: russian</w:t>
      </w:r>
      <w:r>
        <w:t xml:space="preserve"> </w:t>
      </w:r>
      <w:r>
        <w:t xml:space="preserve">babel-otherlangs: english</w:t>
      </w:r>
      <w:r>
        <w:t xml:space="preserve"> </w:t>
      </w:r>
      <w:r>
        <w:t xml:space="preserve">## Fonts</w:t>
      </w:r>
      <w:r>
        <w:t xml:space="preserve"> </w:t>
      </w:r>
      <w:r>
        <w:t xml:space="preserve">mainfont: PT Serif</w:t>
      </w:r>
      <w:r>
        <w:t xml:space="preserve"> </w:t>
      </w:r>
      <w:r>
        <w:t xml:space="preserve">romanfont: PT Serif</w:t>
      </w:r>
      <w:r>
        <w:t xml:space="preserve"> </w:t>
      </w:r>
      <w:r>
        <w:t xml:space="preserve">sansfont: PT Sans</w:t>
      </w:r>
      <w:r>
        <w:t xml:space="preserve"> </w:t>
      </w:r>
      <w:r>
        <w:t xml:space="preserve">monofont: PT Mono</w:t>
      </w:r>
      <w:r>
        <w:t xml:space="preserve"> </w:t>
      </w:r>
      <w:r>
        <w:t xml:space="preserve">mainfontoptions: Ligatures=TeX</w:t>
      </w:r>
      <w:r>
        <w:t xml:space="preserve"> </w:t>
      </w:r>
      <w:r>
        <w:t xml:space="preserve">romanfontoptions: Ligatures=TeX</w:t>
      </w:r>
      <w:r>
        <w:t xml:space="preserve"> </w:t>
      </w:r>
      <w:r>
        <w:t xml:space="preserve">sansfontoptions: Ligatures=TeX,Scale=MatchLowercase</w:t>
      </w:r>
      <w:r>
        <w:t xml:space="preserve"> </w:t>
      </w:r>
      <w:r>
        <w:t xml:space="preserve">monofontoptions: Scale=MatchLowercase,Scale=0.9</w:t>
      </w:r>
      <w:r>
        <w:t xml:space="preserve"> </w:t>
      </w:r>
      <w:r>
        <w:t xml:space="preserve">## Biblatex</w:t>
      </w:r>
      <w:r>
        <w:t xml:space="preserve"> </w:t>
      </w:r>
      <w:r>
        <w:t xml:space="preserve">biblatex: true</w:t>
      </w:r>
      <w:r>
        <w:t xml:space="preserve"> </w:t>
      </w:r>
      <w:r>
        <w:t xml:space="preserve">biblio-style:</w:t>
      </w:r>
      <w:r>
        <w:t xml:space="preserve"> </w:t>
      </w:r>
      <w:r>
        <w:t xml:space="preserve">“</w:t>
      </w:r>
      <w:r>
        <w:t xml:space="preserve">gost-numeric</w:t>
      </w:r>
      <w:r>
        <w:t xml:space="preserve">”</w:t>
      </w:r>
      <w:r>
        <w:t xml:space="preserve"> </w:t>
      </w:r>
      <w:r>
        <w:t xml:space="preserve">biblatexoptions:</w:t>
      </w:r>
      <w:r>
        <w:t xml:space="preserve"> </w:t>
      </w:r>
      <w:r>
        <w:t xml:space="preserve">- parentracker=true</w:t>
      </w:r>
      <w:r>
        <w:t xml:space="preserve"> </w:t>
      </w:r>
      <w:r>
        <w:t xml:space="preserve">- backend=biber</w:t>
      </w:r>
      <w:r>
        <w:t xml:space="preserve"> </w:t>
      </w:r>
      <w:r>
        <w:t xml:space="preserve">- hyperref=auto</w:t>
      </w:r>
      <w:r>
        <w:t xml:space="preserve"> </w:t>
      </w:r>
      <w:r>
        <w:t xml:space="preserve">- language=auto</w:t>
      </w:r>
      <w:r>
        <w:t xml:space="preserve"> </w:t>
      </w:r>
      <w:r>
        <w:t xml:space="preserve">- autolang=other*</w:t>
      </w:r>
      <w:r>
        <w:t xml:space="preserve"> </w:t>
      </w:r>
      <w:r>
        <w:t xml:space="preserve">- citestyle=gost-numeric</w:t>
      </w:r>
      <w:r>
        <w:t xml:space="preserve"> </w:t>
      </w:r>
      <w:r>
        <w:t xml:space="preserve">## Pandoc-crossref LaTeX customization</w:t>
      </w:r>
      <w:r>
        <w:t xml:space="preserve"> </w:t>
      </w:r>
      <w:r>
        <w:t xml:space="preserve">figureTitle:</w:t>
      </w:r>
      <w:r>
        <w:t xml:space="preserve"> </w:t>
      </w:r>
      <w:r>
        <w:t xml:space="preserve">“</w:t>
      </w:r>
      <w:r>
        <w:t xml:space="preserve">Рис.</w:t>
      </w:r>
      <w:r>
        <w:t xml:space="preserve">”</w:t>
      </w:r>
      <w:r>
        <w:t xml:space="preserve"> </w:t>
      </w:r>
      <w:r>
        <w:t xml:space="preserve">tableTitle:</w:t>
      </w:r>
      <w:r>
        <w:t xml:space="preserve"> </w:t>
      </w:r>
      <w:r>
        <w:t xml:space="preserve">“</w:t>
      </w:r>
      <w:r>
        <w:t xml:space="preserve">Таблица</w:t>
      </w:r>
      <w:r>
        <w:t xml:space="preserve">”</w:t>
      </w:r>
      <w:r>
        <w:t xml:space="preserve"> </w:t>
      </w:r>
      <w:r>
        <w:t xml:space="preserve">listingTitle:</w:t>
      </w:r>
      <w:r>
        <w:t xml:space="preserve"> </w:t>
      </w:r>
      <w:r>
        <w:t xml:space="preserve">“</w:t>
      </w:r>
      <w:r>
        <w:t xml:space="preserve">Листинг</w:t>
      </w:r>
      <w:r>
        <w:t xml:space="preserve">”</w:t>
      </w:r>
      <w:r>
        <w:t xml:space="preserve"> </w:t>
      </w:r>
      <w:r>
        <w:t xml:space="preserve">lofTitle:</w:t>
      </w:r>
      <w:r>
        <w:t xml:space="preserve"> </w:t>
      </w:r>
      <w:r>
        <w:t xml:space="preserve">“</w:t>
      </w:r>
      <w:r>
        <w:t xml:space="preserve">Список иллюстраций</w:t>
      </w:r>
      <w:r>
        <w:t xml:space="preserve">”</w:t>
      </w:r>
      <w:r>
        <w:t xml:space="preserve"> </w:t>
      </w:r>
      <w:r>
        <w:t xml:space="preserve">lotTitle:</w:t>
      </w:r>
      <w:r>
        <w:t xml:space="preserve"> </w:t>
      </w:r>
      <w:r>
        <w:t xml:space="preserve">“</w:t>
      </w:r>
      <w:r>
        <w:t xml:space="preserve">Список таблиц</w:t>
      </w:r>
      <w:r>
        <w:t xml:space="preserve">”</w:t>
      </w:r>
      <w:r>
        <w:t xml:space="preserve"> </w:t>
      </w:r>
      <w:r>
        <w:t xml:space="preserve">lolTitle:</w:t>
      </w:r>
      <w:r>
        <w:t xml:space="preserve"> </w:t>
      </w:r>
      <w:r>
        <w:t xml:space="preserve">“</w:t>
      </w:r>
      <w:r>
        <w:t xml:space="preserve">Листинги</w:t>
      </w:r>
      <w:r>
        <w:t xml:space="preserve">”</w:t>
      </w:r>
      <w:r>
        <w:t xml:space="preserve"> </w:t>
      </w:r>
      <w:r>
        <w:t xml:space="preserve">## Misc options</w:t>
      </w:r>
      <w:r>
        <w:t xml:space="preserve"> </w:t>
      </w:r>
      <w:r>
        <w:t xml:space="preserve">indent: true</w:t>
      </w:r>
      <w:r>
        <w:t xml:space="preserve"> </w:t>
      </w:r>
      <w:r>
        <w:t xml:space="preserve">header-includes:</w:t>
      </w:r>
      <w:r>
        <w:t xml:space="preserve"> </w:t>
      </w:r>
      <w:r>
        <w:t xml:space="preserve">-</w:t>
      </w:r>
    </w:p>
    <w:p>
      <w:pPr>
        <w:numPr>
          <w:ilvl w:val="0"/>
          <w:numId w:val="1000"/>
        </w:numPr>
        <w:pStyle w:val="Heading1"/>
      </w:pPr>
      <w:bookmarkStart w:id="23" w:name="keep-figures-where-there-are-in-the-text"/>
      <w:r>
        <w:t xml:space="preserve">keep figures where there are in the text</w:t>
      </w:r>
      <w:bookmarkEnd w:id="23"/>
    </w:p>
    <w:p>
      <w:pPr>
        <w:numPr>
          <w:ilvl w:val="1"/>
          <w:numId w:val="1002"/>
        </w:numPr>
        <w:pStyle w:val="Heading2"/>
      </w:pPr>
      <w:bookmarkStart w:id="24" w:name="X94ea5b1a9ad1db96c8ed73c19fcaa297f45e42d"/>
      <w:r>
        <w:t xml:space="preserve"> </w:t>
      </w:r>
      <w:r>
        <w:t xml:space="preserve"># keep figures where there are in the text</w:t>
      </w:r>
      <w:bookmarkEnd w:id="24"/>
    </w:p>
    <w:bookmarkEnd w:id="25"/>
    <w:bookmarkStart w:id="26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основным способам тестирования веб приложений</w:t>
      </w:r>
    </w:p>
    <w:bookmarkEnd w:id="26"/>
    <w:bookmarkStart w:id="27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Burp Suite представляет собой набор мощных инструментов безопасности веб-приложений, которые демонстрируют реальные возможности злоумышленника, проникающего в веб-приложения</w:t>
      </w:r>
    </w:p>
    <w:bookmarkEnd w:id="27"/>
    <w:bookmarkStart w:id="28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Ищутся уязвимости в специально предназначенном для этого веб приложении под названием Damn Vulnerable Web Application (DVWA).</w:t>
      </w:r>
      <w:r>
        <w:t xml:space="preserve"> </w:t>
      </w:r>
      <w:r>
        <w:t xml:space="preserve">Назначение DVWA — попрактиковаться в некоторых самых распространённых веб уязвимостях.</w:t>
      </w:r>
      <w:r>
        <w:t xml:space="preserve"> </w:t>
      </w:r>
      <w:r>
        <w:t xml:space="preserve">Предлагается попробовать и обнаружить так много уязвимостей, как сможете.</w:t>
      </w:r>
    </w:p>
    <w:bookmarkEnd w:id="28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Скачаем Burp Suite</w:t>
      </w:r>
      <w:r>
        <w:t xml:space="preserve"> </w:t>
      </w:r>
      <w:bookmarkStart w:id="30" w:name="fig:001"/>
      <w:r>
        <w:drawing>
          <wp:inline>
            <wp:extent cx="5334000" cy="3000116"/>
            <wp:effectExtent b="0" l="0" r="0" t="0"/>
            <wp:docPr descr="рис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3"/>
        </w:numPr>
        <w:pStyle w:val="Compact"/>
      </w:pPr>
      <w:r>
        <w:t xml:space="preserve">Устанавливаем при помощи терминала</w:t>
      </w:r>
      <w:r>
        <w:t xml:space="preserve"> </w:t>
      </w:r>
      <w:bookmarkStart w:id="32" w:name="fig:002"/>
      <w:r>
        <w:drawing>
          <wp:inline>
            <wp:extent cx="5334000" cy="994981"/>
            <wp:effectExtent b="0" l="0" r="0" t="0"/>
            <wp:docPr descr="рис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4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3"/>
        </w:numPr>
        <w:pStyle w:val="Compact"/>
      </w:pPr>
      <w:r>
        <w:t xml:space="preserve">У нас открываются окна</w:t>
      </w:r>
      <w:r>
        <w:t xml:space="preserve"> </w:t>
      </w:r>
      <w:bookmarkStart w:id="34" w:name="fig:003"/>
      <w:r>
        <w:drawing>
          <wp:inline>
            <wp:extent cx="5072513" cy="4100362"/>
            <wp:effectExtent b="0" l="0" r="0" t="0"/>
            <wp:docPr descr="рис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410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  <w:r>
        <w:t xml:space="preserve"> </w:t>
      </w:r>
      <w:bookmarkStart w:id="36" w:name="fig:004"/>
      <w:r>
        <w:drawing>
          <wp:inline>
            <wp:extent cx="5053263" cy="4196614"/>
            <wp:effectExtent b="0" l="0" r="0" t="0"/>
            <wp:docPr descr="рис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419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38" w:name="fig:005"/>
      <w:r>
        <w:drawing>
          <wp:inline>
            <wp:extent cx="5005136" cy="4109987"/>
            <wp:effectExtent b="0" l="0" r="0" t="0"/>
            <wp:docPr descr="рис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4109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bookmarkStart w:id="40" w:name="fig:006"/>
      <w:r>
        <w:drawing>
          <wp:inline>
            <wp:extent cx="5334000" cy="4139927"/>
            <wp:effectExtent b="0" l="0" r="0" t="0"/>
            <wp:docPr descr="рис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9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bookmarkStart w:id="42" w:name="fig:007"/>
      <w:r>
        <w:drawing>
          <wp:inline>
            <wp:extent cx="5334000" cy="4169433"/>
            <wp:effectExtent b="0" l="0" r="0" t="0"/>
            <wp:docPr descr="рис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9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  <w:r>
        <w:t xml:space="preserve"> </w:t>
      </w:r>
      <w:bookmarkStart w:id="44" w:name="fig:008"/>
      <w:r>
        <w:drawing>
          <wp:inline>
            <wp:extent cx="5334000" cy="4174123"/>
            <wp:effectExtent b="0" l="0" r="0" t="0"/>
            <wp:docPr descr="рис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4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3"/>
        </w:numPr>
        <w:pStyle w:val="Compact"/>
      </w:pPr>
      <w:r>
        <w:t xml:space="preserve">Теперь мы можем им успешно пользоваться</w:t>
      </w:r>
      <w:r>
        <w:t xml:space="preserve"> </w:t>
      </w:r>
      <w:bookmarkStart w:id="46" w:name="fig:009"/>
      <w:r>
        <w:drawing>
          <wp:inline>
            <wp:extent cx="5334000" cy="2976962"/>
            <wp:effectExtent b="0" l="0" r="0" t="0"/>
            <wp:docPr descr="рис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  <w:r>
        <w:t xml:space="preserve"> </w:t>
      </w:r>
      <w:r>
        <w:t xml:space="preserve">Как мы вилдим Burp Suite предлагает много опций и возможностей</w:t>
      </w:r>
      <w:r>
        <w:t xml:space="preserve"> </w:t>
      </w:r>
      <w:bookmarkStart w:id="48" w:name="fig:010"/>
      <w:r>
        <w:drawing>
          <wp:inline>
            <wp:extent cx="5334000" cy="3023373"/>
            <wp:effectExtent b="0" l="0" r="0" t="0"/>
            <wp:docPr descr="рис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3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 </w:t>
      </w:r>
      <w:bookmarkStart w:id="50" w:name="fig:011"/>
      <w:r>
        <w:drawing>
          <wp:inline>
            <wp:extent cx="5334000" cy="3528825"/>
            <wp:effectExtent b="0" l="0" r="0" t="0"/>
            <wp:docPr descr="рис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bookmarkEnd w:id="51"/>
    <w:bookmarkStart w:id="5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установила Burp Suite в виртуальную машину и воспользовалась им.</w:t>
      </w:r>
      <w:r>
        <w:t xml:space="preserve"> </w:t>
      </w:r>
      <w:r>
        <w:t xml:space="preserve"># Список литературы{.unnumbered}</w:t>
      </w:r>
    </w:p>
    <w:bookmarkStart w:id="52" w:name="refs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2024-03-10T15:58:31Z</dcterms:created>
  <dcterms:modified xsi:type="dcterms:W3CDTF">2024-03-10T15:58:31Z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figLabels">
    <vt:lpwstr>arabic</vt:lpwstr>
  </property>
  <property fmtid="{D5CDD505-2E9C-101B-9397-08002B2CF9AE}" pid="17" name="figPrefix">
    <vt:lpwstr/>
  </property>
  <property fmtid="{D5CDD505-2E9C-101B-9397-08002B2CF9AE}" pid="18" name="figPrefixTemplate">
    <vt:lpwstr>p i</vt:lpwstr>
  </property>
  <property fmtid="{D5CDD505-2E9C-101B-9397-08002B2CF9AE}" pid="19" name="figureTemplate">
    <vt:lpwstr>figureTitle ititleDelim t</vt:lpwstr>
  </property>
  <property fmtid="{D5CDD505-2E9C-101B-9397-08002B2CF9AE}" pid="20" name="figureTitle">
    <vt:lpwstr>Figure</vt:lpwstr>
  </property>
  <property fmtid="{D5CDD505-2E9C-101B-9397-08002B2CF9AE}" pid="21" name="lastDelim">
    <vt:lpwstr>, </vt:lpwstr>
  </property>
  <property fmtid="{D5CDD505-2E9C-101B-9397-08002B2CF9AE}" pid="22" name="linkReferences">
    <vt:lpwstr>False</vt:lpwstr>
  </property>
  <property fmtid="{D5CDD505-2E9C-101B-9397-08002B2CF9AE}" pid="23" name="listingTemplate">
    <vt:lpwstr>listingTitle ititleDelim t</vt:lpwstr>
  </property>
  <property fmtid="{D5CDD505-2E9C-101B-9397-08002B2CF9AE}" pid="24" name="listingTitle">
    <vt:lpwstr>Listing</vt:lpwstr>
  </property>
  <property fmtid="{D5CDD505-2E9C-101B-9397-08002B2CF9AE}" pid="25" name="listings">
    <vt:lpwstr>False</vt:lpwstr>
  </property>
  <property fmtid="{D5CDD505-2E9C-101B-9397-08002B2CF9AE}" pid="26" name="lofTitle">
    <vt:lpwstr>List of Figures</vt:lpwstr>
  </property>
  <property fmtid="{D5CDD505-2E9C-101B-9397-08002B2CF9AE}" pid="27" name="lolTitle">
    <vt:lpwstr>List of Listings</vt:lpwstr>
  </property>
  <property fmtid="{D5CDD505-2E9C-101B-9397-08002B2CF9AE}" pid="28" name="lotTitle">
    <vt:lpwstr>List of Tables</vt:lpwstr>
  </property>
  <property fmtid="{D5CDD505-2E9C-101B-9397-08002B2CF9AE}" pid="29" name="lstLabels">
    <vt:lpwstr>arabic</vt:lpwstr>
  </property>
  <property fmtid="{D5CDD505-2E9C-101B-9397-08002B2CF9AE}" pid="30" name="lstPrefix">
    <vt:lpwstr/>
  </property>
  <property fmtid="{D5CDD505-2E9C-101B-9397-08002B2CF9AE}" pid="31" name="lstPrefixTemplate">
    <vt:lpwstr>p i</vt:lpwstr>
  </property>
  <property fmtid="{D5CDD505-2E9C-101B-9397-08002B2CF9AE}" pid="32" name="nameInLink">
    <vt:lpwstr>False</vt:lpwstr>
  </property>
  <property fmtid="{D5CDD505-2E9C-101B-9397-08002B2CF9AE}" pid="33" name="numberSections">
    <vt:lpwstr>False</vt:lpwstr>
  </property>
  <property fmtid="{D5CDD505-2E9C-101B-9397-08002B2CF9AE}" pid="34" name="pairDelim">
    <vt:lpwstr>, </vt:lpwstr>
  </property>
  <property fmtid="{D5CDD505-2E9C-101B-9397-08002B2CF9AE}" pid="35" name="rangeDelim">
    <vt:lpwstr>-</vt:lpwstr>
  </property>
  <property fmtid="{D5CDD505-2E9C-101B-9397-08002B2CF9AE}" pid="36" name="refDelim">
    <vt:lpwstr>, </vt:lpwstr>
  </property>
  <property fmtid="{D5CDD505-2E9C-101B-9397-08002B2CF9AE}" pid="37" name="refIndexTemplate">
    <vt:lpwstr>isuf</vt:lpwstr>
  </property>
  <property fmtid="{D5CDD505-2E9C-101B-9397-08002B2CF9AE}" pid="38" name="secHeaderDelim">
    <vt:lpwstr> </vt:lpwstr>
  </property>
  <property fmtid="{D5CDD505-2E9C-101B-9397-08002B2CF9AE}" pid="39" name="secHeaderTemplate">
    <vt:lpwstr>isecHeaderDelim[n]t</vt:lpwstr>
  </property>
  <property fmtid="{D5CDD505-2E9C-101B-9397-08002B2CF9AE}" pid="40" name="secLabels">
    <vt:lpwstr>arabic</vt:lpwstr>
  </property>
  <property fmtid="{D5CDD505-2E9C-101B-9397-08002B2CF9AE}" pid="41" name="secPrefix">
    <vt:lpwstr/>
  </property>
  <property fmtid="{D5CDD505-2E9C-101B-9397-08002B2CF9AE}" pid="42" name="secPrefixTemplate">
    <vt:lpwstr>p i</vt:lpwstr>
  </property>
  <property fmtid="{D5CDD505-2E9C-101B-9397-08002B2CF9AE}" pid="43" name="sectionsDepth">
    <vt:lpwstr>0</vt:lpwstr>
  </property>
  <property fmtid="{D5CDD505-2E9C-101B-9397-08002B2CF9AE}" pid="44" name="subfigGrid">
    <vt:lpwstr>False</vt:lpwstr>
  </property>
  <property fmtid="{D5CDD505-2E9C-101B-9397-08002B2CF9AE}" pid="45" name="subfigLabels">
    <vt:lpwstr>alpha a</vt:lpwstr>
  </property>
  <property fmtid="{D5CDD505-2E9C-101B-9397-08002B2CF9AE}" pid="46" name="subfigureChildTemplate">
    <vt:lpwstr>i</vt:lpwstr>
  </property>
  <property fmtid="{D5CDD505-2E9C-101B-9397-08002B2CF9AE}" pid="47" name="subfigureRefIndexTemplate">
    <vt:lpwstr>isuf (s)</vt:lpwstr>
  </property>
  <property fmtid="{D5CDD505-2E9C-101B-9397-08002B2CF9AE}" pid="48" name="subfigureTemplate">
    <vt:lpwstr>figureTitle ititleDelim t. ccs</vt:lpwstr>
  </property>
  <property fmtid="{D5CDD505-2E9C-101B-9397-08002B2CF9AE}" pid="49" name="tableEqns">
    <vt:lpwstr>False</vt:lpwstr>
  </property>
  <property fmtid="{D5CDD505-2E9C-101B-9397-08002B2CF9AE}" pid="50" name="tableTemplate">
    <vt:lpwstr>tableTitle ititleDelim t</vt:lpwstr>
  </property>
  <property fmtid="{D5CDD505-2E9C-101B-9397-08002B2CF9AE}" pid="51" name="tableTitle">
    <vt:lpwstr>Table</vt:lpwstr>
  </property>
  <property fmtid="{D5CDD505-2E9C-101B-9397-08002B2CF9AE}" pid="52" name="tblLabels">
    <vt:lpwstr>arabic</vt:lpwstr>
  </property>
  <property fmtid="{D5CDD505-2E9C-101B-9397-08002B2CF9AE}" pid="53" name="tblPrefix">
    <vt:lpwstr/>
  </property>
  <property fmtid="{D5CDD505-2E9C-101B-9397-08002B2CF9AE}" pid="54" name="tblPrefixTemplate">
    <vt:lpwstr>p i</vt:lpwstr>
  </property>
  <property fmtid="{D5CDD505-2E9C-101B-9397-08002B2CF9AE}" pid="55" name="titleDelim">
    <vt:lpwstr>:</vt:lpwstr>
  </property>
</Properties>
</file>