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±5 % (adjustable), because the header value drifts a few % from night to night.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0.9.139 beta</dc:description>
  <cp:lastModifiedBy>Un-named</cp:lastModifiedBy>
  <cp:revision>1</cp:revision>
  <dcterms:created xsi:type="dcterms:W3CDTF">2026-10-27T02:37:47.159Z</dcterms:created>
  <dcterms:modified xsi:type="dcterms:W3CDTF">2026-10-27T02:37:47.161Z</dcterms:modified>
</cp:coreProperties>
</file>

<file path=docProps/custom.xml><?xml version="1.0" encoding="utf-8"?>
<Properties xmlns="http://schemas.openxmlformats.org/officeDocument/2006/custom-properties" xmlns:vt="http://schemas.openxmlformats.org/officeDocument/2006/docPropsVTypes"/>
</file>