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D1B3E"/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il" w:color="0D1B3E" w:sz="0"/>
              <w:left w:val="nil" w:color="0D1B3E" w:sz="0"/>
              <w:bottom w:val="nil" w:color="0D1B3E" w:sz="0"/>
              <w:right w:val="nil" w:color="0D1B3E" w:sz="0"/>
            </w:tcBorders>
            <w:shd w:fill="0D1B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EVO INCUBATEUR</w:t>
            </w:r>
          </w:p>
          <w:p>
            <w:pPr>
              <w:spacing w:after="140" w:before="0"/>
            </w:pPr>
            <w:r>
              <w:rPr>
                <w:rFonts w:ascii="Georgia" w:cs="Georgia" w:eastAsia="Georgia" w:hAnsi="Georgia"/>
                <w:color w:val="FFFFFF"/>
                <w:sz w:val="44"/>
                <w:szCs w:val="44"/>
              </w:rPr>
              <w:t xml:space="preserve">La charte du client idéal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8FB8"/>
                <w:sz w:val="18"/>
                <w:szCs w:val="18"/>
              </w:rPr>
              <w:t xml:space="preserve">Avant de commencer, lis ça attentivement. Ce n’est pas un contrat — c’est un état d’esprit.</w:t>
            </w:r>
          </w:p>
        </w:tc>
      </w:tr>
      <w:tr>
        <w:tc>
          <w:tcPr>
            <w:tcW w:type="dxa" w:w="9906"/>
            <w:tcBorders>
              <w:top w:val="nil" w:color="0D1B3E" w:sz="0"/>
              <w:left w:val="nil" w:color="0D1B3E" w:sz="0"/>
              <w:bottom w:val="nil" w:color="0D1B3E" w:sz="0"/>
              <w:right w:val="nil" w:color="0D1B3E" w:sz="0"/>
            </w:tcBorders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6" w:before="36"/>
            </w:pPr>
            <w:r>
              <w:t xml:space="preserve"/>
            </w:r>
          </w:p>
        </w:tc>
      </w:tr>
      <w:tr>
        <w:tc>
          <w:tcPr>
            <w:tcW w:type="dxa" w:w="9906"/>
            <w:tcBorders>
              <w:top w:val="nil" w:color="0D1B3E" w:sz="0"/>
              <w:left w:val="nil" w:color="0D1B3E" w:sz="0"/>
              <w:bottom w:val="nil" w:color="0D1B3E" w:sz="0"/>
              <w:right w:val="nil" w:color="0D1B3E" w:sz="0"/>
            </w:tcBorders>
            <w:shd w:fill="0D1B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60"/>
            </w:pPr>
            <w:r>
              <w:t xml:space="preserve"/>
            </w:r>
          </w:p>
        </w:tc>
      </w:tr>
      <w:tr>
        <w:tc>
          <w:tcPr>
            <w:tcW w:type="dxa" w:w="9906"/>
            <w:tcBorders>
              <w:top w:val="nil" w:color="0D1B3E" w:sz="0"/>
              <w:left w:val="nil" w:color="0D1B3E" w:sz="0"/>
              <w:bottom w:val="single" w:color="C9A84C" w:sz="2"/>
              <w:right w:val="nil" w:color="0D1B3E" w:sz="0"/>
            </w:tcBorders>
            <w:shd w:fill="0D1B3E" w:val="clear"/>
            <w:tcMar>
              <w:top w:type="dxa" w:w="0"/>
              <w:left w:type="dxa" w:w="0"/>
              <w:bottom w:type="dxa" w:w="80"/>
              <w:right w:type="dxa" w:w="0"/>
            </w:tcMar>
          </w:tcPr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"/>
              <w:gridCol w:w="4200"/>
              <w:gridCol w:w="5146"/>
            </w:tblGrid>
            <w:tr>
              <w:tc>
                <w:tcPr>
                  <w:tcW w:type="dxa" w:w="560"/>
                  <w:tcBorders>
                    <w:top w:val="nil" w:color="0D1B3E" w:sz="0"/>
                    <w:left w:val="nil" w:color="0D1B3E" w:sz="0"/>
                    <w:bottom w:val="nil" w:color="0D1B3E" w:sz="0"/>
                    <w:right w:val="nil" w:color="0D1B3E" w:sz="0"/>
                  </w:tcBorders>
                  <w:shd w:fill="0D1B3E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15"/>
                      <w:szCs w:val="15"/>
                    </w:rPr>
                    <w:t xml:space="preserve">#</w:t>
                  </w:r>
                </w:p>
              </w:tc>
              <w:tc>
                <w:tcPr>
                  <w:tcW w:type="dxa" w:w="4200"/>
                  <w:tcBorders>
                    <w:top w:val="nil" w:color="0D1B3E" w:sz="0"/>
                    <w:left w:val="nil" w:color="0D1B3E" w:sz="0"/>
                    <w:bottom w:val="nil" w:color="0D1B3E" w:sz="0"/>
                    <w:right w:val="nil" w:color="0D1B3E" w:sz="0"/>
                  </w:tcBorders>
                  <w:shd w:fill="0D1B3E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15"/>
                      <w:szCs w:val="15"/>
                    </w:rPr>
                    <w:t xml:space="preserve">RÈGLE</w:t>
                  </w:r>
                </w:p>
              </w:tc>
              <w:tc>
                <w:tcPr>
                  <w:tcW w:type="dxa" w:w="5146"/>
                  <w:tcBorders>
                    <w:top w:val="nil" w:color="0D1B3E" w:sz="0"/>
                    <w:left w:val="nil" w:color="0D1B3E" w:sz="0"/>
                    <w:bottom w:val="nil" w:color="0D1B3E" w:sz="0"/>
                    <w:right w:val="nil" w:color="0D1B3E" w:sz="0"/>
                  </w:tcBorders>
                  <w:shd w:fill="0D1B3E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15"/>
                      <w:szCs w:val="15"/>
                    </w:rPr>
                    <w:t xml:space="preserve">POURQUOI</w:t>
                  </w:r>
                </w:p>
              </w:tc>
            </w:tr>
          </w:tbl>
          <w:p/>
        </w:tc>
      </w:tr>
      <w:tr>
        <w:tc>
          <w:tcPr>
            <w:tcW w:type="dxa" w:w="9906"/>
            <w:tcBorders>
              <w:top w:val="nil" w:color="0D1B3E" w:sz="0"/>
              <w:left w:val="nil" w:color="0D1B3E" w:sz="0"/>
              <w:bottom w:val="nil" w:color="0D1B3E" w:sz="0"/>
              <w:right w:val="nil" w:color="0D1B3E" w:sz="0"/>
            </w:tcBorders>
            <w:shd w:fill="0D1B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"/>
              <w:gridCol w:w="4200"/>
              <w:gridCol w:w="5146"/>
            </w:tblGrid>
            <w:tr>
              <w:tc>
                <w:tcPr>
                  <w:tcW w:type="dxa" w:w="56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i/>
                      <w:iCs/>
                      <w:color w:val="C9A84C"/>
                      <w:sz w:val="18"/>
                      <w:szCs w:val="18"/>
                    </w:rPr>
                    <w:t xml:space="preserve">01</w:t>
                  </w:r>
                </w:p>
              </w:tc>
              <w:tc>
                <w:tcPr>
                  <w:tcW w:type="dxa" w:w="420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28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Tu passes à l'action avant d'avoir tout compris</w:t>
                  </w:r>
                </w:p>
              </w:tc>
              <w:tc>
                <w:tcPr>
                  <w:tcW w:type="dxa" w:w="5146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7A8FB8"/>
                      <w:sz w:val="17"/>
                      <w:szCs w:val="17"/>
                    </w:rPr>
                    <w:t xml:space="preserve">L'attente de la condition parfaite est le premier ennemi de la progression. Tu avances avec ce que tu as, tu ajustes en chemin.</w:t>
                  </w:r>
                </w:p>
              </w:tc>
            </w:tr>
            <w:tr>
              <w:tc>
                <w:tcPr>
                  <w:tcW w:type="dxa" w:w="56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i/>
                      <w:iCs/>
                      <w:color w:val="C9A84C"/>
                      <w:sz w:val="18"/>
                      <w:szCs w:val="18"/>
                    </w:rPr>
                    <w:t xml:space="preserve">02</w:t>
                  </w:r>
                </w:p>
              </w:tc>
              <w:tc>
                <w:tcPr>
                  <w:tcW w:type="dxa" w:w="420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28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Tu es seul responsable de tes résultats</w:t>
                  </w:r>
                </w:p>
              </w:tc>
              <w:tc>
                <w:tcPr>
                  <w:tcW w:type="dxa" w:w="5146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7A8FB8"/>
                      <w:sz w:val="17"/>
                      <w:szCs w:val="17"/>
                    </w:rPr>
                    <w:t xml:space="preserve">EVO t'apporte la méthode, les outils et l'environnement. Ce qui arrive à ton activité, c'est ton fait — pas le nôtre.</w:t>
                  </w:r>
                </w:p>
              </w:tc>
            </w:tr>
            <w:tr>
              <w:tc>
                <w:tcPr>
                  <w:tcW w:type="dxa" w:w="56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i/>
                      <w:iCs/>
                      <w:color w:val="C9A84C"/>
                      <w:sz w:val="18"/>
                      <w:szCs w:val="18"/>
                    </w:rPr>
                    <w:t xml:space="preserve">03</w:t>
                  </w:r>
                </w:p>
              </w:tc>
              <w:tc>
                <w:tcPr>
                  <w:tcW w:type="dxa" w:w="420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28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Tu joues sur du long terme</w:t>
                  </w:r>
                </w:p>
              </w:tc>
              <w:tc>
                <w:tcPr>
                  <w:tcW w:type="dxa" w:w="5146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7A8FB8"/>
                      <w:sz w:val="17"/>
                      <w:szCs w:val="17"/>
                    </w:rPr>
                    <w:t xml:space="preserve">Tu n'es pas là pour un coup. Tu construis quelque chose qui dure. EVO n'est pas fait pour ceux qui cherchent un résultat en 2 semaines.</w:t>
                  </w:r>
                </w:p>
              </w:tc>
            </w:tr>
            <w:tr>
              <w:tc>
                <w:tcPr>
                  <w:tcW w:type="dxa" w:w="56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i/>
                      <w:iCs/>
                      <w:color w:val="C9A84C"/>
                      <w:sz w:val="18"/>
                      <w:szCs w:val="18"/>
                    </w:rPr>
                    <w:t xml:space="preserve">04</w:t>
                  </w:r>
                </w:p>
              </w:tc>
              <w:tc>
                <w:tcPr>
                  <w:tcW w:type="dxa" w:w="420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28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Tu arrives préparé à chaque interaction</w:t>
                  </w:r>
                </w:p>
              </w:tc>
              <w:tc>
                <w:tcPr>
                  <w:tcW w:type="dxa" w:w="5146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7A8FB8"/>
                      <w:sz w:val="17"/>
                      <w:szCs w:val="17"/>
                    </w:rPr>
                    <w:t xml:space="preserve">Une question vague donne une réponse vague. Avant chaque call, tu as identifié ton blocage précis et ce que tu veux en sortir.</w:t>
                  </w:r>
                </w:p>
              </w:tc>
            </w:tr>
            <w:tr>
              <w:tc>
                <w:tcPr>
                  <w:tcW w:type="dxa" w:w="56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i/>
                      <w:iCs/>
                      <w:color w:val="C9A84C"/>
                      <w:sz w:val="18"/>
                      <w:szCs w:val="18"/>
                    </w:rPr>
                    <w:t xml:space="preserve">05</w:t>
                  </w:r>
                </w:p>
              </w:tc>
              <w:tc>
                <w:tcPr>
                  <w:tcW w:type="dxa" w:w="420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28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Tu appliques avant de demander la suite</w:t>
                  </w:r>
                </w:p>
              </w:tc>
              <w:tc>
                <w:tcPr>
                  <w:tcW w:type="dxa" w:w="5146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7A8FB8"/>
                      <w:sz w:val="17"/>
                      <w:szCs w:val="17"/>
                    </w:rPr>
                    <w:t xml:space="preserve">La connaissance sans exécution ne vaut rien. Tu ne passes à l'étape suivante qu'une fois la précédente testée sur le terrain.</w:t>
                  </w:r>
                </w:p>
              </w:tc>
            </w:tr>
            <w:tr>
              <w:tc>
                <w:tcPr>
                  <w:tcW w:type="dxa" w:w="56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i/>
                      <w:iCs/>
                      <w:color w:val="C9A84C"/>
                      <w:sz w:val="18"/>
                      <w:szCs w:val="18"/>
                    </w:rPr>
                    <w:t xml:space="preserve">06</w:t>
                  </w:r>
                </w:p>
              </w:tc>
              <w:tc>
                <w:tcPr>
                  <w:tcW w:type="dxa" w:w="420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28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Tu donnes un feedback direct</w:t>
                  </w:r>
                </w:p>
              </w:tc>
              <w:tc>
                <w:tcPr>
                  <w:tcW w:type="dxa" w:w="5146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7A8FB8"/>
                      <w:sz w:val="17"/>
                      <w:szCs w:val="17"/>
                    </w:rPr>
                    <w:t xml:space="preserve">Si quelque chose ne fonctionne pas pour toi, tu le dis. Un silence poli ne fait progresser personne.</w:t>
                  </w:r>
                </w:p>
              </w:tc>
            </w:tr>
            <w:tr>
              <w:tc>
                <w:tcPr>
                  <w:tcW w:type="dxa" w:w="56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i/>
                      <w:iCs/>
                      <w:color w:val="C9A84C"/>
                      <w:sz w:val="18"/>
                      <w:szCs w:val="18"/>
                    </w:rPr>
                    <w:t xml:space="preserve">07</w:t>
                  </w:r>
                </w:p>
              </w:tc>
              <w:tc>
                <w:tcPr>
                  <w:tcW w:type="dxa" w:w="420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28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Tu contribues à la communauté</w:t>
                  </w:r>
                </w:p>
              </w:tc>
              <w:tc>
                <w:tcPr>
                  <w:tcW w:type="dxa" w:w="5146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7A8FB8"/>
                      <w:sz w:val="17"/>
                      <w:szCs w:val="17"/>
                    </w:rPr>
                    <w:t xml:space="preserve">Tu partages tes victoires, tes erreurs, tes apprentissages. Une communauté ne vaut que par ceux qui y mettent quelque chose.</w:t>
                  </w:r>
                </w:p>
              </w:tc>
            </w:tr>
            <w:tr>
              <w:tc>
                <w:tcPr>
                  <w:tcW w:type="dxa" w:w="56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i/>
                      <w:iCs/>
                      <w:color w:val="C9A84C"/>
                      <w:sz w:val="18"/>
                      <w:szCs w:val="18"/>
                    </w:rPr>
                    <w:t xml:space="preserve">08</w:t>
                  </w:r>
                </w:p>
              </w:tc>
              <w:tc>
                <w:tcPr>
                  <w:tcW w:type="dxa" w:w="420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28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Tu respectes les engagements pris</w:t>
                  </w:r>
                </w:p>
              </w:tc>
              <w:tc>
                <w:tcPr>
                  <w:tcW w:type="dxa" w:w="5146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7A8FB8"/>
                      <w:sz w:val="17"/>
                      <w:szCs w:val="17"/>
                    </w:rPr>
                    <w:t xml:space="preserve">Tu honores tes rendez-vous ou tu préviens à l'avance. Les no-shows révèlent un manque de sérieux envers toi-même.</w:t>
                  </w:r>
                </w:p>
              </w:tc>
            </w:tr>
            <w:tr>
              <w:tc>
                <w:tcPr>
                  <w:tcW w:type="dxa" w:w="56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i/>
                      <w:iCs/>
                      <w:color w:val="C9A84C"/>
                      <w:sz w:val="18"/>
                      <w:szCs w:val="18"/>
                    </w:rPr>
                    <w:t xml:space="preserve">09</w:t>
                  </w:r>
                </w:p>
              </w:tc>
              <w:tc>
                <w:tcPr>
                  <w:tcW w:type="dxa" w:w="4200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28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Tu traites EVO comme un partenaire, pas un prestataire</w:t>
                  </w:r>
                </w:p>
              </w:tc>
              <w:tc>
                <w:tcPr>
                  <w:tcW w:type="dxa" w:w="5146"/>
                  <w:tcBorders>
                    <w:top w:val="nil" w:color="0D1B3E" w:sz="0"/>
                    <w:left w:val="nil" w:color="0D1B3E" w:sz="0"/>
                    <w:bottom w:val="single" w:color="1E3567" w:sz="1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7A8FB8"/>
                      <w:sz w:val="17"/>
                      <w:szCs w:val="17"/>
                    </w:rPr>
                    <w:t xml:space="preserve">On travaille avec toi, pas pour toi. L'état d'esprit client passif n'a pas sa place ici. Ce qui se construit, on le construit ensemble.</w:t>
                  </w:r>
                </w:p>
              </w:tc>
            </w:tr>
            <w:tr>
              <w:tc>
                <w:tcPr>
                  <w:tcW w:type="dxa" w:w="560"/>
                  <w:tcBorders>
                    <w:top w:val="nil" w:color="0D1B3E" w:sz="0"/>
                    <w:left w:val="nil" w:color="0D1B3E" w:sz="0"/>
                    <w:bottom w:val="nil" w:color="0D1B3E" w:sz="0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i/>
                      <w:iCs/>
                      <w:color w:val="C9A84C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4200"/>
                  <w:tcBorders>
                    <w:top w:val="nil" w:color="0D1B3E" w:sz="0"/>
                    <w:left w:val="nil" w:color="0D1B3E" w:sz="0"/>
                    <w:bottom w:val="nil" w:color="0D1B3E" w:sz="0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28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Tu gardes la confidentialité de la communauté</w:t>
                  </w:r>
                </w:p>
              </w:tc>
              <w:tc>
                <w:tcPr>
                  <w:tcW w:type="dxa" w:w="5146"/>
                  <w:tcBorders>
                    <w:top w:val="nil" w:color="0D1B3E" w:sz="0"/>
                    <w:left w:val="nil" w:color="0D1B3E" w:sz="0"/>
                    <w:bottom w:val="nil" w:color="0D1B3E" w:sz="0"/>
                    <w:right w:val="nil" w:color="0D1B3E" w:sz="0"/>
                  </w:tcBorders>
                  <w:shd w:fill="0D1B3E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7A8FB8"/>
                      <w:sz w:val="17"/>
                      <w:szCs w:val="17"/>
                    </w:rPr>
                    <w:t xml:space="preserve">Ce qui se partage dans EVO reste dans EVO. Les projets, les chiffres et les situations des membres ne sortent pas de cet espace.</w:t>
                  </w:r>
                </w:p>
              </w:tc>
            </w:tr>
          </w:tbl>
          <w:p/>
        </w:tc>
      </w:tr>
      <w:tr>
        <w:tc>
          <w:tcPr>
            <w:tcW w:type="dxa" w:w="9906"/>
            <w:tcBorders>
              <w:top w:val="nil" w:color="0D1B3E" w:sz="0"/>
              <w:left w:val="nil" w:color="0D1B3E" w:sz="0"/>
              <w:bottom w:val="nil" w:color="0D1B3E" w:sz="0"/>
              <w:right w:val="nil" w:color="0D1B3E" w:sz="0"/>
            </w:tcBorders>
            <w:shd w:fill="0D1B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320"/>
            </w:pPr>
            <w:r>
              <w:t xml:space="preserve"/>
            </w:r>
          </w:p>
        </w:tc>
      </w:tr>
      <w:tr>
        <w:tc>
          <w:tcPr>
            <w:tcW w:type="dxa" w:w="9906"/>
            <w:tcBorders>
              <w:top w:val="nil" w:color="0D1B3E" w:sz="0"/>
              <w:left w:val="nil" w:color="0D1B3E" w:sz="0"/>
              <w:bottom w:val="single" w:color="C9A84C" w:sz="4"/>
              <w:right w:val="nil" w:color="0D1B3E" w:sz="0"/>
            </w:tcBorders>
            <w:shd w:fill="0D1B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906"/>
            <w:tcBorders>
              <w:top w:val="nil" w:color="0D1B3E" w:sz="0"/>
              <w:left w:val="nil" w:color="0D1B3E" w:sz="0"/>
              <w:bottom w:val="nil" w:color="0D1B3E" w:sz="0"/>
              <w:right w:val="nil" w:color="0D1B3E" w:sz="0"/>
            </w:tcBorders>
            <w:shd w:fill="0D1B3E" w:val="clear"/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6"/>
                <w:szCs w:val="16"/>
              </w:rPr>
              <w:t xml:space="preserve">L’engagement EVO en retour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0"/>
                <w:szCs w:val="20"/>
              </w:rPr>
              <w:t xml:space="preserve">“Si tu respectes ces 10 règles, on met tout ce qu’on a pour faire de toi l’un des meilleurs dans ton domaine. Sans exception, sans excuse.”</w:t>
            </w:r>
          </w:p>
        </w:tc>
      </w:tr>
      <w:tr>
        <w:tc>
          <w:tcPr>
            <w:tcW w:type="dxa" w:w="9906"/>
            <w:tcBorders>
              <w:top w:val="nil" w:color="0D1B3E" w:sz="0"/>
              <w:left w:val="nil" w:color="0D1B3E" w:sz="0"/>
              <w:bottom w:val="nil" w:color="0D1B3E" w:sz="0"/>
              <w:right w:val="nil" w:color="0D1B3E" w:sz="0"/>
            </w:tcBorders>
            <w:shd w:fill="0D1B3E" w:val="clear"/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1E3567"/>
                <w:sz w:val="15"/>
                <w:szCs w:val="15"/>
              </w:rPr>
              <w:t xml:space="preserve">EVO Incubateur  —  Agora · Nexus · Atlas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2026-03-30T12:41:46.307Z</dcterms:created>
  <dcterms:modified xsi:type="dcterms:W3CDTF">2026-03-30T12:41:46.308Z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