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2EB34" w14:textId="77777777" w:rsidR="00C943C1" w:rsidRDefault="00C943C1">
      <w:pPr>
        <w:spacing w:after="100"/>
      </w:pPr>
    </w:p>
    <w:p w14:paraId="55A5E48F" w14:textId="77777777" w:rsidR="00C943C1" w:rsidRDefault="00C943C1">
      <w:pPr>
        <w:spacing w:after="100"/>
      </w:pPr>
    </w:p>
    <w:p w14:paraId="583E2467" w14:textId="77777777" w:rsidR="00C943C1" w:rsidRDefault="00C943C1">
      <w:pPr>
        <w:spacing w:after="100"/>
      </w:pPr>
    </w:p>
    <w:p w14:paraId="6307772E" w14:textId="77777777" w:rsidR="00C943C1" w:rsidRDefault="00000000">
      <w:pPr>
        <w:spacing w:after="200"/>
        <w:jc w:val="center"/>
      </w:pPr>
      <w:r>
        <w:rPr>
          <w:b/>
          <w:bCs/>
          <w:color w:val="1B3A5C"/>
          <w:sz w:val="28"/>
          <w:szCs w:val="28"/>
        </w:rPr>
        <w:t>INSTITUT NATIONAL DE LA PROPRIÉTÉ INDUSTRIELLE</w:t>
      </w:r>
    </w:p>
    <w:p w14:paraId="307411E7" w14:textId="77777777" w:rsidR="00C943C1" w:rsidRDefault="00000000">
      <w:pPr>
        <w:spacing w:after="100"/>
        <w:jc w:val="center"/>
      </w:pPr>
      <w:r>
        <w:rPr>
          <w:b/>
          <w:bCs/>
          <w:color w:val="1B3A5C"/>
        </w:rPr>
        <w:t>DEMANDE DE BREVET D'INVENTION</w:t>
      </w:r>
    </w:p>
    <w:p w14:paraId="6FDF9DDC" w14:textId="77777777" w:rsidR="00C943C1" w:rsidRDefault="00C943C1">
      <w:pPr>
        <w:spacing w:after="100"/>
      </w:pPr>
    </w:p>
    <w:p w14:paraId="70B8040B" w14:textId="77777777" w:rsidR="00C943C1" w:rsidRDefault="00000000">
      <w:pPr>
        <w:pBdr>
          <w:top w:val="single" w:sz="6" w:space="0" w:color="1B3A5C"/>
          <w:bottom w:val="single" w:sz="6" w:space="0" w:color="1B3A5C"/>
        </w:pBdr>
        <w:spacing w:before="200" w:after="200"/>
        <w:jc w:val="center"/>
      </w:pPr>
      <w:r>
        <w:rPr>
          <w:b/>
          <w:bCs/>
          <w:color w:val="1B3A5C"/>
          <w:sz w:val="32"/>
          <w:szCs w:val="32"/>
        </w:rPr>
        <w:t>DOSSIER DE DÉPÔT INPI — BREVET D'INVENTION</w:t>
      </w:r>
    </w:p>
    <w:p w14:paraId="5E801540" w14:textId="77777777" w:rsidR="00C943C1" w:rsidRDefault="00C943C1">
      <w:pPr>
        <w:spacing w:after="100"/>
      </w:pPr>
    </w:p>
    <w:p w14:paraId="72BC30CF" w14:textId="77777777" w:rsidR="00C943C1" w:rsidRDefault="00000000">
      <w:pPr>
        <w:spacing w:after="300"/>
        <w:jc w:val="center"/>
      </w:pPr>
      <w:r>
        <w:rPr>
          <w:b/>
          <w:bCs/>
          <w:sz w:val="30"/>
          <w:szCs w:val="30"/>
        </w:rPr>
        <w:t>SYSTÈME AGENTIQUE D'INTELLIGENCE OBSTÉTRICALE ET SANTÉ FŒTO-MATERNELLE (SAIOSF v2.0)</w:t>
      </w:r>
    </w:p>
    <w:p w14:paraId="38A95901" w14:textId="77777777" w:rsidR="00C943C1" w:rsidRDefault="00000000">
      <w:pPr>
        <w:spacing w:after="100"/>
        <w:jc w:val="center"/>
      </w:pPr>
      <w:r>
        <w:rPr>
          <w:i/>
          <w:iCs/>
          <w:sz w:val="22"/>
          <w:szCs w:val="22"/>
        </w:rPr>
        <w:t>Procédé et système d'orchestration multi-agents à base de grands modèles de langage pour la surveillance fœto-maternelle en temps réel avec gouvernance clinique intégrée</w:t>
      </w:r>
    </w:p>
    <w:p w14:paraId="53C8531A" w14:textId="77777777" w:rsidR="00C943C1" w:rsidRDefault="00C943C1">
      <w:pPr>
        <w:spacing w:after="100"/>
      </w:pPr>
    </w:p>
    <w:p w14:paraId="4729012F" w14:textId="77777777" w:rsidR="00C943C1" w:rsidRDefault="00C943C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943C1" w14:paraId="08123BD3" w14:textId="77777777">
        <w:tblPrEx>
          <w:tblCellMar>
            <w:top w:w="0" w:type="dxa"/>
            <w:bottom w:w="0" w:type="dxa"/>
          </w:tblCellMar>
        </w:tblPrEx>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0B1F41C4" w14:textId="77777777" w:rsidR="00C943C1" w:rsidRDefault="00000000">
            <w:r>
              <w:rPr>
                <w:b/>
                <w:bCs/>
                <w:color w:val="FFFFFF"/>
                <w:sz w:val="20"/>
                <w:szCs w:val="20"/>
              </w:rPr>
              <w:t>RUBRIQUE</w:t>
            </w:r>
          </w:p>
        </w:tc>
        <w:tc>
          <w:tcPr>
            <w:tcW w:w="6026"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492ABFF0" w14:textId="77777777" w:rsidR="00C943C1" w:rsidRDefault="00000000">
            <w:r>
              <w:rPr>
                <w:b/>
                <w:bCs/>
                <w:color w:val="FFFFFF"/>
                <w:sz w:val="20"/>
                <w:szCs w:val="20"/>
              </w:rPr>
              <w:t>DÉTAIL</w:t>
            </w:r>
          </w:p>
        </w:tc>
      </w:tr>
      <w:tr w:rsidR="00C943C1" w14:paraId="43F34CD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8DB4C4" w14:textId="77777777" w:rsidR="00C943C1" w:rsidRDefault="00000000">
            <w:r>
              <w:rPr>
                <w:color w:val="000000"/>
                <w:sz w:val="20"/>
                <w:szCs w:val="20"/>
              </w:rPr>
              <w:t>Référence interne</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5C95FF" w14:textId="77777777" w:rsidR="00C943C1" w:rsidRDefault="00000000">
            <w:r>
              <w:rPr>
                <w:color w:val="000000"/>
                <w:sz w:val="20"/>
                <w:szCs w:val="20"/>
              </w:rPr>
              <w:t>SAIOSF-INPI-2026-001</w:t>
            </w:r>
          </w:p>
        </w:tc>
      </w:tr>
      <w:tr w:rsidR="00C943C1" w14:paraId="5BF0DCF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D717C9" w14:textId="77777777" w:rsidR="00C943C1" w:rsidRDefault="00000000">
            <w:r>
              <w:rPr>
                <w:color w:val="000000"/>
                <w:sz w:val="20"/>
                <w:szCs w:val="20"/>
              </w:rPr>
              <w:t>Classification CIB</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B871C1" w14:textId="77777777" w:rsidR="00C943C1" w:rsidRDefault="00000000">
            <w:r>
              <w:rPr>
                <w:color w:val="000000"/>
                <w:sz w:val="20"/>
                <w:szCs w:val="20"/>
              </w:rPr>
              <w:t>G16H 50/20 ; G06N 3/08 ; A61B 5/024 ; G16H 10/60</w:t>
            </w:r>
          </w:p>
        </w:tc>
      </w:tr>
      <w:tr w:rsidR="00C943C1" w14:paraId="4FBDF58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5ADAFC" w14:textId="77777777" w:rsidR="00C943C1" w:rsidRDefault="00000000">
            <w:r>
              <w:rPr>
                <w:color w:val="000000"/>
                <w:sz w:val="20"/>
                <w:szCs w:val="20"/>
              </w:rPr>
              <w:t>Classification EU MDR</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8FBFCD" w14:textId="77777777" w:rsidR="00C943C1" w:rsidRDefault="00000000">
            <w:r>
              <w:rPr>
                <w:color w:val="000000"/>
                <w:sz w:val="20"/>
                <w:szCs w:val="20"/>
              </w:rPr>
              <w:t>Classe IIb — Règlement (UE) 2017/745</w:t>
            </w:r>
          </w:p>
        </w:tc>
      </w:tr>
      <w:tr w:rsidR="00C943C1" w14:paraId="475E76C5"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816F59" w14:textId="77777777" w:rsidR="00C943C1" w:rsidRDefault="00000000">
            <w:r>
              <w:rPr>
                <w:color w:val="000000"/>
                <w:sz w:val="20"/>
                <w:szCs w:val="20"/>
              </w:rPr>
              <w:t>Classification EU AI Act</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99765D" w14:textId="77777777" w:rsidR="00C943C1" w:rsidRDefault="00000000">
            <w:r>
              <w:rPr>
                <w:color w:val="000000"/>
                <w:sz w:val="20"/>
                <w:szCs w:val="20"/>
              </w:rPr>
              <w:t>Annexe III §5 — Système à haut risque (2024/1689)</w:t>
            </w:r>
          </w:p>
        </w:tc>
      </w:tr>
      <w:tr w:rsidR="00C943C1" w14:paraId="707F3D85"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FF4B1F" w14:textId="77777777" w:rsidR="00C943C1" w:rsidRDefault="00000000">
            <w:r>
              <w:rPr>
                <w:color w:val="000000"/>
                <w:sz w:val="20"/>
                <w:szCs w:val="20"/>
              </w:rPr>
              <w:t>Déposant</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F198CA" w14:textId="77777777" w:rsidR="00C943C1" w:rsidRDefault="00000000">
            <w:r>
              <w:rPr>
                <w:color w:val="000000"/>
                <w:sz w:val="20"/>
                <w:szCs w:val="20"/>
              </w:rPr>
              <w:t>SovereignPiAlpha France Ltd</w:t>
            </w:r>
          </w:p>
        </w:tc>
      </w:tr>
      <w:tr w:rsidR="00C943C1" w14:paraId="298CE20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6803BC" w14:textId="77777777" w:rsidR="00C943C1" w:rsidRDefault="00000000">
            <w:r>
              <w:rPr>
                <w:color w:val="000000"/>
                <w:sz w:val="20"/>
                <w:szCs w:val="20"/>
              </w:rPr>
              <w:t>Inventeur</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643D35" w14:textId="77777777" w:rsidR="00C943C1" w:rsidRDefault="00000000">
            <w:r>
              <w:rPr>
                <w:color w:val="000000"/>
                <w:sz w:val="20"/>
                <w:szCs w:val="20"/>
              </w:rPr>
              <w:t>[À compléter]</w:t>
            </w:r>
          </w:p>
        </w:tc>
      </w:tr>
      <w:tr w:rsidR="00C943C1" w14:paraId="79913F3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C84D90" w14:textId="77777777" w:rsidR="00C943C1" w:rsidRDefault="00000000">
            <w:r>
              <w:rPr>
                <w:color w:val="000000"/>
                <w:sz w:val="20"/>
                <w:szCs w:val="20"/>
              </w:rPr>
              <w:t>Date de dépôt prioritaire</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543C11" w14:textId="77777777" w:rsidR="00C943C1" w:rsidRDefault="00000000">
            <w:r>
              <w:rPr>
                <w:color w:val="000000"/>
                <w:sz w:val="20"/>
                <w:szCs w:val="20"/>
              </w:rPr>
              <w:t>Février 2026</w:t>
            </w:r>
          </w:p>
        </w:tc>
      </w:tr>
      <w:tr w:rsidR="00C943C1" w14:paraId="52D9795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327E5D" w14:textId="77777777" w:rsidR="00C943C1" w:rsidRDefault="00000000">
            <w:r>
              <w:rPr>
                <w:color w:val="000000"/>
                <w:sz w:val="20"/>
                <w:szCs w:val="20"/>
              </w:rPr>
              <w:t>Nb. revendications</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2692C6" w14:textId="77777777" w:rsidR="00C943C1" w:rsidRDefault="00000000">
            <w:r>
              <w:rPr>
                <w:color w:val="000000"/>
                <w:sz w:val="20"/>
                <w:szCs w:val="20"/>
              </w:rPr>
              <w:t>6 revendications indépendantes + 24 sous-revendications</w:t>
            </w:r>
          </w:p>
        </w:tc>
      </w:tr>
      <w:tr w:rsidR="00C943C1" w14:paraId="4DFC45D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11D0E7" w14:textId="77777777" w:rsidR="00C943C1" w:rsidRDefault="00000000">
            <w:r>
              <w:rPr>
                <w:color w:val="000000"/>
                <w:sz w:val="20"/>
                <w:szCs w:val="20"/>
              </w:rPr>
              <w:t>Extension visée</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88323E" w14:textId="77777777" w:rsidR="00C943C1" w:rsidRDefault="00000000">
            <w:r>
              <w:rPr>
                <w:color w:val="000000"/>
                <w:sz w:val="20"/>
                <w:szCs w:val="20"/>
              </w:rPr>
              <w:t>PCT → EP (FR/DE/GB/IT/ES) → US/CN/JP/CA/AU</w:t>
            </w:r>
          </w:p>
        </w:tc>
      </w:tr>
    </w:tbl>
    <w:p w14:paraId="620F6633" w14:textId="77777777" w:rsidR="00C943C1" w:rsidRDefault="00C943C1">
      <w:pPr>
        <w:spacing w:after="100"/>
      </w:pPr>
    </w:p>
    <w:p w14:paraId="03D0955D" w14:textId="77777777" w:rsidR="00C943C1" w:rsidRDefault="00C943C1">
      <w:pPr>
        <w:spacing w:after="100"/>
      </w:pPr>
    </w:p>
    <w:p w14:paraId="73FEB44C" w14:textId="77777777" w:rsidR="00C943C1" w:rsidRDefault="00000000">
      <w:pPr>
        <w:spacing w:after="80"/>
        <w:jc w:val="center"/>
      </w:pPr>
      <w:r>
        <w:rPr>
          <w:b/>
          <w:bCs/>
          <w:color w:val="CC0000"/>
          <w:sz w:val="22"/>
          <w:szCs w:val="22"/>
        </w:rPr>
        <w:t>DOCUMENT STRICTEMENT CONFIDENTIEL</w:t>
      </w:r>
    </w:p>
    <w:p w14:paraId="0D57CB90" w14:textId="77777777" w:rsidR="00C943C1" w:rsidRDefault="00000000">
      <w:pPr>
        <w:jc w:val="center"/>
      </w:pPr>
      <w:r>
        <w:rPr>
          <w:i/>
          <w:iCs/>
          <w:sz w:val="18"/>
          <w:szCs w:val="18"/>
        </w:rPr>
        <w:t>Préparé conformément aux normes INPI, EPO Guidelines 2025 (COMVIK), Harvard Cite It Right (Pears &amp; Shields, 2022)</w:t>
      </w:r>
    </w:p>
    <w:p w14:paraId="7C2901D7" w14:textId="77777777" w:rsidR="00C943C1" w:rsidRDefault="00000000">
      <w:r>
        <w:br w:type="page"/>
      </w:r>
    </w:p>
    <w:p w14:paraId="4C388D97" w14:textId="77777777" w:rsidR="00C943C1" w:rsidRDefault="00000000">
      <w:pPr>
        <w:pStyle w:val="Heading1"/>
      </w:pPr>
      <w:r>
        <w:lastRenderedPageBreak/>
        <w:t>PARTIE I — DOMAINE TECHNIQUE DE L'INVENTION</w:t>
      </w:r>
    </w:p>
    <w:p w14:paraId="309CB6B1" w14:textId="77777777" w:rsidR="00C943C1" w:rsidRDefault="00000000">
      <w:pPr>
        <w:spacing w:after="120" w:line="276" w:lineRule="auto"/>
        <w:jc w:val="both"/>
      </w:pPr>
      <w:r>
        <w:t>[0001] La présente invention relève des domaines techniques conjoints de l'intelligence artificielle appliquée aux dispositifs médicaux (Classification CIB : G16H 50/20), des réseaux neuronaux profonds pour l'analyse de signaux biomédicaux (G06N 3/08), de la surveillance fœto-maternelle par capteurs physiologiques (A61B 5/024) et de l'interopérabilité des systèmes d'information de santé (G16H 10/60).</w:t>
      </w:r>
    </w:p>
    <w:p w14:paraId="0719802B" w14:textId="77777777" w:rsidR="00C943C1" w:rsidRDefault="00000000">
      <w:pPr>
        <w:spacing w:after="120" w:line="276" w:lineRule="auto"/>
        <w:jc w:val="both"/>
      </w:pPr>
      <w:r>
        <w:t>[0002] Plus spécifiquement, l'invention concerne un système et un procédé d'orchestration multi-agents basé sur des grands modèles de langage (LLM) pour la surveillance obstétricale en temps réel, intégrant : (a) un routage contextuel clinique de requêtes vers des agents LLM spécialisés avec mécanisme de disjoncteur ; (b) un réseau neuronal hybride combinant convolution unidimensionnelle, mémoire bidirectionnelle longue à court terme et attention multi-têtes pour l'analyse de cardiotocogrammes ; (c) un système de prédiction de césarienne par gradient boosting avec partogramme numérique et explicabilité en temps réel ; (d) un cadre de gouvernance médicale avec validation humaine temporisée obligatoire et traçabilité cryptographique ; (e) un routage conditionnel de données cliniques pour la souveraineté numérique européenne ; et (f) un pipeline événementiel FHIR R4 avec validation sémantique par LLM adapté par ajustement fin de rang faible.</w:t>
      </w:r>
    </w:p>
    <w:p w14:paraId="78569941" w14:textId="37372CA2" w:rsidR="00C943C1" w:rsidRDefault="00000000">
      <w:pPr>
        <w:spacing w:after="120" w:line="276" w:lineRule="auto"/>
        <w:jc w:val="both"/>
      </w:pPr>
      <w:r>
        <w:t>[0003] L'invention s'inscrit dans le cadre réglementaire du Règlement européen sur les dispositifs médicaux (UE) 2017/745 (Classe IIb) et du Règlement sur l'intelligence artificielle (UE) 2024/1689 (Annexe III, §</w:t>
      </w:r>
      <w:r w:rsidR="00A46D62">
        <w:t xml:space="preserve"> </w:t>
      </w:r>
      <w:r>
        <w:t xml:space="preserve">5 — système à haut risque), et satisfait aux exigences des articles 9 (gestion des risques), 12 (conservation des enregistrements), 14 (contrôle humain) et 15 (exactitude et robustesse) dudit règlement </w:t>
      </w:r>
      <w:r w:rsidR="00A46D62">
        <w:t>sur l’</w:t>
      </w:r>
      <w:r>
        <w:t>IA (Parlement européen et Conseil de l'Union européenne, 2024).</w:t>
      </w:r>
    </w:p>
    <w:p w14:paraId="2D425630" w14:textId="77777777" w:rsidR="00C943C1" w:rsidRDefault="00000000">
      <w:pPr>
        <w:pStyle w:val="Heading2"/>
      </w:pPr>
      <w:r>
        <w:t>1.1 Problème technique global</w:t>
      </w:r>
    </w:p>
    <w:p w14:paraId="64F147C7" w14:textId="4D41F917" w:rsidR="00C943C1" w:rsidRDefault="00000000">
      <w:pPr>
        <w:spacing w:after="120" w:line="276" w:lineRule="auto"/>
        <w:jc w:val="both"/>
      </w:pPr>
      <w:r>
        <w:t>[0004] La mortalité maternelle mondiale reste préoccupante</w:t>
      </w:r>
      <w:r w:rsidR="00A46D62">
        <w:t>,</w:t>
      </w:r>
      <w:r>
        <w:t xml:space="preserve"> avec environ 287 000 décès </w:t>
      </w:r>
      <w:r w:rsidR="00A46D62">
        <w:t>par an</w:t>
      </w:r>
      <w:r>
        <w:t xml:space="preserve"> (Organisation mondiale de la </w:t>
      </w:r>
      <w:r w:rsidR="00A46D62">
        <w:t>S</w:t>
      </w:r>
      <w:r>
        <w:t>anté, 2023). L'interprétation visuelle des cardiotocogrammes (CTG) présente un accord inter-observateur faible</w:t>
      </w:r>
      <w:r w:rsidR="00A46D62">
        <w:t>,</w:t>
      </w:r>
      <w:r>
        <w:t xml:space="preserve"> avec un coefficient kappa de Cohen </w:t>
      </w:r>
      <w:r w:rsidR="00A46D62">
        <w:t>compris entre 0,25</w:t>
      </w:r>
      <w:r>
        <w:t xml:space="preserve"> </w:t>
      </w:r>
      <w:r w:rsidR="00A46D62">
        <w:t xml:space="preserve">et </w:t>
      </w:r>
      <w:r>
        <w:t>0</w:t>
      </w:r>
      <w:r w:rsidR="00A46D62">
        <w:t>,</w:t>
      </w:r>
      <w:r>
        <w:t>37 (Ayres-de-Campos et al., 2015), c</w:t>
      </w:r>
      <w:r w:rsidR="00A46D62">
        <w:t>e qui condui</w:t>
      </w:r>
      <w:r>
        <w:t>t à des interventions retardées ou inappropriées. Les systèmes de monitoring fœtal existants fonctionnent en silos, sans intégration de données multi-sources ni aide à la décision explicable en temps réel.</w:t>
      </w:r>
    </w:p>
    <w:p w14:paraId="175B7D0E" w14:textId="42E60812" w:rsidR="00C943C1" w:rsidRDefault="00000000">
      <w:pPr>
        <w:spacing w:after="120" w:line="276" w:lineRule="auto"/>
        <w:jc w:val="both"/>
      </w:pPr>
      <w:r>
        <w:t xml:space="preserve">[0005] Le marché mondial de l'IA en obstétrique et </w:t>
      </w:r>
      <w:r w:rsidR="00A46D62">
        <w:t>en monitoring fœtal représente 8,2 milliards d'USD (2025) avec une projection à 24,6 milliards d'USD en 2032 (TCAC 17,1 %)</w:t>
      </w:r>
      <w:r>
        <w:t xml:space="preserve"> selon Grand View Research (2024). Malgré cette croissance, aucun système commercial ne combine simultanément les six dimensions d'innovation couvertes par la présente invention, créant un espace de marché inexploité (« océan bleu ») au sens de Kim et Mauborgne (2015).</w:t>
      </w:r>
    </w:p>
    <w:p w14:paraId="2BD93ACF" w14:textId="77777777" w:rsidR="00C943C1" w:rsidRDefault="00000000">
      <w:r>
        <w:br w:type="page"/>
      </w:r>
    </w:p>
    <w:p w14:paraId="47B1DDEE" w14:textId="77777777" w:rsidR="00C943C1" w:rsidRDefault="00000000">
      <w:pPr>
        <w:pStyle w:val="Heading1"/>
      </w:pPr>
      <w:r>
        <w:lastRenderedPageBreak/>
        <w:t>PARTIE II — ÉTAT DE LA TECHNIQUE</w:t>
      </w:r>
    </w:p>
    <w:p w14:paraId="0D9BDF49" w14:textId="293FED25" w:rsidR="00C943C1" w:rsidRDefault="00000000">
      <w:pPr>
        <w:spacing w:after="120" w:line="276" w:lineRule="auto"/>
        <w:jc w:val="both"/>
      </w:pPr>
      <w:r>
        <w:t xml:space="preserve">[0006] L'état de la technique est établi par une recherche systématique </w:t>
      </w:r>
      <w:r w:rsidR="00A46D62">
        <w:t>mené</w:t>
      </w:r>
      <w:r>
        <w:t>e dans les bases Espacenet (OEB), USPTO PatFT/AppFT, WIPO PATENTSCOPE, INPI Base Brevets, Google Patents, PubMed/MEDLINE, Cochrane Library, IEEE Xplore et arXiv, couvrant la période 2018–2026. La méthodologie suit les recommandations PRISMA 2020 (Page et al., 2021).</w:t>
      </w:r>
    </w:p>
    <w:p w14:paraId="2FD1B59C" w14:textId="77777777" w:rsidR="00C943C1" w:rsidRDefault="00000000">
      <w:pPr>
        <w:pStyle w:val="Heading2"/>
      </w:pPr>
      <w:r>
        <w:t>2.1 Systèmes multi-agents LLM en médecine</w:t>
      </w:r>
    </w:p>
    <w:p w14:paraId="1B30DD18" w14:textId="5FC62B9F" w:rsidR="00C943C1" w:rsidRDefault="00000000">
      <w:pPr>
        <w:spacing w:after="120" w:line="276" w:lineRule="auto"/>
        <w:jc w:val="both"/>
      </w:pPr>
      <w:r>
        <w:t xml:space="preserve">[0007] Kim et al. (2024) décrivent MDAgents, un cadre collaboratif multi-agents adaptatif pour la prise de décision médicale, présenté </w:t>
      </w:r>
      <w:r w:rsidR="00A46D62">
        <w:t>lors de</w:t>
      </w:r>
      <w:r>
        <w:t xml:space="preserve"> NeurIPS 2024. Ce système route les requêtes vers des agents </w:t>
      </w:r>
      <w:r w:rsidR="00A46D62">
        <w:t>uniquement en fonction du</w:t>
      </w:r>
      <w:r>
        <w:t xml:space="preserve"> niveau de complexité, sans </w:t>
      </w:r>
      <w:r w:rsidR="00A46D62">
        <w:t>teni</w:t>
      </w:r>
      <w:r>
        <w:t xml:space="preserve">r </w:t>
      </w:r>
      <w:r w:rsidR="00A46D62">
        <w:t>compte du</w:t>
      </w:r>
      <w:r>
        <w:t xml:space="preserve"> contexte clinique (urgence, type de tâche, souveraineté des données). Il ne comporte ni mécanisme de disjoncteur (circuit-breaker) en cas de défaillance d</w:t>
      </w:r>
      <w:r w:rsidR="00A46D62">
        <w:t>e l</w:t>
      </w:r>
      <w:r>
        <w:t>'agent, ni protocole d'escalade hiérarchique temporisé vers du personnel médical physique.</w:t>
      </w:r>
    </w:p>
    <w:p w14:paraId="3C9E96C5" w14:textId="72BC8F1E" w:rsidR="00C943C1" w:rsidRDefault="00000000">
      <w:pPr>
        <w:spacing w:after="120" w:line="276" w:lineRule="auto"/>
        <w:jc w:val="both"/>
      </w:pPr>
      <w:r>
        <w:t xml:space="preserve">[0008] GE HealthCare (2025) annonce un programme de recherche sur les systèmes multi-agents périnataux combinant </w:t>
      </w:r>
      <w:r w:rsidR="00A46D62">
        <w:t xml:space="preserve">des </w:t>
      </w:r>
      <w:r>
        <w:t>LLM et</w:t>
      </w:r>
      <w:r w:rsidR="00A46D62">
        <w:t xml:space="preserve"> des</w:t>
      </w:r>
      <w:r>
        <w:t xml:space="preserve"> données de monitoring, mais sans publication technique évaluée par les pairs ni architecture détaillée à ce jour.</w:t>
      </w:r>
    </w:p>
    <w:p w14:paraId="2B0ACE1F" w14:textId="6CD9C584" w:rsidR="00C943C1" w:rsidRDefault="00000000">
      <w:pPr>
        <w:spacing w:after="120" w:line="276" w:lineRule="auto"/>
        <w:jc w:val="both"/>
      </w:pPr>
      <w:r>
        <w:t xml:space="preserve">[0009] Le brevet US20230377770A1 (Amazon Technologies, 2023) décrit un système d'orchestration de tâches par </w:t>
      </w:r>
      <w:r w:rsidR="00A46D62">
        <w:t xml:space="preserve">des </w:t>
      </w:r>
      <w:r>
        <w:t>agents LLM</w:t>
      </w:r>
      <w:r w:rsidR="00A46D62">
        <w:t>,</w:t>
      </w:r>
      <w:r>
        <w:t xml:space="preserve"> avec </w:t>
      </w:r>
      <w:r w:rsidR="00A46D62">
        <w:t xml:space="preserve">un </w:t>
      </w:r>
      <w:r>
        <w:t xml:space="preserve">mécanisme de routage. Cependant, ce système est généraliste et ne traite pas les contraintes spécifiques au domaine médical : absence de classification de </w:t>
      </w:r>
      <w:r w:rsidR="00A46D62">
        <w:t xml:space="preserve">la </w:t>
      </w:r>
      <w:r>
        <w:t xml:space="preserve">criticité clinique, absence de routage par souveraineté des données (RGPD </w:t>
      </w:r>
      <w:r w:rsidR="00A46D62">
        <w:t>a</w:t>
      </w:r>
      <w:r>
        <w:t>rt. 9) et absence de protocole d'escalade humaine temporisée conforme au MDR 2017/745.</w:t>
      </w:r>
    </w:p>
    <w:p w14:paraId="58924AD6" w14:textId="5B251060" w:rsidR="00C943C1" w:rsidRDefault="00000000">
      <w:pPr>
        <w:spacing w:after="120" w:line="276" w:lineRule="auto"/>
        <w:jc w:val="both"/>
      </w:pPr>
      <w:r>
        <w:t xml:space="preserve">[0010] Le brevet WO2024/012185A1 (Huawei, 2024) propose une architecture multi-agents avec spécialisation fonctionnelle, mais </w:t>
      </w:r>
      <w:r w:rsidR="00A46D62">
        <w:t>se limit</w:t>
      </w:r>
      <w:r>
        <w:t>e au traitement du langage naturel</w:t>
      </w:r>
      <w:r w:rsidR="00A46D62">
        <w:t>,</w:t>
      </w:r>
      <w:r>
        <w:t xml:space="preserve"> sans intégration de données physiologiques </w:t>
      </w:r>
      <w:r w:rsidR="00A46D62">
        <w:t xml:space="preserve">en </w:t>
      </w:r>
      <w:r>
        <w:t>temps réel.</w:t>
      </w:r>
    </w:p>
    <w:p w14:paraId="7F4DC9D5" w14:textId="5CB35095" w:rsidR="00C943C1" w:rsidRDefault="00000000">
      <w:pPr>
        <w:spacing w:after="120" w:line="276" w:lineRule="auto"/>
        <w:jc w:val="both"/>
      </w:pPr>
      <w:r>
        <w:t xml:space="preserve">[0011] Le brevet WO2022/248901A1 (Nuance Communications/Microsoft, 2022) concerne un système d'IA conversationnelle médicale, mais </w:t>
      </w:r>
      <w:r w:rsidR="00A46D62">
        <w:t>ne comporte ni</w:t>
      </w:r>
      <w:r>
        <w:t xml:space="preserve"> architecture multi-agents orchestrée ni gouvernance clinique intégrée.</w:t>
      </w:r>
    </w:p>
    <w:p w14:paraId="6644E544" w14:textId="77777777" w:rsidR="00C943C1" w:rsidRDefault="00000000">
      <w:pPr>
        <w:pStyle w:val="Heading2"/>
      </w:pPr>
      <w:r>
        <w:t>2.2 Analyse CTG par apprentissage profond</w:t>
      </w:r>
    </w:p>
    <w:p w14:paraId="7C1C4953" w14:textId="0ABAA22F" w:rsidR="00C943C1" w:rsidRDefault="00000000">
      <w:pPr>
        <w:spacing w:after="120" w:line="276" w:lineRule="auto"/>
        <w:jc w:val="both"/>
      </w:pPr>
      <w:r>
        <w:t xml:space="preserve">[0012] L'analyse automatisée des cardiotocogrammes constitue un domaine de recherche actif. Le brevet US11410757B2 (GE Healthcare, 2022) décrit un système d'analyse CTG </w:t>
      </w:r>
      <w:r w:rsidR="00A46D62">
        <w:t xml:space="preserve">uniquement </w:t>
      </w:r>
      <w:r>
        <w:t>par réseau neuronal convolutif (CNN), sans composante de mémoire temporelle (BiLSTM), sans mécanisme d'attention multi-têtes et sans module d'explicabilité temporelle de type GradCAM.</w:t>
      </w:r>
    </w:p>
    <w:p w14:paraId="6435FD5F" w14:textId="46C841A1" w:rsidR="00C943C1" w:rsidRDefault="00000000">
      <w:pPr>
        <w:spacing w:after="120" w:line="276" w:lineRule="auto"/>
        <w:jc w:val="both"/>
      </w:pPr>
      <w:r>
        <w:t>[0013] Liang et Lu (2023, Biomedical Signal Processing and Control) présentent un modèle hybride 1D-CNN + BiGRU (et non BiLSTM) pour la classification CTG, avec une AUC de 0</w:t>
      </w:r>
      <w:r w:rsidR="00A46D62">
        <w:t>,</w:t>
      </w:r>
      <w:r>
        <w:t xml:space="preserve">91 sur la base CTU-UHB (552 enregistrements, échantillonnage </w:t>
      </w:r>
      <w:r w:rsidR="00A46D62">
        <w:t xml:space="preserve">à </w:t>
      </w:r>
      <w:r>
        <w:t xml:space="preserve">4 Hz). Ce modèle ne comporte </w:t>
      </w:r>
      <w:r w:rsidR="00A46D62">
        <w:t>ni</w:t>
      </w:r>
      <w:r>
        <w:t xml:space="preserve"> couche d'attention multi-têtes ni mécanisme d'explicabilité temporelle.</w:t>
      </w:r>
    </w:p>
    <w:p w14:paraId="064607E5" w14:textId="569A9883" w:rsidR="00C943C1" w:rsidRDefault="00000000">
      <w:pPr>
        <w:spacing w:after="120" w:line="276" w:lineRule="auto"/>
        <w:jc w:val="both"/>
      </w:pPr>
      <w:r>
        <w:lastRenderedPageBreak/>
        <w:t xml:space="preserve">[0014] Petrozziello et al. (2019, IEEE Access) proposent une architecture CNN profonde pour l'analyse </w:t>
      </w:r>
      <w:r w:rsidR="00A46D62">
        <w:t xml:space="preserve">du </w:t>
      </w:r>
      <w:r>
        <w:t>CTG</w:t>
      </w:r>
      <w:r w:rsidR="00A46D62">
        <w:t>,</w:t>
      </w:r>
      <w:r>
        <w:t xml:space="preserve"> atteignant une AUC de 0</w:t>
      </w:r>
      <w:r w:rsidR="00A46D62">
        <w:t>,</w:t>
      </w:r>
      <w:r>
        <w:t>89, mais sans mémoire temporelle récurrente ni explicabilité intégrée.</w:t>
      </w:r>
    </w:p>
    <w:p w14:paraId="47A9A2A0" w14:textId="4B6EA31F" w:rsidR="00C943C1" w:rsidRDefault="00000000">
      <w:pPr>
        <w:spacing w:after="120" w:line="276" w:lineRule="auto"/>
        <w:jc w:val="both"/>
      </w:pPr>
      <w:r>
        <w:t>[0015] Zhao et al. (2019, BMC Medical Informatics) utilisent une architecture BiLSTM pour l'analyse du rythme cardiaque fœtal</w:t>
      </w:r>
      <w:r w:rsidR="00A46D62">
        <w:t>,</w:t>
      </w:r>
      <w:r>
        <w:t xml:space="preserve"> avec une AUC de 0</w:t>
      </w:r>
      <w:r w:rsidR="00A46D62">
        <w:t>,</w:t>
      </w:r>
      <w:r>
        <w:t>87, mais sans composante convolutive</w:t>
      </w:r>
      <w:r w:rsidR="00A46D62">
        <w:t>,</w:t>
      </w:r>
      <w:r>
        <w:t xml:space="preserve"> </w:t>
      </w:r>
      <w:r w:rsidR="00A46D62">
        <w:t>ni</w:t>
      </w:r>
      <w:r>
        <w:t xml:space="preserve"> extraction de caractéristiques multi-échelles</w:t>
      </w:r>
      <w:r w:rsidR="00A46D62">
        <w:t>,</w:t>
      </w:r>
      <w:r>
        <w:t xml:space="preserve"> ni mécanisme d'attention.</w:t>
      </w:r>
    </w:p>
    <w:p w14:paraId="51D0A413" w14:textId="2E24ED50" w:rsidR="00C943C1" w:rsidRDefault="00000000">
      <w:pPr>
        <w:spacing w:after="120" w:line="276" w:lineRule="auto"/>
        <w:jc w:val="both"/>
      </w:pPr>
      <w:r>
        <w:t xml:space="preserve">[0016] Murat et al. (2026, preprint </w:t>
      </w:r>
      <w:r w:rsidR="00A46D62">
        <w:t xml:space="preserve">sur </w:t>
      </w:r>
      <w:r>
        <w:t>arXiv) introduisent MM-GradCAM, une extension multimodale de GradCAM pour l'explication de</w:t>
      </w:r>
      <w:r w:rsidR="00A46D62">
        <w:t>s</w:t>
      </w:r>
      <w:r>
        <w:t xml:space="preserve"> signaux ECG. Cette technique n'a jamais été appliquée aux signaux CTG ni adaptée pour produire des cartes de chaleur temporelles spécifiques à l'obstétrique (classification FIGO).</w:t>
      </w:r>
    </w:p>
    <w:p w14:paraId="4C333F79" w14:textId="615BB128" w:rsidR="00C943C1" w:rsidRDefault="00000000">
      <w:pPr>
        <w:spacing w:after="120" w:line="276" w:lineRule="auto"/>
        <w:jc w:val="both"/>
      </w:pPr>
      <w:r>
        <w:t xml:space="preserve">[0017] La base de données CTU-UHB (Chudáček et al., 2014) constitue la référence d'évaluation avec 552 enregistrements </w:t>
      </w:r>
      <w:r w:rsidR="00A46D62">
        <w:t xml:space="preserve">de </w:t>
      </w:r>
      <w:r>
        <w:t xml:space="preserve">CTG intrapartum annotés, échantillonnés à 4 Hz, </w:t>
      </w:r>
      <w:r w:rsidR="00A46D62">
        <w:t>et</w:t>
      </w:r>
      <w:r>
        <w:t xml:space="preserve"> class</w:t>
      </w:r>
      <w:r w:rsidR="00A46D62">
        <w:t>és</w:t>
      </w:r>
      <w:r>
        <w:t xml:space="preserve"> </w:t>
      </w:r>
      <w:r w:rsidR="00A46D62">
        <w:t>par des experts</w:t>
      </w:r>
      <w:r>
        <w:t xml:space="preserve"> selon les critères FIGO 2015.</w:t>
      </w:r>
    </w:p>
    <w:p w14:paraId="6516E53D" w14:textId="77777777" w:rsidR="00C943C1" w:rsidRDefault="00000000">
      <w:pPr>
        <w:pStyle w:val="Heading2"/>
      </w:pPr>
      <w:r>
        <w:t>2.3 Prédiction de césarienne et partogramme numérique</w:t>
      </w:r>
    </w:p>
    <w:p w14:paraId="3A653EA9" w14:textId="73854A6F" w:rsidR="00C943C1" w:rsidRDefault="00000000">
      <w:pPr>
        <w:spacing w:after="120" w:line="276" w:lineRule="auto"/>
        <w:jc w:val="both"/>
      </w:pPr>
      <w:r>
        <w:t xml:space="preserve">[0018] Hu et al. (2025, Journal of Obstetrics and Gynaecology Research) présentent un modèle XGBoost avec </w:t>
      </w:r>
      <w:r w:rsidR="00A46D62">
        <w:t xml:space="preserve">une </w:t>
      </w:r>
      <w:r>
        <w:t xml:space="preserve">analyse SHAP pour la prédiction de </w:t>
      </w:r>
      <w:r w:rsidR="00A46D62">
        <w:t xml:space="preserve">la </w:t>
      </w:r>
      <w:r>
        <w:t>césarienne, atteignant une AUC de 0</w:t>
      </w:r>
      <w:r w:rsidR="00A46D62">
        <w:t>,</w:t>
      </w:r>
      <w:r>
        <w:t xml:space="preserve">76. Toutefois, ce modèle n'intègre pas les variables trajectorielles du partogramme (dilatation cervicale dynamique, franchissement des lignes d'alerte/action) et les valeurs SHAP sont calculées rétrospectivement, </w:t>
      </w:r>
      <w:r w:rsidR="00A46D62">
        <w:t xml:space="preserve">et </w:t>
      </w:r>
      <w:r>
        <w:t>non en temps réel.</w:t>
      </w:r>
    </w:p>
    <w:p w14:paraId="5921A9A4" w14:textId="3BADE3B7" w:rsidR="00C943C1" w:rsidRDefault="00000000">
      <w:pPr>
        <w:spacing w:after="120" w:line="276" w:lineRule="auto"/>
        <w:jc w:val="both"/>
      </w:pPr>
      <w:r>
        <w:t>[0019] L</w:t>
      </w:r>
      <w:r w:rsidR="00A46D62">
        <w:t xml:space="preserve">e </w:t>
      </w:r>
      <w:r>
        <w:t xml:space="preserve">Partogram (Sanghvi et al., 2019, BMC Pregnancy and Childbirth) numérise le partogramme </w:t>
      </w:r>
      <w:r w:rsidR="00A46D62">
        <w:t>en utilisant</w:t>
      </w:r>
      <w:r>
        <w:t xml:space="preserve"> 77 règles de décision clinique</w:t>
      </w:r>
      <w:r w:rsidR="00A46D62">
        <w:t>s</w:t>
      </w:r>
      <w:r>
        <w:t xml:space="preserve"> pour le travail au Kenya, mais </w:t>
      </w:r>
      <w:r w:rsidR="00A46D62">
        <w:t>ne comporte ni</w:t>
      </w:r>
      <w:r>
        <w:t xml:space="preserve"> composante d'apprentissage automatique ni calcul d'explicabilité.</w:t>
      </w:r>
    </w:p>
    <w:p w14:paraId="7B75E705" w14:textId="0B56CECF" w:rsidR="00C943C1" w:rsidRDefault="00000000">
      <w:pPr>
        <w:spacing w:after="120" w:line="276" w:lineRule="auto"/>
        <w:jc w:val="both"/>
      </w:pPr>
      <w:r>
        <w:t xml:space="preserve">[0020] Souza et al. (2024, The Lancet Global Health) analysent le rôle du partogramme dans les décisions de césarienne en Afrique subsaharienne, confirmant l'importance des variables trajectorielles (taux de dilatation, durée des phases) </w:t>
      </w:r>
      <w:r w:rsidR="00A46D62">
        <w:t>pour</w:t>
      </w:r>
      <w:r>
        <w:t xml:space="preserve"> la prédiction des issues obstétricales.</w:t>
      </w:r>
    </w:p>
    <w:p w14:paraId="752CA0FA" w14:textId="045318E7" w:rsidR="00C943C1" w:rsidRDefault="00000000">
      <w:pPr>
        <w:spacing w:after="120" w:line="276" w:lineRule="auto"/>
        <w:jc w:val="both"/>
      </w:pPr>
      <w:r>
        <w:t>[0021] Aucun système décrit dans la littérature ne combine l'intégration de trajectoires numériques de partogramme (dilatation, effacement, station, lignes d'alerte/action) comme caractéristiques d'entrée d'un modèle de gradient boosting</w:t>
      </w:r>
      <w:r w:rsidR="00A46D62">
        <w:t>,</w:t>
      </w:r>
      <w:r>
        <w:t xml:space="preserve"> avec</w:t>
      </w:r>
      <w:r w:rsidR="00A46D62">
        <w:t xml:space="preserve"> une</w:t>
      </w:r>
      <w:r>
        <w:t xml:space="preserve"> explicabilité SHAP calculée en temps réel (&lt; 500 ms par prédiction) pour l'aide à la décision césarienne.</w:t>
      </w:r>
    </w:p>
    <w:p w14:paraId="4C2881E4" w14:textId="77777777" w:rsidR="00C943C1" w:rsidRDefault="00000000">
      <w:pPr>
        <w:pStyle w:val="Heading2"/>
      </w:pPr>
      <w:r>
        <w:t>2.4 Gouvernance de l'IA médicale et traçabilité</w:t>
      </w:r>
    </w:p>
    <w:p w14:paraId="490BF765" w14:textId="17C29F0F" w:rsidR="00C943C1" w:rsidRDefault="00000000">
      <w:pPr>
        <w:spacing w:after="120" w:line="276" w:lineRule="auto"/>
        <w:jc w:val="both"/>
      </w:pPr>
      <w:r>
        <w:t>[0022] Le Règlement européen sur l'intelligence artificielle (UE) 2024/1689 établit des exigences contraignantes pour les systèmes d'IA à haut risque : gestion des risques (Art. 9), conservation des enregistrements (Art. 12)</w:t>
      </w:r>
      <w:r w:rsidR="00A46D62">
        <w:t xml:space="preserve"> et</w:t>
      </w:r>
      <w:r>
        <w:t xml:space="preserve"> contrôle humain (Art. 14), avec</w:t>
      </w:r>
      <w:r w:rsidR="00A46D62">
        <w:t xml:space="preserve"> une</w:t>
      </w:r>
      <w:r>
        <w:t xml:space="preserve"> conformité obligatoire au plus tard le 2 août 2027 (Parlement européen et Conseil de l'Union européenne, 2024).</w:t>
      </w:r>
    </w:p>
    <w:p w14:paraId="6B1EC949" w14:textId="553DA355" w:rsidR="00C943C1" w:rsidRDefault="00000000">
      <w:pPr>
        <w:spacing w:after="120" w:line="276" w:lineRule="auto"/>
        <w:jc w:val="both"/>
      </w:pPr>
      <w:r>
        <w:t>[0023] Joseph (2023, Journal of Medical AI) décrit l'utilisation de chaînes de hachage SHA-256 pour la traçabilité des décisions d'IA en radiologie, mais dans un cadre forensique post-</w:t>
      </w:r>
      <w:r>
        <w:lastRenderedPageBreak/>
        <w:t xml:space="preserve">hoc (audit a posteriori), sans mécanisme de validation humaine en temps réel ni </w:t>
      </w:r>
      <w:r w:rsidR="00A46D62">
        <w:t>d’</w:t>
      </w:r>
      <w:r>
        <w:t>escalade hiérarchique automatique.</w:t>
      </w:r>
    </w:p>
    <w:p w14:paraId="171CEF6E" w14:textId="16E411D4" w:rsidR="00C943C1" w:rsidRDefault="00000000">
      <w:pPr>
        <w:spacing w:after="120" w:line="276" w:lineRule="auto"/>
        <w:jc w:val="both"/>
      </w:pPr>
      <w:r>
        <w:t>[0024] L'OMS (2021) publie des lignes directrices sur l'éthique et la gouvernance de l'IA en santé, recommandant la surveillance humaine des systèmes d'aide à la décision clinique, sans spécifier d'architecture technique pour l</w:t>
      </w:r>
      <w:r w:rsidR="00A46D62">
        <w:t>eur mise en œuvre</w:t>
      </w:r>
      <w:r>
        <w:t>.</w:t>
      </w:r>
    </w:p>
    <w:p w14:paraId="4C1A16D1" w14:textId="21CE52CE" w:rsidR="00C943C1" w:rsidRDefault="00000000">
      <w:pPr>
        <w:spacing w:after="120" w:line="276" w:lineRule="auto"/>
        <w:jc w:val="both"/>
      </w:pPr>
      <w:r>
        <w:t xml:space="preserve">[0025] Aucun système de l'état de la technique ne combine : (a) évaluation automatique de la criticité de chaque recommandation </w:t>
      </w:r>
      <w:r w:rsidR="00A46D62">
        <w:t>d’</w:t>
      </w:r>
      <w:r>
        <w:t>IA, (b) interruption automatique au-dessus d'un seuil de criticité, (c) chaîne d'escalade hiérarchique à N niveaux avec temporisation et multicanal, et (d) journal d'audit cryptographique par chaîne de hachage SHA-256 avec chaînage séquentiel.</w:t>
      </w:r>
    </w:p>
    <w:p w14:paraId="1FEA312F" w14:textId="77777777" w:rsidR="00C943C1" w:rsidRDefault="00000000">
      <w:pPr>
        <w:pStyle w:val="Heading2"/>
      </w:pPr>
      <w:r>
        <w:t>2.5 Souveraineté numérique et routage de données cliniques</w:t>
      </w:r>
    </w:p>
    <w:p w14:paraId="766DA912" w14:textId="0E0E3834" w:rsidR="00C943C1" w:rsidRDefault="00000000">
      <w:pPr>
        <w:spacing w:after="120" w:line="276" w:lineRule="auto"/>
        <w:jc w:val="both"/>
      </w:pPr>
      <w:r>
        <w:t xml:space="preserve">[0026] L'arrêt Schrems II (CJUE, C-311/18, 2020) invalide le Privacy Shield UE-US, rendant </w:t>
      </w:r>
      <w:r w:rsidR="00A46D62">
        <w:t xml:space="preserve">juridiquement incertains </w:t>
      </w:r>
      <w:r>
        <w:t>les transferts de données de santé vers des fournisseurs non-européens. Le RGPD (Art. 9) soumet les données de santé à un régime de protection renforcé (Parlement européen et Conseil de l'Union européenne, 2016).</w:t>
      </w:r>
    </w:p>
    <w:p w14:paraId="67FBFEF0" w14:textId="4064432C" w:rsidR="00C943C1" w:rsidRDefault="00000000">
      <w:pPr>
        <w:spacing w:after="120" w:line="276" w:lineRule="auto"/>
        <w:jc w:val="both"/>
      </w:pPr>
      <w:r>
        <w:t xml:space="preserve">[0027] Zhan et al. (2025, arXiv preprint) proposent PRISM, un système de routage </w:t>
      </w:r>
      <w:r w:rsidR="00A46D62">
        <w:t xml:space="preserve">pour des </w:t>
      </w:r>
      <w:r>
        <w:t>LLM avec modulation sémantique</w:t>
      </w:r>
      <w:r w:rsidR="00A46D62">
        <w:t>,</w:t>
      </w:r>
      <w:r>
        <w:t xml:space="preserve"> sensible à la vie privée. Cependant, PRISM n'implémente pas de classification de données conforme aux catégories </w:t>
      </w:r>
      <w:r w:rsidR="00A46D62">
        <w:t>du</w:t>
      </w:r>
      <w:r>
        <w:t xml:space="preserve"> </w:t>
      </w:r>
      <w:r w:rsidR="00A46D62">
        <w:t>RGPD, a</w:t>
      </w:r>
      <w:r>
        <w:t>rt. 9</w:t>
      </w:r>
      <w:r w:rsidR="00A46D62">
        <w:t>,</w:t>
      </w:r>
      <w:r>
        <w:t xml:space="preserve"> ni de routage juridictionnel vers des modèles hébergés exclusivement dans l'EEE.</w:t>
      </w:r>
    </w:p>
    <w:p w14:paraId="49703080" w14:textId="77777777" w:rsidR="00C943C1" w:rsidRDefault="00000000">
      <w:pPr>
        <w:spacing w:after="120" w:line="276" w:lineRule="auto"/>
        <w:jc w:val="both"/>
      </w:pPr>
      <w:r>
        <w:t>[0028] Le code de conduite CISPE RGPD (2021) fournit un cadre de conformité pour les fournisseurs d'infrastructure cloud, mais ne traite pas du routage dynamique de requêtes LLM basé sur la sensibilité des données cliniques.</w:t>
      </w:r>
    </w:p>
    <w:p w14:paraId="70018D3E" w14:textId="164DEA3A" w:rsidR="00C943C1" w:rsidRDefault="00000000">
      <w:pPr>
        <w:spacing w:after="120" w:line="276" w:lineRule="auto"/>
        <w:jc w:val="both"/>
      </w:pPr>
      <w:r>
        <w:t xml:space="preserve">[0029] Aucun système ne combine : classification automatique de données cliniques selon les catégories </w:t>
      </w:r>
      <w:r w:rsidR="00A46D62">
        <w:t xml:space="preserve">du </w:t>
      </w:r>
      <w:r>
        <w:t xml:space="preserve">RGPD </w:t>
      </w:r>
      <w:r w:rsidR="00A46D62">
        <w:t>a</w:t>
      </w:r>
      <w:r>
        <w:t>rt. 9, registre de fournisseurs LLM avec métadonnées de souveraineté, et routage automatique conditionnel forçant les données sensibles (génétiques, biométriques fœtales) vers des modèles hébergés exclusivement dans l'EEE.</w:t>
      </w:r>
    </w:p>
    <w:p w14:paraId="06946F33" w14:textId="77777777" w:rsidR="00C943C1" w:rsidRDefault="00000000">
      <w:pPr>
        <w:pStyle w:val="Heading2"/>
      </w:pPr>
      <w:r>
        <w:t>2.6 Interopérabilité FHIR et validation par LLM</w:t>
      </w:r>
    </w:p>
    <w:p w14:paraId="077AABC2" w14:textId="76A225C1" w:rsidR="00C943C1" w:rsidRDefault="00000000">
      <w:pPr>
        <w:spacing w:after="120" w:line="276" w:lineRule="auto"/>
        <w:jc w:val="both"/>
      </w:pPr>
      <w:r>
        <w:t xml:space="preserve">[0030] HL7 FHIR R4 (Health Level Seven International, 2019) constitue le standard d'interopérabilité dominant pour les systèmes d'information de santé. Le brevet EP4145462A1 (IBM, 2022) décrit un système de validation de conformité FHIR, mais </w:t>
      </w:r>
      <w:r w:rsidR="00A46D62">
        <w:t>s'appuie sur</w:t>
      </w:r>
      <w:r>
        <w:t xml:space="preserve"> des règles déterministes</w:t>
      </w:r>
      <w:r w:rsidR="00A46D62">
        <w:t>,</w:t>
      </w:r>
      <w:r>
        <w:t xml:space="preserve"> sans composante d'IA ni validation sémantique.</w:t>
      </w:r>
    </w:p>
    <w:p w14:paraId="081BD5BF" w14:textId="34060A1B" w:rsidR="00C943C1" w:rsidRDefault="00000000">
      <w:pPr>
        <w:spacing w:after="120" w:line="276" w:lineRule="auto"/>
        <w:jc w:val="both"/>
      </w:pPr>
      <w:r>
        <w:t>[0031] Hu et al. (2022, ICLR) introduisent LoRA (Low-Rank Adaptation), une technique d'ajustement fin paramétrique</w:t>
      </w:r>
      <w:r w:rsidR="00A46D62">
        <w:t xml:space="preserve"> </w:t>
      </w:r>
      <w:r>
        <w:t xml:space="preserve">efficace avec </w:t>
      </w:r>
      <w:r w:rsidR="00A46D62">
        <w:t xml:space="preserve">une </w:t>
      </w:r>
      <w:r>
        <w:t xml:space="preserve">factorisation matricielle de rang faible : W = W₀ + (α/r) · B · A, où r &lt;&lt; min(d_in, d_out), </w:t>
      </w:r>
      <w:r w:rsidR="00A46D62">
        <w:t>ce qui rédui</w:t>
      </w:r>
      <w:r>
        <w:t>t les paramètres entraînables d'un facteur ~10 000. Cette technique a été appliquée en médecine</w:t>
      </w:r>
      <w:r w:rsidR="00283A2F">
        <w:t>,</w:t>
      </w:r>
      <w:r>
        <w:t xml:space="preserve"> </w:t>
      </w:r>
      <w:r w:rsidR="00283A2F">
        <w:t>dans</w:t>
      </w:r>
      <w:r>
        <w:t xml:space="preserve"> le domaine périopératoire (F1 &gt; 0</w:t>
      </w:r>
      <w:r w:rsidR="00283A2F">
        <w:t>,</w:t>
      </w:r>
      <w:r>
        <w:t>64) et en radio-oncologie, mais jamais en obstétrique.</w:t>
      </w:r>
    </w:p>
    <w:p w14:paraId="2EE3B091" w14:textId="03E9EDA4" w:rsidR="00C943C1" w:rsidRDefault="00000000">
      <w:pPr>
        <w:spacing w:after="120" w:line="276" w:lineRule="auto"/>
        <w:jc w:val="both"/>
      </w:pPr>
      <w:r>
        <w:t xml:space="preserve">[0032] Le mapping SNOMED-CT vers ICD-11 présente un taux de correspondance </w:t>
      </w:r>
      <w:r w:rsidR="00283A2F">
        <w:t>exact de 59 % (OMS, 2024), ce qui nécessite une validation sémantique intelligente pour les cas ambigus dans un</w:t>
      </w:r>
      <w:r>
        <w:t xml:space="preserve"> contexte obstétrical multilingue.</w:t>
      </w:r>
    </w:p>
    <w:p w14:paraId="6FF97CA5" w14:textId="41D1FE49" w:rsidR="00C943C1" w:rsidRDefault="00000000">
      <w:pPr>
        <w:spacing w:after="120" w:line="276" w:lineRule="auto"/>
        <w:jc w:val="both"/>
      </w:pPr>
      <w:r>
        <w:lastRenderedPageBreak/>
        <w:t xml:space="preserve">[0033] Aucun système ne combine : pipeline événementiel FHIR R4 via Kafka, validation syntaxique par profils (FR Core, IPS, CARIN), validation sémantique par </w:t>
      </w:r>
      <w:r w:rsidR="00283A2F">
        <w:t xml:space="preserve">un </w:t>
      </w:r>
      <w:r>
        <w:t>LLM médical adapté par LoRA sur</w:t>
      </w:r>
      <w:r w:rsidR="00283A2F">
        <w:t xml:space="preserve"> un</w:t>
      </w:r>
      <w:r>
        <w:t xml:space="preserve"> corpus obstétrical, et mapping terminologique automatique (SNOMED-CT, ICD-11, LOINC) avec correction en temps réel (latence &lt; 500 ms/ressource).</w:t>
      </w:r>
    </w:p>
    <w:p w14:paraId="512FBB34" w14:textId="77777777" w:rsidR="00C943C1" w:rsidRDefault="00000000">
      <w:pPr>
        <w:pStyle w:val="Heading2"/>
      </w:pPr>
      <w:r>
        <w:t>2.7 Synthèse des lacunes de l'état de la technique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C943C1" w14:paraId="2BBF723C" w14:textId="77777777">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2F2D9E12" w14:textId="77777777" w:rsidR="00C943C1" w:rsidRDefault="00000000">
            <w:r>
              <w:rPr>
                <w:b/>
                <w:bCs/>
                <w:color w:val="FFFFFF"/>
                <w:sz w:val="20"/>
                <w:szCs w:val="20"/>
              </w:rPr>
              <w:t>Dimension d'innovation</w:t>
            </w:r>
          </w:p>
        </w:tc>
        <w:tc>
          <w:tcPr>
            <w:tcW w:w="3413"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0415ECC3" w14:textId="77777777" w:rsidR="00C943C1" w:rsidRDefault="00000000">
            <w:r>
              <w:rPr>
                <w:b/>
                <w:bCs/>
                <w:color w:val="FFFFFF"/>
                <w:sz w:val="20"/>
                <w:szCs w:val="20"/>
              </w:rPr>
              <w:t>État de la technique</w:t>
            </w:r>
          </w:p>
        </w:tc>
        <w:tc>
          <w:tcPr>
            <w:tcW w:w="3413"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5828AE9C" w14:textId="77777777" w:rsidR="00C943C1" w:rsidRDefault="00000000">
            <w:r>
              <w:rPr>
                <w:b/>
                <w:bCs/>
                <w:color w:val="FFFFFF"/>
                <w:sz w:val="20"/>
                <w:szCs w:val="20"/>
              </w:rPr>
              <w:t>Lacune identifiée</w:t>
            </w:r>
          </w:p>
        </w:tc>
      </w:tr>
      <w:tr w:rsidR="00C943C1" w14:paraId="1037383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8E4049" w14:textId="77777777" w:rsidR="00C943C1" w:rsidRDefault="00000000">
            <w:r>
              <w:rPr>
                <w:color w:val="000000"/>
                <w:sz w:val="20"/>
                <w:szCs w:val="20"/>
              </w:rPr>
              <w:t>Orchestration multi-agents LLM clinique</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E451E36" w14:textId="77777777" w:rsidR="00C943C1" w:rsidRDefault="00000000">
            <w:r>
              <w:rPr>
                <w:color w:val="000000"/>
                <w:sz w:val="20"/>
                <w:szCs w:val="20"/>
              </w:rPr>
              <w:t>MDAgents (Kim et al., 2024) : routage par complexité seule</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A4FAD2" w14:textId="77777777" w:rsidR="00C943C1" w:rsidRDefault="00000000">
            <w:r>
              <w:rPr>
                <w:color w:val="000000"/>
                <w:sz w:val="20"/>
                <w:szCs w:val="20"/>
              </w:rPr>
              <w:t>Aucun routage contextuel clinique + disjoncteur + escalade temporisée + souveraineté</w:t>
            </w:r>
          </w:p>
        </w:tc>
      </w:tr>
      <w:tr w:rsidR="00C943C1" w14:paraId="2D2FDBB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743514" w14:textId="77777777" w:rsidR="00C943C1" w:rsidRDefault="00000000">
            <w:r>
              <w:rPr>
                <w:color w:val="000000"/>
                <w:sz w:val="20"/>
                <w:szCs w:val="20"/>
              </w:rPr>
              <w:t>Analyse CTG hybride explicable</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25025A" w14:textId="77777777" w:rsidR="00C943C1" w:rsidRDefault="00000000">
            <w:r>
              <w:rPr>
                <w:color w:val="000000"/>
                <w:sz w:val="20"/>
                <w:szCs w:val="20"/>
              </w:rPr>
              <w:t>Liang &amp; Lu (2023) : CNN+BiGRU, AUC 0.91, sans attention ni GradCAM</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D81879" w14:textId="77777777" w:rsidR="00C943C1" w:rsidRDefault="00000000">
            <w:r>
              <w:rPr>
                <w:color w:val="000000"/>
                <w:sz w:val="20"/>
                <w:szCs w:val="20"/>
              </w:rPr>
              <w:t>Aucune architecture CNN+BiLSTM+Attention+GradCAM-T combinée</w:t>
            </w:r>
          </w:p>
        </w:tc>
      </w:tr>
      <w:tr w:rsidR="00C943C1" w14:paraId="01FD93E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0D85DA" w14:textId="77777777" w:rsidR="00C943C1" w:rsidRDefault="00000000">
            <w:r>
              <w:rPr>
                <w:color w:val="000000"/>
                <w:sz w:val="20"/>
                <w:szCs w:val="20"/>
              </w:rPr>
              <w:t>Prédiction césarienne + partogramme</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D4CBC5" w14:textId="77777777" w:rsidR="00C943C1" w:rsidRDefault="00000000">
            <w:r>
              <w:rPr>
                <w:color w:val="000000"/>
                <w:sz w:val="20"/>
                <w:szCs w:val="20"/>
              </w:rPr>
              <w:t>Hu et al. (2025) : XGBoost+SHAP, AUC 0.76, sans partogramme</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9A1AA9" w14:textId="77777777" w:rsidR="00C943C1" w:rsidRDefault="00000000">
            <w:r>
              <w:rPr>
                <w:color w:val="000000"/>
                <w:sz w:val="20"/>
                <w:szCs w:val="20"/>
              </w:rPr>
              <w:t>Aucune intégration partogramme numérique + SHAP temps réel</w:t>
            </w:r>
          </w:p>
        </w:tc>
      </w:tr>
      <w:tr w:rsidR="00C943C1" w14:paraId="0B85026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2085FE" w14:textId="77777777" w:rsidR="00C943C1" w:rsidRDefault="00000000">
            <w:r>
              <w:rPr>
                <w:color w:val="000000"/>
                <w:sz w:val="20"/>
                <w:szCs w:val="20"/>
              </w:rPr>
              <w:t>Gouvernance IA médicale</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C16980" w14:textId="77777777" w:rsidR="00C943C1" w:rsidRDefault="00000000">
            <w:r>
              <w:rPr>
                <w:color w:val="000000"/>
                <w:sz w:val="20"/>
                <w:szCs w:val="20"/>
              </w:rPr>
              <w:t>Joseph (2023) : SHA-256 post-hoc en radiologie</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F90016" w14:textId="77777777" w:rsidR="00C943C1" w:rsidRDefault="00000000">
            <w:r>
              <w:rPr>
                <w:color w:val="000000"/>
                <w:sz w:val="20"/>
                <w:szCs w:val="20"/>
              </w:rPr>
              <w:t>Aucune validation temporisée + escalade N niveaux + audit cryptographique chaîné</w:t>
            </w:r>
          </w:p>
        </w:tc>
      </w:tr>
      <w:tr w:rsidR="00C943C1" w14:paraId="7832F70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B98B3A" w14:textId="77777777" w:rsidR="00C943C1" w:rsidRDefault="00000000">
            <w:r>
              <w:rPr>
                <w:color w:val="000000"/>
                <w:sz w:val="20"/>
                <w:szCs w:val="20"/>
              </w:rPr>
              <w:t>Souveraineté données cliniques</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1EDBD4" w14:textId="77777777" w:rsidR="00C943C1" w:rsidRDefault="00000000">
            <w:r>
              <w:rPr>
                <w:color w:val="000000"/>
                <w:sz w:val="20"/>
                <w:szCs w:val="20"/>
              </w:rPr>
              <w:t>PRISM (Zhan et al., 2025) : modulation sémantique vie privée</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E430DB" w14:textId="77777777" w:rsidR="00C943C1" w:rsidRDefault="00000000">
            <w:r>
              <w:rPr>
                <w:color w:val="000000"/>
                <w:sz w:val="20"/>
                <w:szCs w:val="20"/>
              </w:rPr>
              <w:t>Aucun routage RGPD Art. 9 + registre souveraineté LLM + EEE exclusif</w:t>
            </w:r>
          </w:p>
        </w:tc>
      </w:tr>
      <w:tr w:rsidR="00C943C1" w14:paraId="61621AE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3CC873" w14:textId="77777777" w:rsidR="00C943C1" w:rsidRDefault="00000000">
            <w:r>
              <w:rPr>
                <w:color w:val="000000"/>
                <w:sz w:val="20"/>
                <w:szCs w:val="20"/>
              </w:rPr>
              <w:t>Validation FHIR par LLM</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4E2C10F" w14:textId="77777777" w:rsidR="00C943C1" w:rsidRDefault="00000000">
            <w:r>
              <w:rPr>
                <w:color w:val="000000"/>
                <w:sz w:val="20"/>
                <w:szCs w:val="20"/>
              </w:rPr>
              <w:t>IBM EP4145462A1 : validation déterministe</w:t>
            </w:r>
          </w:p>
        </w:tc>
        <w:tc>
          <w:tcPr>
            <w:tcW w:w="3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15621F" w14:textId="77777777" w:rsidR="00C943C1" w:rsidRDefault="00000000">
            <w:r>
              <w:rPr>
                <w:color w:val="000000"/>
                <w:sz w:val="20"/>
                <w:szCs w:val="20"/>
              </w:rPr>
              <w:t>Aucun LLM LoRA obstétrical en pipeline FHIR temps réel</w:t>
            </w:r>
          </w:p>
        </w:tc>
      </w:tr>
    </w:tbl>
    <w:p w14:paraId="0BAEC904" w14:textId="77777777" w:rsidR="00C943C1" w:rsidRDefault="00000000">
      <w:r>
        <w:br w:type="page"/>
      </w:r>
    </w:p>
    <w:p w14:paraId="4B6261AA" w14:textId="77777777" w:rsidR="00C943C1" w:rsidRDefault="00000000">
      <w:pPr>
        <w:pStyle w:val="Heading1"/>
      </w:pPr>
      <w:r>
        <w:lastRenderedPageBreak/>
        <w:t>PARTIE III — DESCRIPTION DÉTAILLÉE DES INVENTIONS</w:t>
      </w:r>
    </w:p>
    <w:p w14:paraId="18498DFA" w14:textId="77777777" w:rsidR="00C943C1" w:rsidRDefault="00000000">
      <w:pPr>
        <w:pStyle w:val="Heading2"/>
      </w:pPr>
      <w:r>
        <w:t>3.1 INVENTION N°1 (INV-01) — Orchestration Multi-Agents LLM avec Routage Contextuel Clinique</w:t>
      </w:r>
    </w:p>
    <w:p w14:paraId="58D873C7" w14:textId="77777777" w:rsidR="00C943C1" w:rsidRDefault="00000000">
      <w:pPr>
        <w:pStyle w:val="Heading3"/>
      </w:pPr>
      <w:r>
        <w:t>3.1.1 Problème technique spécifique</w:t>
      </w:r>
    </w:p>
    <w:p w14:paraId="02DE8FD5" w14:textId="77777777" w:rsidR="00C943C1" w:rsidRDefault="00000000">
      <w:pPr>
        <w:spacing w:after="120" w:line="276" w:lineRule="auto"/>
        <w:jc w:val="both"/>
      </w:pPr>
      <w:r>
        <w:t>[0034] Les systèmes multi-agents LLM existants (Kim et al., 2024 ; US20230377770A1) utilisent un routage basé uniquement sur la complexité estimée de la requête, sans considérer les dimensions spécifiques au contexte clinique obstétrical : niveau d'urgence (triage obstétrical), type de tâche clinique (diagnostic, surveillance, prescription), complexité médicale (grossesse à haut risque, présentation fœtale), et contraintes de souveraineté des données (RGPD Art. 9). Cette lacune expose le système à des erreurs de routage potentiellement fatales dans un contexte de surveillance fœto-maternelle temps réel.</w:t>
      </w:r>
    </w:p>
    <w:p w14:paraId="2F409F7E" w14:textId="77777777" w:rsidR="00C943C1" w:rsidRDefault="00000000">
      <w:pPr>
        <w:pStyle w:val="Heading3"/>
      </w:pPr>
      <w:r>
        <w:t>3.1.2 Solution technique</w:t>
      </w:r>
    </w:p>
    <w:p w14:paraId="5D3378B2" w14:textId="77777777" w:rsidR="00C943C1" w:rsidRDefault="00000000">
      <w:pPr>
        <w:spacing w:after="120" w:line="276" w:lineRule="auto"/>
        <w:jc w:val="both"/>
      </w:pPr>
      <w:r>
        <w:t>[0035] L'invention propose un procédé d'orchestration multi-agents comprenant les étapes techniques suivantes :</w:t>
      </w:r>
    </w:p>
    <w:p w14:paraId="1AAA1FEE" w14:textId="0CC72BEB" w:rsidR="00C943C1" w:rsidRDefault="00000000">
      <w:pPr>
        <w:spacing w:after="120" w:line="276" w:lineRule="auto"/>
        <w:jc w:val="both"/>
      </w:pPr>
      <w:r>
        <w:t>[0036] Étape 1 — Réception et analyse contextuelle : Un orchestrateur reçoit une requête clinique q et extrait un vecteur de métadonnées contextuelles M(q) = {u(q), τ(q), κ(q), σ(q)} où u(q) ∈ [0,1] représente le niveau d'urgence obstétricale, τ(q) ∈ {diagnostic, surveillance, prescription, documentation} le type de tâche clinique, κ(q) ∈ [0,1] la complexité médicale, et σ(q) ∈ {standard, sensible, hautement_sensible} le niveau de sensibilité</w:t>
      </w:r>
      <w:r w:rsidR="00283A2F">
        <w:t xml:space="preserve"> au</w:t>
      </w:r>
      <w:r>
        <w:t xml:space="preserve"> RGPD.</w:t>
      </w:r>
    </w:p>
    <w:p w14:paraId="0B97AA15" w14:textId="77777777" w:rsidR="00C943C1" w:rsidRDefault="00000000">
      <w:pPr>
        <w:spacing w:after="120" w:line="276" w:lineRule="auto"/>
        <w:jc w:val="both"/>
      </w:pPr>
      <w:r>
        <w:t>[0037] Étape 2 — Sélection d'agent par score composite : Pour chaque agent LLM aᵢ dans le registre A = {a₁, ..., aₙ}, un score de pertinence S(aᵢ, q) est calculé :</w:t>
      </w:r>
    </w:p>
    <w:p w14:paraId="54649915" w14:textId="77777777" w:rsidR="00C943C1" w:rsidRDefault="00000000">
      <w:pPr>
        <w:spacing w:after="120" w:line="276" w:lineRule="auto"/>
        <w:jc w:val="center"/>
      </w:pPr>
      <w:r>
        <w:rPr>
          <w:i/>
          <w:iCs/>
        </w:rPr>
        <w:t>S(aᵢ, q) = w_u · comp(aᵢ, u(q)) + w_τ · spec(aᵢ, τ(q)) + w_κ · cap(aᵢ, κ(q)) + w_σ · sov(aᵢ, σ(q))</w:t>
      </w:r>
    </w:p>
    <w:p w14:paraId="32518FF9" w14:textId="472EBA2E" w:rsidR="00C943C1" w:rsidRDefault="00000000">
      <w:pPr>
        <w:spacing w:after="120" w:line="276" w:lineRule="auto"/>
        <w:jc w:val="both"/>
      </w:pPr>
      <w:r>
        <w:t xml:space="preserve">où w_u + w_τ + w_κ + w_σ = 1, comp() mesure la compatibilité urgence-latence, spec() la spécialisation fonctionnelle, cap() la capacité de raisonnement, et sov() la conformité </w:t>
      </w:r>
      <w:r w:rsidR="00283A2F">
        <w:t xml:space="preserve">à la </w:t>
      </w:r>
      <w:r>
        <w:t>souveraineté.</w:t>
      </w:r>
    </w:p>
    <w:p w14:paraId="7E0D1906" w14:textId="0426F0E6" w:rsidR="00C943C1" w:rsidRDefault="00000000">
      <w:pPr>
        <w:spacing w:after="120" w:line="276" w:lineRule="auto"/>
        <w:jc w:val="both"/>
      </w:pPr>
      <w:r>
        <w:t>[0038] Étape 3 — Circuit-breaker adaptatif : Un mécanisme de disjoncteur surveille chaque agent aᵢ</w:t>
      </w:r>
      <w:r w:rsidR="00283A2F">
        <w:t>, en</w:t>
      </w:r>
      <w:r>
        <w:t xml:space="preserve"> </w:t>
      </w:r>
      <w:r w:rsidR="00283A2F">
        <w:t>utilisant</w:t>
      </w:r>
      <w:r>
        <w:t xml:space="preserve"> un compteur d'échecs F(aᵢ). Lorsque F(aᵢ) &gt; θ_f (seuil paramétrable), l'agent est isolé et les requêtes sont redirigées vers l'agent de score suivant. Le disjoncteur implémente trois états : fermé (nominal), ouvert (isolé), semi-ouvert (test de reprise).</w:t>
      </w:r>
    </w:p>
    <w:p w14:paraId="5785E5A7" w14:textId="1366FD0D" w:rsidR="00C943C1" w:rsidRDefault="00000000">
      <w:pPr>
        <w:spacing w:after="120" w:line="276" w:lineRule="auto"/>
        <w:jc w:val="both"/>
      </w:pPr>
      <w:r>
        <w:t xml:space="preserve">[0039] Étape 4 — Escalade humaine hiérarchique temporisée : Lorsqu'aucun agent ne produit de réponse satisfaisante dans un délai δ₁ ou </w:t>
      </w:r>
      <w:r w:rsidR="00283A2F">
        <w:t>lors</w:t>
      </w:r>
      <w:r>
        <w:t>que la criticité c(q) &gt; θ_c, le système déclenche une escalade hiérarchique à N ≥ 2 niveaux. Chaque niveau n ∈ {1, ..., N} dispose d'un personnel clinique a</w:t>
      </w:r>
      <w:r w:rsidR="00283A2F">
        <w:t>ffect</w:t>
      </w:r>
      <w:r>
        <w:t>é, d'un délai de prise en charge δₙ et de K ≥ 2 canaux de notification. Si le délai δₙ est dépassé, le système escalade automatiquement au niveau n+1. Configuration obstétricale par défaut : Niveau 1 — sage-femme (δ₁ = 120</w:t>
      </w:r>
      <w:r w:rsidR="00283A2F">
        <w:t xml:space="preserve"> </w:t>
      </w:r>
      <w:r>
        <w:t xml:space="preserve">s, notification </w:t>
      </w:r>
      <w:r w:rsidR="00283A2F">
        <w:t>à l’</w:t>
      </w:r>
      <w:r>
        <w:t>écran + alerte sonore) ; Niveau 2 — obstétricien de garde (δ₂ = 180</w:t>
      </w:r>
      <w:r w:rsidR="00283A2F">
        <w:t xml:space="preserve"> </w:t>
      </w:r>
      <w:r>
        <w:t>s, bip + SMS) ; Niveau 3 — chef de service (δ₃ = 60</w:t>
      </w:r>
      <w:r w:rsidR="00283A2F">
        <w:t xml:space="preserve"> </w:t>
      </w:r>
      <w:r>
        <w:t>s, appel téléphonique + alerte critique).</w:t>
      </w:r>
    </w:p>
    <w:p w14:paraId="46C815DA" w14:textId="491DF8F5" w:rsidR="00C943C1" w:rsidRDefault="00000000">
      <w:pPr>
        <w:spacing w:after="120" w:line="276" w:lineRule="auto"/>
        <w:jc w:val="both"/>
      </w:pPr>
      <w:r>
        <w:lastRenderedPageBreak/>
        <w:t xml:space="preserve">[0040] Étape 5 — Journal d'audit cryptographique : Chaque interaction est enregistrée dans un journal d'audit par </w:t>
      </w:r>
      <w:r w:rsidR="00283A2F">
        <w:t xml:space="preserve">la </w:t>
      </w:r>
      <w:r>
        <w:t>chaîne de hachage SHA-256 :</w:t>
      </w:r>
    </w:p>
    <w:p w14:paraId="04FB3267" w14:textId="77777777" w:rsidR="00C943C1" w:rsidRDefault="00000000">
      <w:pPr>
        <w:spacing w:after="120" w:line="276" w:lineRule="auto"/>
        <w:jc w:val="center"/>
      </w:pPr>
      <w:r>
        <w:rPr>
          <w:i/>
          <w:iCs/>
        </w:rPr>
        <w:t>Hₙ = SHA-256(Hₙ₋₁ ‖ UUID ‖ timestamp ‖ hash(input) ‖ hash(output) ‖ agent_id ‖ criticality ‖ action)</w:t>
      </w:r>
    </w:p>
    <w:p w14:paraId="33C9439B" w14:textId="6A533F70" w:rsidR="00C943C1" w:rsidRDefault="00283A2F">
      <w:pPr>
        <w:spacing w:after="120" w:line="276" w:lineRule="auto"/>
        <w:jc w:val="both"/>
      </w:pPr>
      <w:r>
        <w:t>O</w:t>
      </w:r>
      <w:r w:rsidR="00000000">
        <w:t>ù Hₙ₋₁ est le hachage de l'entrée précédente, garantissant l'intégrité séquentielle de la piste d'audit conformément aux exigences de l'Art. 12 du Règlement (UE) 2024/1689.</w:t>
      </w:r>
    </w:p>
    <w:p w14:paraId="4B334EE6" w14:textId="77777777" w:rsidR="00C943C1" w:rsidRDefault="00000000">
      <w:pPr>
        <w:pStyle w:val="Heading3"/>
      </w:pPr>
      <w:r>
        <w:t>3.1.3 Avantages techniques</w:t>
      </w:r>
    </w:p>
    <w:p w14:paraId="0A66B33C" w14:textId="3F012E2B" w:rsidR="00C943C1" w:rsidRDefault="00000000">
      <w:pPr>
        <w:spacing w:after="120" w:line="276" w:lineRule="auto"/>
        <w:jc w:val="both"/>
      </w:pPr>
      <w:r>
        <w:t>[0041] Par rapport à MDAgents (Kim et al., 2024)</w:t>
      </w:r>
      <w:r w:rsidR="00283A2F">
        <w:t>,</w:t>
      </w:r>
      <w:r>
        <w:t xml:space="preserve"> qui présente un routage unidimensionnel par complexité, la présente invention apporte : (a) un routage quadridimensionnel (urgence, tâche, complexité, souveraineté), (b) une résilience par</w:t>
      </w:r>
      <w:r w:rsidR="00283A2F">
        <w:t xml:space="preserve"> un</w:t>
      </w:r>
      <w:r>
        <w:t xml:space="preserve"> disjoncteur à trois états, (c) une escalade humaine garantissant un temps de réponse borné, (d) une traçabilité cryptographique par chaîne de hachage. Le score COMVIK estimé est de 8</w:t>
      </w:r>
      <w:r w:rsidR="00283A2F">
        <w:t>,</w:t>
      </w:r>
      <w:r>
        <w:t xml:space="preserve">2/10 selon les critères </w:t>
      </w:r>
      <w:r w:rsidR="00283A2F">
        <w:t xml:space="preserve">des </w:t>
      </w:r>
      <w:r>
        <w:t>EPO Guidelines 2025 (Office européen des brevets, 2025).</w:t>
      </w:r>
    </w:p>
    <w:p w14:paraId="20F6CAEF" w14:textId="77777777" w:rsidR="00C943C1" w:rsidRDefault="00000000">
      <w:r>
        <w:br w:type="page"/>
      </w:r>
    </w:p>
    <w:p w14:paraId="36D3E6E6" w14:textId="77777777" w:rsidR="00C943C1" w:rsidRDefault="00000000">
      <w:pPr>
        <w:pStyle w:val="Heading2"/>
      </w:pPr>
      <w:r>
        <w:lastRenderedPageBreak/>
        <w:t>3.2 INVENTION N°2 (INV-02) — Réseau Neuronal Hybride 1D-CNN + BiLSTM + Attention Multi-Têtes pour Analyse CTG avec GradCAM Temporel</w:t>
      </w:r>
    </w:p>
    <w:p w14:paraId="7A4DE89B" w14:textId="77777777" w:rsidR="00C943C1" w:rsidRDefault="00000000">
      <w:pPr>
        <w:pStyle w:val="Heading3"/>
      </w:pPr>
      <w:r>
        <w:t>3.2.1 Problème technique spécifique</w:t>
      </w:r>
    </w:p>
    <w:p w14:paraId="19E18775" w14:textId="5A34DB67" w:rsidR="00C943C1" w:rsidRDefault="00000000">
      <w:pPr>
        <w:spacing w:after="120" w:line="276" w:lineRule="auto"/>
        <w:jc w:val="both"/>
      </w:pPr>
      <w:r>
        <w:t>[0042] L'analyse visuelle des cardiotocogrammes (CTG) présente un accord inter-observateur faible (κ = 0</w:t>
      </w:r>
      <w:r w:rsidR="00283A2F">
        <w:t>,</w:t>
      </w:r>
      <w:r>
        <w:t>25–0</w:t>
      </w:r>
      <w:r w:rsidR="00283A2F">
        <w:t>,</w:t>
      </w:r>
      <w:r>
        <w:t>37, Ayres-de-Campos et al., 2015). Les approches existantes par apprentissage profond — CNN seul (GE Healthcare US11410757B2), CNN+BiGRU (Liang et Lu, 2023), BiLSTM seul (Zhao et al., 2019) — ne capturent pas simultanément les motifs locaux multi-échelles, les dépendances temporelles longues et les relations entre segments distants du tracé. De plus, aucun système ne fournit d'explicabilité temporelle permettant au clinicien d'identifier les segments de CTG ayant conduit à la classification.</w:t>
      </w:r>
    </w:p>
    <w:p w14:paraId="7C1664CC" w14:textId="77777777" w:rsidR="00C943C1" w:rsidRDefault="00000000">
      <w:pPr>
        <w:pStyle w:val="Heading3"/>
      </w:pPr>
      <w:r>
        <w:t>3.2.2 Architecture technique détaillée</w:t>
      </w:r>
    </w:p>
    <w:p w14:paraId="0225E963" w14:textId="77777777" w:rsidR="00C943C1" w:rsidRDefault="00000000">
      <w:pPr>
        <w:spacing w:after="120" w:line="276" w:lineRule="auto"/>
        <w:jc w:val="both"/>
      </w:pPr>
      <w:r>
        <w:t>[0043] L'invention propose une architecture de réseau neuronal hybride comprenant trois modules séquentiels :</w:t>
      </w:r>
    </w:p>
    <w:p w14:paraId="03773770" w14:textId="77777777" w:rsidR="00C943C1" w:rsidRDefault="00000000">
      <w:pPr>
        <w:spacing w:after="120" w:line="276" w:lineRule="auto"/>
        <w:jc w:val="both"/>
      </w:pPr>
      <w:r>
        <w:t>[0044] Module A — Extraction de caractéristiques par convolution 1D multicouche : Le signal CTG brut x ∈ ℝᵀ (T points temporels, échantillonnage 4 Hz) traverse trois couches de convolution unidimensionnelle :</w:t>
      </w:r>
    </w:p>
    <w:p w14:paraId="0F966736" w14:textId="77777777" w:rsidR="00C943C1" w:rsidRDefault="00000000">
      <w:pPr>
        <w:spacing w:after="120" w:line="276" w:lineRule="auto"/>
        <w:jc w:val="both"/>
      </w:pPr>
      <w:r>
        <w:rPr>
          <w:i/>
          <w:iCs/>
        </w:rPr>
        <w:t>Couche 1 : Conv1D(1→64, kernel=7, padding=3) → BatchNorm → ReLU → MaxPool(2)</w:t>
      </w:r>
    </w:p>
    <w:p w14:paraId="18022A7A" w14:textId="77777777" w:rsidR="00C943C1" w:rsidRDefault="00000000">
      <w:pPr>
        <w:spacing w:after="120" w:line="276" w:lineRule="auto"/>
        <w:jc w:val="both"/>
      </w:pPr>
      <w:r>
        <w:rPr>
          <w:i/>
          <w:iCs/>
        </w:rPr>
        <w:t>Couche 2 : Conv1D(64→128, kernel=5, padding=2) → BatchNorm → ReLU → MaxPool(2)</w:t>
      </w:r>
    </w:p>
    <w:p w14:paraId="26244E73" w14:textId="77777777" w:rsidR="00C943C1" w:rsidRDefault="00000000">
      <w:pPr>
        <w:spacing w:after="120" w:line="276" w:lineRule="auto"/>
        <w:jc w:val="both"/>
      </w:pPr>
      <w:r>
        <w:rPr>
          <w:i/>
          <w:iCs/>
        </w:rPr>
        <w:t>Couche 3 : Conv1D(128→256, kernel=3, padding=1) → BatchNorm → ReLU → MaxPool(2)</w:t>
      </w:r>
    </w:p>
    <w:p w14:paraId="59E2680A" w14:textId="658D4BB5" w:rsidR="00C943C1" w:rsidRDefault="00283A2F">
      <w:pPr>
        <w:spacing w:after="120" w:line="276" w:lineRule="auto"/>
        <w:jc w:val="both"/>
      </w:pPr>
      <w:r>
        <w:t>P</w:t>
      </w:r>
      <w:r w:rsidR="00000000">
        <w:t>roduisant une représentation h_conv ∈ ℝ^(T/8 × 256). Les noyaux décroissants (7, 5, 3) capturent des motifs de fréquences croissantes : décélérations prolongées, variabilité à court terme, accélérations brèves.</w:t>
      </w:r>
    </w:p>
    <w:p w14:paraId="5DBE1C43" w14:textId="77777777" w:rsidR="00C943C1" w:rsidRDefault="00000000">
      <w:pPr>
        <w:spacing w:after="120" w:line="276" w:lineRule="auto"/>
        <w:jc w:val="both"/>
      </w:pPr>
      <w:r>
        <w:t>[0045] Module B — Mémoire temporelle bidirectionnelle : La représentation h_conv est traitée par deux couches BiLSTM empilées avec dimension cachée 128 et Dropout(0.3) :</w:t>
      </w:r>
    </w:p>
    <w:p w14:paraId="614F29A7" w14:textId="77777777" w:rsidR="00C943C1" w:rsidRDefault="00000000">
      <w:pPr>
        <w:spacing w:after="120" w:line="276" w:lineRule="auto"/>
        <w:jc w:val="center"/>
      </w:pPr>
      <w:r>
        <w:rPr>
          <w:i/>
          <w:iCs/>
        </w:rPr>
        <w:t>h_t = [h_t→ ; h_t←] ∈ ℝ²⁵⁶ pour chaque pas de temps t</w:t>
      </w:r>
    </w:p>
    <w:p w14:paraId="34FDDA6A" w14:textId="6B18B7EE" w:rsidR="00C943C1" w:rsidRDefault="00283A2F">
      <w:pPr>
        <w:spacing w:after="120" w:line="276" w:lineRule="auto"/>
        <w:jc w:val="both"/>
      </w:pPr>
      <w:r>
        <w:t>O</w:t>
      </w:r>
      <w:r w:rsidR="00000000">
        <w:t>ù h_t→ et h_t← sont les sorties des cellules LSTM avant et arrière. La bidirectionnalité permet au réseau de contextualiser chaque instant en fonction de l'évolution passée et future du tracé.</w:t>
      </w:r>
    </w:p>
    <w:p w14:paraId="09B0D9D2" w14:textId="77777777" w:rsidR="00C943C1" w:rsidRDefault="00000000">
      <w:pPr>
        <w:spacing w:after="120" w:line="276" w:lineRule="auto"/>
        <w:jc w:val="both"/>
      </w:pPr>
      <w:r>
        <w:t>[0046] Module C — Attention multi-têtes : Un mécanisme de multi-head self-attention avec H = 8 têtes et dimension d_model = 256 :</w:t>
      </w:r>
    </w:p>
    <w:p w14:paraId="60A10170" w14:textId="77777777" w:rsidR="00C943C1" w:rsidRDefault="00000000">
      <w:pPr>
        <w:spacing w:after="120" w:line="276" w:lineRule="auto"/>
        <w:jc w:val="center"/>
      </w:pPr>
      <w:r>
        <w:rPr>
          <w:i/>
          <w:iCs/>
        </w:rPr>
        <w:t>MultiHead(Q, K, V) = Concat(head₁, ..., head_H) · W_O</w:t>
      </w:r>
    </w:p>
    <w:p w14:paraId="1BC10FB7" w14:textId="77777777" w:rsidR="00C943C1" w:rsidRDefault="00000000">
      <w:pPr>
        <w:spacing w:after="120" w:line="276" w:lineRule="auto"/>
        <w:jc w:val="center"/>
      </w:pPr>
      <w:r>
        <w:rPr>
          <w:i/>
          <w:iCs/>
        </w:rPr>
        <w:t>headᵢ = Attention(Q · W_Qⁱ, K · W_Kⁱ, V · W_Vⁱ) = softmax(Q · W_Qⁱ · (K · W_Kⁱ)ᵀ / √d_k) · V · W_Vⁱ</w:t>
      </w:r>
    </w:p>
    <w:p w14:paraId="588493C7" w14:textId="5CCC1478" w:rsidR="00C943C1" w:rsidRDefault="00283A2F">
      <w:pPr>
        <w:spacing w:after="120" w:line="276" w:lineRule="auto"/>
        <w:jc w:val="both"/>
      </w:pPr>
      <w:r>
        <w:t>O</w:t>
      </w:r>
      <w:r w:rsidR="00000000">
        <w:t xml:space="preserve">ù d_k = d_model / H = 32. Ce module capture les relations entre segments distants du CTG (par exemple, </w:t>
      </w:r>
      <w:r>
        <w:t xml:space="preserve">la </w:t>
      </w:r>
      <w:r w:rsidR="00000000">
        <w:t>corrélation entre une décélération tardive et une accélération compensatoire).</w:t>
      </w:r>
    </w:p>
    <w:p w14:paraId="71263140" w14:textId="77777777" w:rsidR="00C943C1" w:rsidRDefault="00000000">
      <w:pPr>
        <w:spacing w:after="120" w:line="276" w:lineRule="auto"/>
        <w:jc w:val="both"/>
      </w:pPr>
      <w:r>
        <w:lastRenderedPageBreak/>
        <w:t>[0047] Classification : Un GlobalAveragePooling suivi d'une couche Dense → Softmax(3) produit la probabilité d'appartenance à chacune des 3 classes FIGO (normal, suspect, pathologique) :</w:t>
      </w:r>
    </w:p>
    <w:p w14:paraId="613C5D08" w14:textId="77777777" w:rsidR="00C943C1" w:rsidRDefault="00000000">
      <w:pPr>
        <w:spacing w:after="120" w:line="276" w:lineRule="auto"/>
        <w:jc w:val="center"/>
      </w:pPr>
      <w:r>
        <w:rPr>
          <w:i/>
          <w:iCs/>
        </w:rPr>
        <w:t>P(classe | x) = Softmax(W_c · GAP(h_att) + b_c) ∈ ℝ³</w:t>
      </w:r>
    </w:p>
    <w:p w14:paraId="63C9F49D" w14:textId="77777777" w:rsidR="00C943C1" w:rsidRDefault="00000000">
      <w:pPr>
        <w:pStyle w:val="Heading3"/>
      </w:pPr>
      <w:r>
        <w:t>3.2.3 Explicabilité — GradCAM Temporel (GradCAM-T)</w:t>
      </w:r>
    </w:p>
    <w:p w14:paraId="55BA1CC6" w14:textId="77777777" w:rsidR="00C943C1" w:rsidRDefault="00000000">
      <w:pPr>
        <w:spacing w:after="120" w:line="276" w:lineRule="auto"/>
        <w:jc w:val="both"/>
      </w:pPr>
      <w:r>
        <w:t>[0048] Pour une classe cible c, les coefficients d'importance de chaque carte de caractéristiques k de la dernière couche convolutive sont calculés :</w:t>
      </w:r>
    </w:p>
    <w:p w14:paraId="5FEECDCA" w14:textId="77777777" w:rsidR="00C943C1" w:rsidRDefault="00000000">
      <w:pPr>
        <w:spacing w:after="120" w:line="276" w:lineRule="auto"/>
        <w:jc w:val="center"/>
      </w:pPr>
      <w:r>
        <w:rPr>
          <w:i/>
          <w:iCs/>
        </w:rPr>
        <w:t>α_k^c = (1/Z) · Σᵢ (∂y^c / ∂A_i^k)</w:t>
      </w:r>
    </w:p>
    <w:p w14:paraId="6759B3DE" w14:textId="77777777" w:rsidR="00C943C1" w:rsidRDefault="00000000">
      <w:pPr>
        <w:spacing w:after="120" w:line="276" w:lineRule="auto"/>
        <w:jc w:val="both"/>
      </w:pPr>
      <w:r>
        <w:t>La carte de chaleur temporelle est obtenue par :</w:t>
      </w:r>
    </w:p>
    <w:p w14:paraId="775644A8" w14:textId="77777777" w:rsidR="00C943C1" w:rsidRDefault="00000000">
      <w:pPr>
        <w:spacing w:after="120" w:line="276" w:lineRule="auto"/>
        <w:jc w:val="center"/>
      </w:pPr>
      <w:r>
        <w:rPr>
          <w:i/>
          <w:iCs/>
        </w:rPr>
        <w:t>L^c(t) = ReLU(Σ_k α_k^c · A^k(t))</w:t>
      </w:r>
    </w:p>
    <w:p w14:paraId="4394C848" w14:textId="38A3762A" w:rsidR="00C943C1" w:rsidRDefault="00283A2F">
      <w:pPr>
        <w:spacing w:after="120" w:line="276" w:lineRule="auto"/>
        <w:jc w:val="both"/>
      </w:pPr>
      <w:r>
        <w:t>O</w:t>
      </w:r>
      <w:r w:rsidR="00000000">
        <w:t>ù Z est le nombre de positions temporelles et A^k(t) la valeur de la k-ème carte de caractéristiques au temps t. Cette carte de chaleur GradCAM-T identifie les segments de CTG ayant le plus</w:t>
      </w:r>
      <w:r>
        <w:t xml:space="preserve"> contribué</w:t>
      </w:r>
      <w:r w:rsidR="00000000">
        <w:t xml:space="preserve"> à la classification, permettant au clinicien de vérifier la cohérence du diagnostic algorithmique avec les critères FIGO 2015 (Ayres-de-Campos et al., 2015).</w:t>
      </w:r>
    </w:p>
    <w:p w14:paraId="3DD45789" w14:textId="77777777" w:rsidR="00C943C1" w:rsidRDefault="00000000">
      <w:pPr>
        <w:pStyle w:val="Heading3"/>
      </w:pPr>
      <w:r>
        <w:t>3.2.4 Performance cible et validation</w:t>
      </w:r>
    </w:p>
    <w:p w14:paraId="162EF365" w14:textId="73A9FCE4" w:rsidR="00C943C1" w:rsidRDefault="00000000">
      <w:pPr>
        <w:spacing w:after="120" w:line="276" w:lineRule="auto"/>
        <w:jc w:val="both"/>
      </w:pPr>
      <w:r>
        <w:t>[0049] Sur la base de données CTU-UHB (Chudáček et al., 2014 ; 552 enregistrements, 4 Hz), les métriques cibles sont : AUC ≥ 0.94, Sensibilité ≥ 0.95, Spécificité ≥ 0.88, F1-score ≥ 0.89. Ces objectifs dépassent significativement l'état de la technique : Liang et Lu (2023) AUC 0</w:t>
      </w:r>
      <w:r w:rsidR="00283A2F">
        <w:t>,</w:t>
      </w:r>
      <w:r>
        <w:t>91, Petrozziello et al. (2019) AUC 0</w:t>
      </w:r>
      <w:r w:rsidR="00283A2F">
        <w:t>,</w:t>
      </w:r>
      <w:r>
        <w:t>89, Zhao et al. (2019) AUC 0</w:t>
      </w:r>
      <w:r w:rsidR="00283A2F">
        <w:t>,</w:t>
      </w:r>
      <w:r>
        <w:t>87. Le score COMVIK estimé est de 9</w:t>
      </w:r>
      <w:r w:rsidR="00283A2F">
        <w:t>,</w:t>
      </w:r>
      <w:r>
        <w:t>1/10.</w:t>
      </w:r>
    </w:p>
    <w:p w14:paraId="223C2E41" w14:textId="77777777" w:rsidR="00C943C1" w:rsidRDefault="00000000">
      <w:r>
        <w:br w:type="page"/>
      </w:r>
    </w:p>
    <w:p w14:paraId="79C72ECE" w14:textId="77777777" w:rsidR="00C943C1" w:rsidRDefault="00000000">
      <w:pPr>
        <w:pStyle w:val="Heading2"/>
      </w:pPr>
      <w:r>
        <w:lastRenderedPageBreak/>
        <w:t>3.3 INVENTION N°3 (INV-03) — Prédiction de Césarienne par XGBoost avec Partogramme Numérique et Explicabilité SHAP Temps Réel</w:t>
      </w:r>
    </w:p>
    <w:p w14:paraId="695B81B4" w14:textId="77777777" w:rsidR="00C943C1" w:rsidRDefault="00000000">
      <w:pPr>
        <w:pStyle w:val="Heading3"/>
      </w:pPr>
      <w:r>
        <w:t>3.3.1 Problème technique spécifique</w:t>
      </w:r>
    </w:p>
    <w:p w14:paraId="768BD3BE" w14:textId="0152A4A4" w:rsidR="00C943C1" w:rsidRDefault="00000000">
      <w:pPr>
        <w:spacing w:after="120" w:line="276" w:lineRule="auto"/>
        <w:jc w:val="both"/>
      </w:pPr>
      <w:r>
        <w:t xml:space="preserve">[0050] Les modèles existants de prédiction de </w:t>
      </w:r>
      <w:r w:rsidR="00283A2F">
        <w:t xml:space="preserve">la </w:t>
      </w:r>
      <w:r>
        <w:t>césarienne (Hu et al., 2025, AUC 0</w:t>
      </w:r>
      <w:r w:rsidR="00283A2F">
        <w:t>,</w:t>
      </w:r>
      <w:r>
        <w:t xml:space="preserve">76) n'intègrent pas les variables trajectorielles du partogramme numérique. Or, le partogramme constitue l'outil central de suivi du travail obstétrical (Souza et al., 2024), et ses variables dynamiques — taux de dilatation cervicale, franchissement des lignes d'alerte et d'action, durée des phases — sont des prédicteurs cliniquement validés de </w:t>
      </w:r>
      <w:r w:rsidR="00283A2F">
        <w:t xml:space="preserve">la </w:t>
      </w:r>
      <w:r>
        <w:t>nécessité d</w:t>
      </w:r>
      <w:r w:rsidR="00283A2F">
        <w:t>’un</w:t>
      </w:r>
      <w:r>
        <w:t xml:space="preserve">e césarienne. Par ailleurs, les calculs d'explicabilité SHAP existants sont rétrospectifs et incompatibles avec l'aide à la décision </w:t>
      </w:r>
      <w:r w:rsidR="00283A2F">
        <w:t xml:space="preserve">en </w:t>
      </w:r>
      <w:r>
        <w:t>temps réel.</w:t>
      </w:r>
    </w:p>
    <w:p w14:paraId="6D471BCD" w14:textId="77777777" w:rsidR="00C943C1" w:rsidRDefault="00000000">
      <w:pPr>
        <w:pStyle w:val="Heading3"/>
      </w:pPr>
      <w:r>
        <w:t>3.3.2 Solution technique</w:t>
      </w:r>
    </w:p>
    <w:p w14:paraId="5C028A5F" w14:textId="77777777" w:rsidR="00C943C1" w:rsidRDefault="00000000">
      <w:pPr>
        <w:spacing w:after="120" w:line="276" w:lineRule="auto"/>
        <w:jc w:val="both"/>
      </w:pPr>
      <w:r>
        <w:t>[0051] L'invention propose un système de prédiction de césarienne comprenant :</w:t>
      </w:r>
    </w:p>
    <w:p w14:paraId="688344F0" w14:textId="77777777" w:rsidR="00C943C1" w:rsidRDefault="00000000">
      <w:pPr>
        <w:spacing w:after="120" w:line="276" w:lineRule="auto"/>
        <w:jc w:val="both"/>
      </w:pPr>
      <w:r>
        <w:t>[0052] Vecteur de caractéristiques triple : x = [x_parto ; x_mat ; x_ctg] où :</w:t>
      </w:r>
    </w:p>
    <w:p w14:paraId="0EF890A5" w14:textId="77777777" w:rsidR="00C943C1" w:rsidRDefault="00000000">
      <w:pPr>
        <w:spacing w:after="120" w:line="276" w:lineRule="auto"/>
        <w:jc w:val="both"/>
      </w:pPr>
      <w:r>
        <w:t>x_parto = {dilatation(t), effacement(t), station(t), taux_dilatation(t), durée_phase_active, ligne_alerte_franchie, ligne_action_franchie, contractions_freq, contractions_intensité} — variables trajectorielles du partogramme numérique extraites en temps réel.</w:t>
      </w:r>
    </w:p>
    <w:p w14:paraId="70D1BB2B" w14:textId="77777777" w:rsidR="00C943C1" w:rsidRDefault="00000000">
      <w:pPr>
        <w:spacing w:after="120" w:line="276" w:lineRule="auto"/>
        <w:jc w:val="both"/>
      </w:pPr>
      <w:r>
        <w:t>x_mat = {âge, BMI, parité, antécédent_césarienne, pathologies_préexistantes, présentation_fœtale, âge_gestationnel} — caractéristiques maternelles.</w:t>
      </w:r>
    </w:p>
    <w:p w14:paraId="3906476C" w14:textId="1225A1D6" w:rsidR="00C943C1" w:rsidRDefault="00000000">
      <w:pPr>
        <w:spacing w:after="120" w:line="276" w:lineRule="auto"/>
        <w:jc w:val="both"/>
      </w:pPr>
      <w:r>
        <w:t xml:space="preserve">x_ctg = {baseline_FHR, variabilité_court_terme, nb_accélérations, nb_décélérations, type_décélérations, STV} — caractéristiques CTG </w:t>
      </w:r>
      <w:r w:rsidR="00283A2F">
        <w:t xml:space="preserve">en </w:t>
      </w:r>
      <w:r>
        <w:t>temps réel extraites du Module INV-02.</w:t>
      </w:r>
    </w:p>
    <w:p w14:paraId="40EEDC2A" w14:textId="77777777" w:rsidR="00C943C1" w:rsidRDefault="00000000">
      <w:pPr>
        <w:spacing w:after="120" w:line="276" w:lineRule="auto"/>
        <w:jc w:val="both"/>
      </w:pPr>
      <w:r>
        <w:t>[0053] Modèle XGBoost : Le modèle de gradient boosting XGBoost (Chen et Guestrin, 2016) minimise la fonction objectif régularisée :</w:t>
      </w:r>
    </w:p>
    <w:p w14:paraId="2681209C" w14:textId="77777777" w:rsidR="00C943C1" w:rsidRDefault="00000000">
      <w:pPr>
        <w:spacing w:after="120" w:line="276" w:lineRule="auto"/>
        <w:jc w:val="center"/>
      </w:pPr>
      <w:r>
        <w:rPr>
          <w:i/>
          <w:iCs/>
        </w:rPr>
        <w:t>L(φ) = Σᵢ l(ŷᵢ, yᵢ) + Σ_t [γT + ½λ‖w‖²]</w:t>
      </w:r>
    </w:p>
    <w:p w14:paraId="42CCC2FC" w14:textId="58444CDB" w:rsidR="00C943C1" w:rsidRDefault="00283A2F">
      <w:pPr>
        <w:spacing w:after="120" w:line="276" w:lineRule="auto"/>
        <w:jc w:val="both"/>
      </w:pPr>
      <w:r>
        <w:t>O</w:t>
      </w:r>
      <w:r w:rsidR="00000000">
        <w:t>ù l est la perte logistique binaire, T le nombre de feuilles, w les poids des feuilles, γ le coût de complexité et λ la régularisation L2. Le modèle est entraîné sur un corpus de 50 000 accouchements avec équilibrage par SMOTE (Chawla et al., 2002) :</w:t>
      </w:r>
    </w:p>
    <w:p w14:paraId="44610DDF" w14:textId="77777777" w:rsidR="00C943C1" w:rsidRDefault="00000000">
      <w:pPr>
        <w:spacing w:after="120" w:line="276" w:lineRule="auto"/>
        <w:jc w:val="center"/>
      </w:pPr>
      <w:r>
        <w:rPr>
          <w:i/>
          <w:iCs/>
        </w:rPr>
        <w:t>x_new = x_i + λ · (x̂_nn − x_i), λ ~ U(0,1)</w:t>
      </w:r>
    </w:p>
    <w:p w14:paraId="5A5DF30F" w14:textId="29BF17C9" w:rsidR="00C943C1" w:rsidRDefault="00000000">
      <w:pPr>
        <w:spacing w:after="120" w:line="276" w:lineRule="auto"/>
        <w:jc w:val="both"/>
      </w:pPr>
      <w:r>
        <w:t xml:space="preserve">[0054] Explicabilité SHAP </w:t>
      </w:r>
      <w:r w:rsidR="00283A2F">
        <w:t xml:space="preserve">en </w:t>
      </w:r>
      <w:r>
        <w:t>temps réel : Pour chaque prédiction, les valeurs SHAP sont calculées par l'algorithme TreeSHAP (Lundberg et Lee, 2017)</w:t>
      </w:r>
      <w:r w:rsidR="00283A2F">
        <w:t>, dont</w:t>
      </w:r>
      <w:r>
        <w:t xml:space="preserve"> </w:t>
      </w:r>
      <w:r w:rsidR="00283A2F">
        <w:t>la</w:t>
      </w:r>
      <w:r>
        <w:t xml:space="preserve"> complexité </w:t>
      </w:r>
      <w:r w:rsidR="00283A2F">
        <w:t>est O(TLD²),</w:t>
      </w:r>
      <w:r>
        <w:t xml:space="preserve"> où T est le nombre d'arbres, L la profondeur maximale et D le nombre de caractéristiques. L'objectif de latence est </w:t>
      </w:r>
      <w:r w:rsidR="00283A2F">
        <w:t>inférieur à</w:t>
      </w:r>
      <w:r>
        <w:t xml:space="preserve"> 500 ms par prédiction, compatible avec le rafraîchissement clinique en temps réel.</w:t>
      </w:r>
    </w:p>
    <w:p w14:paraId="6142787D" w14:textId="78C01865" w:rsidR="00C943C1" w:rsidRDefault="00000000">
      <w:pPr>
        <w:spacing w:after="120" w:line="276" w:lineRule="auto"/>
        <w:jc w:val="both"/>
      </w:pPr>
      <w:r>
        <w:t>[0055] Métriques cibles : AUC ≥ 0.88, Sensibilité ≥ 0.85, Valeur Prédictive Négative ≥ 0.92 (priorité à la sécurité : minimiser les faux négatifs). Score COMVIK: 8.5/10.</w:t>
      </w:r>
    </w:p>
    <w:p w14:paraId="4E153EC8" w14:textId="77777777" w:rsidR="00C943C1" w:rsidRDefault="00000000">
      <w:r>
        <w:br w:type="page"/>
      </w:r>
    </w:p>
    <w:p w14:paraId="201663A9" w14:textId="23004207" w:rsidR="00C943C1" w:rsidRDefault="00000000">
      <w:pPr>
        <w:pStyle w:val="Heading2"/>
      </w:pPr>
      <w:r>
        <w:lastRenderedPageBreak/>
        <w:t>3.4 INVENTION N°</w:t>
      </w:r>
      <w:r w:rsidR="00283A2F">
        <w:t xml:space="preserve"> </w:t>
      </w:r>
      <w:r>
        <w:t>4 (INV-04) — Gouvernance de l'IA Médicale avec Validation Humaine Temporisée Obligatoire et Traçabilité Cryptographique</w:t>
      </w:r>
    </w:p>
    <w:p w14:paraId="15FA1E8B" w14:textId="77777777" w:rsidR="00C943C1" w:rsidRDefault="00000000">
      <w:pPr>
        <w:pStyle w:val="Heading3"/>
      </w:pPr>
      <w:r>
        <w:t>3.4.1 Problème technique spécifique</w:t>
      </w:r>
    </w:p>
    <w:p w14:paraId="37726D4C" w14:textId="5BF1CF5F" w:rsidR="00C943C1" w:rsidRDefault="00000000">
      <w:pPr>
        <w:spacing w:after="120" w:line="276" w:lineRule="auto"/>
        <w:jc w:val="both"/>
      </w:pPr>
      <w:r>
        <w:t>[0056] Le Règlement (UE) 2024/1689 impose aux systèmes d'IA à haut risque un contrôle humain effectif (Art. 14), une gestion des risques documentée (Art. 9) et une conservation des enregistrements assurant la traçabilité (Art. 12). Les solutions existantes (Joseph, 2023) fournissent une traçabilité forensique post-hoc mais ne garantissent pas le contrôle humain en temps réel</w:t>
      </w:r>
      <w:r w:rsidR="00283A2F">
        <w:t>,</w:t>
      </w:r>
      <w:r>
        <w:t xml:space="preserve"> avec des délais de prise en charge bornés.</w:t>
      </w:r>
    </w:p>
    <w:p w14:paraId="3BD7DC4B" w14:textId="77777777" w:rsidR="00C943C1" w:rsidRDefault="00000000">
      <w:pPr>
        <w:pStyle w:val="Heading3"/>
      </w:pPr>
      <w:r>
        <w:t>3.4.2 Solution technique</w:t>
      </w:r>
    </w:p>
    <w:p w14:paraId="632B015C" w14:textId="77777777" w:rsidR="00C943C1" w:rsidRDefault="00000000">
      <w:pPr>
        <w:spacing w:after="120" w:line="276" w:lineRule="auto"/>
        <w:jc w:val="both"/>
      </w:pPr>
      <w:r>
        <w:t>[0057] L'invention propose un cadre de gouvernance comprenant les composantes techniques suivantes :</w:t>
      </w:r>
    </w:p>
    <w:p w14:paraId="03E017A4" w14:textId="34452EC1" w:rsidR="00C943C1" w:rsidRDefault="00000000">
      <w:pPr>
        <w:spacing w:after="120" w:line="276" w:lineRule="auto"/>
        <w:jc w:val="both"/>
      </w:pPr>
      <w:r>
        <w:t xml:space="preserve">[0058] Composante A — Évaluateur de criticité : Pour chaque recommandation r générée par le système </w:t>
      </w:r>
      <w:r w:rsidR="00283A2F">
        <w:t>d’</w:t>
      </w:r>
      <w:r>
        <w:t>IA, un score de criticité c(r) ∈ [0,1] est calculé en fonction du risque clinique (gravité de l'état fœtal, irréversibilité de l'intervention, écart par rapport au protocole standard). Lorsque c(r) &gt; θ_c (seuil paramétrable, par défaut θ_c = 0</w:t>
      </w:r>
      <w:r w:rsidR="00283A2F">
        <w:t>,</w:t>
      </w:r>
      <w:r>
        <w:t>7), la validation humaine est déclenchée automatiquement.</w:t>
      </w:r>
    </w:p>
    <w:p w14:paraId="46F7B3A9" w14:textId="307D6CA4" w:rsidR="00C943C1" w:rsidRDefault="00000000">
      <w:pPr>
        <w:spacing w:after="120" w:line="276" w:lineRule="auto"/>
        <w:jc w:val="both"/>
      </w:pPr>
      <w:r>
        <w:t xml:space="preserve">[0059] Composante B — Escalade hiérarchique temporisée : Le système implémente une chaîne d'escalade à N ≥ 2 niveaux. Chaque niveau n dispose d'un ensemble de personnels cliniques assignés P_n, d'un délai maximal de prise en charge δ_n et de K ≥ 2 canaux de notification indépendants (écran, alerte sonore, bip, SMS, appel téléphonique). Si le délai δ_n expire sans validation humaine, l'escalade au niveau n+1 est automatique. La recommandation IA reste </w:t>
      </w:r>
      <w:r w:rsidR="00283A2F">
        <w:t>au</w:t>
      </w:r>
      <w:r>
        <w:t xml:space="preserve"> statut « en attente de validation » et ne peut être exécutée sans validation humaine explicite.</w:t>
      </w:r>
    </w:p>
    <w:p w14:paraId="27B4465E" w14:textId="77777777" w:rsidR="00C943C1" w:rsidRDefault="00000000">
      <w:pPr>
        <w:spacing w:after="120" w:line="276" w:lineRule="auto"/>
        <w:jc w:val="both"/>
      </w:pPr>
      <w:r>
        <w:t>[0060] Composante C — Journal d'audit cryptographique : Chaque événement E_n est enregistré dans un registre séquentiel immuable :</w:t>
      </w:r>
    </w:p>
    <w:p w14:paraId="49FC542C" w14:textId="77777777" w:rsidR="00C943C1" w:rsidRDefault="00000000">
      <w:pPr>
        <w:spacing w:after="120" w:line="276" w:lineRule="auto"/>
        <w:jc w:val="center"/>
      </w:pPr>
      <w:r>
        <w:rPr>
          <w:i/>
          <w:iCs/>
        </w:rPr>
        <w:t>E_n = {UUID_n, timestamp_n, hash(input_n), hash(output_n), agent_id, c(r_n), action_n, H_n}</w:t>
      </w:r>
    </w:p>
    <w:p w14:paraId="7035F585" w14:textId="77777777" w:rsidR="00C943C1" w:rsidRDefault="00000000">
      <w:pPr>
        <w:spacing w:after="120" w:line="276" w:lineRule="auto"/>
        <w:jc w:val="center"/>
      </w:pPr>
      <w:r>
        <w:rPr>
          <w:i/>
          <w:iCs/>
        </w:rPr>
        <w:t>H_n = SHA-256(H_{n-1} ‖ serialize(E_n))</w:t>
      </w:r>
    </w:p>
    <w:p w14:paraId="6118F1D7" w14:textId="77777777" w:rsidR="00C943C1" w:rsidRDefault="00000000">
      <w:pPr>
        <w:spacing w:after="120" w:line="276" w:lineRule="auto"/>
        <w:jc w:val="both"/>
      </w:pPr>
      <w:r>
        <w:t>Le chaînage séquentiel H_n = f(H_{n-1}) garantit que toute modification rétroactive d'un enregistrement invalide l'ensemble de la chaîne subséquente, assurant l'intégrité du journal conformément aux exigences de l'Art. 12 du Règlement (UE) 2024/1689.</w:t>
      </w:r>
    </w:p>
    <w:p w14:paraId="1502AEFB" w14:textId="2E7BE717" w:rsidR="00C943C1" w:rsidRDefault="00000000">
      <w:pPr>
        <w:spacing w:after="120" w:line="276" w:lineRule="auto"/>
        <w:jc w:val="both"/>
      </w:pPr>
      <w:r>
        <w:t xml:space="preserve">[0061] Composante D — Rapports de conformité : Le système génère automatiquement des rapports de conformité pour les autorités compétentes (ANSM, BSI, notified bodies MDR) comprenant : statistiques d'escalade (fréquence, délais moyens, résolutions), taux de validation humaine, intégrité de la chaîne d'audit, conformité aux </w:t>
      </w:r>
      <w:r w:rsidR="00283A2F">
        <w:t>a</w:t>
      </w:r>
      <w:r>
        <w:t>rticles 9, 12 et 14 du Règlement IA. Score COMVIK: 8.8/10.</w:t>
      </w:r>
    </w:p>
    <w:p w14:paraId="22FF9FEA" w14:textId="77777777" w:rsidR="00C943C1" w:rsidRDefault="00000000">
      <w:r>
        <w:br w:type="page"/>
      </w:r>
    </w:p>
    <w:p w14:paraId="43A6877C" w14:textId="625D346C" w:rsidR="00C943C1" w:rsidRDefault="00000000">
      <w:pPr>
        <w:pStyle w:val="Heading2"/>
      </w:pPr>
      <w:r>
        <w:lastRenderedPageBreak/>
        <w:t>3.5 INVENTION N°</w:t>
      </w:r>
      <w:r w:rsidR="00283A2F">
        <w:t xml:space="preserve"> </w:t>
      </w:r>
      <w:r>
        <w:t>5 (INV-05) — Routage Conditionnel pour la Souveraineté Numérique des Données Cliniques Européennes</w:t>
      </w:r>
    </w:p>
    <w:p w14:paraId="66A871B7" w14:textId="77777777" w:rsidR="00C943C1" w:rsidRDefault="00000000">
      <w:pPr>
        <w:pStyle w:val="Heading3"/>
      </w:pPr>
      <w:r>
        <w:t>3.5.1 Problème technique spécifique</w:t>
      </w:r>
    </w:p>
    <w:p w14:paraId="671F793B" w14:textId="77777777" w:rsidR="00C943C1" w:rsidRDefault="00000000">
      <w:pPr>
        <w:spacing w:after="120" w:line="276" w:lineRule="auto"/>
        <w:jc w:val="both"/>
      </w:pPr>
      <w:r>
        <w:t>[0062] Suite à l'arrêt Schrems II (CJUE, 2020), les transferts de données de santé vers des prestataires non-européens sont juridiquement fragiles. En obstétrique, les données présentent des spécificités uniques : double sujet de données (mère et fœtus), données génétiques (dépistage prénatal, DPNI), données biométriques fœtales, et potentiels soins transfrontaliers. Aucun système existant ne traite ces spécificités dans le routage de requêtes LLM.</w:t>
      </w:r>
    </w:p>
    <w:p w14:paraId="3D7AC106" w14:textId="77777777" w:rsidR="00C943C1" w:rsidRDefault="00000000">
      <w:pPr>
        <w:pStyle w:val="Heading3"/>
      </w:pPr>
      <w:r>
        <w:t>3.5.2 Solution technique</w:t>
      </w:r>
    </w:p>
    <w:p w14:paraId="294BCEEF" w14:textId="77777777" w:rsidR="00C943C1" w:rsidRDefault="00000000">
      <w:pPr>
        <w:spacing w:after="120" w:line="276" w:lineRule="auto"/>
        <w:jc w:val="both"/>
      </w:pPr>
      <w:r>
        <w:t>[0063] L'invention propose un système de routage conditionnel comprenant :</w:t>
      </w:r>
    </w:p>
    <w:p w14:paraId="5C4E72CD" w14:textId="29A45BDE" w:rsidR="00C943C1" w:rsidRDefault="00000000">
      <w:pPr>
        <w:spacing w:after="120" w:line="276" w:lineRule="auto"/>
        <w:jc w:val="both"/>
      </w:pPr>
      <w:r>
        <w:t xml:space="preserve">[0064] Classificateur de sensibilité : Pour chaque donnée d, un classificateur c(d) ∈ {standard, santé, génétique, biométrique} détermine la catégorie RGPD applicable. Les données génétiques (DPNI, caryotype) et biométriques fœtales </w:t>
      </w:r>
      <w:r w:rsidR="00283A2F">
        <w:t>bénéfici</w:t>
      </w:r>
      <w:r>
        <w:t xml:space="preserve">ent automatiquement </w:t>
      </w:r>
      <w:r w:rsidR="00283A2F">
        <w:t>du</w:t>
      </w:r>
      <w:r>
        <w:t xml:space="preserve"> niveau de protection le plus élevé.</w:t>
      </w:r>
    </w:p>
    <w:p w14:paraId="4897035B" w14:textId="77777777" w:rsidR="00C943C1" w:rsidRDefault="00000000">
      <w:pPr>
        <w:spacing w:after="120" w:line="276" w:lineRule="auto"/>
        <w:jc w:val="both"/>
      </w:pPr>
      <w:r>
        <w:t>[0065] Registre de fournisseurs LLM : Un registre R = {(m_i, S_i)} associe à chaque modèle LLM m_i un vecteur de métadonnées de souveraineté S_i = {localisation_hébergement, certification_RGPD, adéquation_pays_tiers, clauses_contractuelles}. Le registre est mis à jour conformément aux décisions d'adéquation de la Commission européenne.</w:t>
      </w:r>
    </w:p>
    <w:p w14:paraId="64688E93" w14:textId="77C7EED8" w:rsidR="00C943C1" w:rsidRDefault="00000000">
      <w:pPr>
        <w:spacing w:after="120" w:line="276" w:lineRule="auto"/>
        <w:jc w:val="both"/>
      </w:pPr>
      <w:r>
        <w:t xml:space="preserve">[0066] Fonction de routage : R(d) = argmin_{m ∈ M_compliant(c(d))} latency(m), où M_compliant(c(d)) = {m ∈ R : sov(m, c(d)) = 1} est l'ensemble des modèles conformes </w:t>
      </w:r>
      <w:r w:rsidR="00283A2F">
        <w:t>au</w:t>
      </w:r>
      <w:r>
        <w:t xml:space="preserve"> niveau de sensibilité c(d). Les données de catégorie « génétique » ou « biométrique » sont exclusivement routées vers des modèles hébergés dans l'EEE </w:t>
      </w:r>
      <w:r w:rsidR="00283A2F">
        <w:t>et</w:t>
      </w:r>
      <w:r>
        <w:t xml:space="preserve"> </w:t>
      </w:r>
      <w:r w:rsidR="00283A2F">
        <w:t xml:space="preserve">dotés d’une </w:t>
      </w:r>
      <w:r>
        <w:t>certification RGPD vérifiée. Score COMVIK: 7.2/10.</w:t>
      </w:r>
    </w:p>
    <w:p w14:paraId="1A329969" w14:textId="77777777" w:rsidR="00C943C1" w:rsidRDefault="00000000">
      <w:r>
        <w:br w:type="page"/>
      </w:r>
    </w:p>
    <w:p w14:paraId="22341C3A" w14:textId="77777777" w:rsidR="00C943C1" w:rsidRDefault="00000000">
      <w:pPr>
        <w:pStyle w:val="Heading2"/>
      </w:pPr>
      <w:r>
        <w:lastRenderedPageBreak/>
        <w:t>3.6 INVENTION N°6 (INV-06) — Pipeline Événementiel FHIR R4 avec Validation Sémantique par LLM Adapté par LoRA</w:t>
      </w:r>
    </w:p>
    <w:p w14:paraId="442B90B2" w14:textId="77777777" w:rsidR="00C943C1" w:rsidRDefault="00000000">
      <w:pPr>
        <w:pStyle w:val="Heading3"/>
      </w:pPr>
      <w:r>
        <w:t>3.6.1 Problème technique spécifique</w:t>
      </w:r>
    </w:p>
    <w:p w14:paraId="565ADC46" w14:textId="2532A351" w:rsidR="00C943C1" w:rsidRDefault="00000000">
      <w:pPr>
        <w:spacing w:after="120" w:line="276" w:lineRule="auto"/>
        <w:jc w:val="both"/>
      </w:pPr>
      <w:r>
        <w:t>[0067] Les systèmes de validation FHIR existants (IBM EP4145462A1) utilisent des règles déterministes</w:t>
      </w:r>
      <w:r w:rsidR="00283A2F">
        <w:t>,</w:t>
      </w:r>
      <w:r>
        <w:t xml:space="preserve"> incapables de capturer la sémantique médicale des ressources FHIR </w:t>
      </w:r>
      <w:r w:rsidR="00283A2F">
        <w:t>dans u</w:t>
      </w:r>
      <w:r>
        <w:t>n contexte obstétrical. Le mapping terminologique SNOMED-CT → ICD-11 présente un taux de correspondance exacte de seulement 59% (OMS, 2024), laissant 41% des cas nécessitant une interprétation contextuelle.</w:t>
      </w:r>
    </w:p>
    <w:p w14:paraId="76C13A93" w14:textId="77777777" w:rsidR="00C943C1" w:rsidRDefault="00000000">
      <w:pPr>
        <w:pStyle w:val="Heading3"/>
      </w:pPr>
      <w:r>
        <w:t>3.6.2 Solution technique</w:t>
      </w:r>
    </w:p>
    <w:p w14:paraId="6DF10EBD" w14:textId="77777777" w:rsidR="00C943C1" w:rsidRDefault="00000000">
      <w:pPr>
        <w:spacing w:after="120" w:line="276" w:lineRule="auto"/>
        <w:jc w:val="both"/>
      </w:pPr>
      <w:r>
        <w:t>[0068] L'invention propose un pipeline événementiel comprenant :</w:t>
      </w:r>
    </w:p>
    <w:p w14:paraId="53CF53BB" w14:textId="54D8DB5A" w:rsidR="00C943C1" w:rsidRDefault="00000000">
      <w:pPr>
        <w:spacing w:after="120" w:line="276" w:lineRule="auto"/>
        <w:jc w:val="both"/>
      </w:pPr>
      <w:r>
        <w:t>[0069] Pipeline Kafka FHIR R4 : Un pipeline Apache Kafka traite les ressources FHIR R4 en streaming événementiel. Chaque ressource FHIR (Observation, DiagnosticReport, MedicationRequest, Procedure) est publiée dans un topic Kafka</w:t>
      </w:r>
      <w:r w:rsidR="00283A2F">
        <w:t>,</w:t>
      </w:r>
      <w:r>
        <w:t xml:space="preserve"> partitionné par type de ressource et </w:t>
      </w:r>
      <w:r w:rsidR="00283A2F">
        <w:t>par l’</w:t>
      </w:r>
      <w:r>
        <w:t xml:space="preserve">identifiant </w:t>
      </w:r>
      <w:r w:rsidR="00283A2F">
        <w:t xml:space="preserve">du </w:t>
      </w:r>
      <w:r>
        <w:t>patient.</w:t>
      </w:r>
    </w:p>
    <w:p w14:paraId="53CC1C80" w14:textId="09A9BBBD" w:rsidR="00C943C1" w:rsidRDefault="00000000">
      <w:pPr>
        <w:spacing w:after="120" w:line="276" w:lineRule="auto"/>
        <w:jc w:val="both"/>
      </w:pPr>
      <w:r>
        <w:t xml:space="preserve">[0070] Validation syntaxique : Un validateur syntaxique vérifie la conformité de chaque ressource aux profils FHIR applicables : FR Core (ANS France), International Patient Summary (IPS), CARIN Alliance (US). Les violations sont catégorisées </w:t>
      </w:r>
      <w:r w:rsidR="00283A2F">
        <w:t>en erreur/avertissement/information</w:t>
      </w:r>
      <w:r>
        <w:t xml:space="preserve"> et tracées.</w:t>
      </w:r>
    </w:p>
    <w:p w14:paraId="586E4619" w14:textId="32D17277" w:rsidR="00C943C1" w:rsidRDefault="00000000">
      <w:pPr>
        <w:spacing w:after="120" w:line="276" w:lineRule="auto"/>
        <w:jc w:val="both"/>
      </w:pPr>
      <w:r>
        <w:t xml:space="preserve">[0071] Validation sémantique par LLM LoRA : Un grand modèle de langage pré-entraîné est adapté par LoRA (Hu et al., 2022) </w:t>
      </w:r>
      <w:r w:rsidR="00283A2F">
        <w:t>à</w:t>
      </w:r>
      <w:r>
        <w:t xml:space="preserve"> </w:t>
      </w:r>
      <w:r w:rsidR="00283A2F">
        <w:t>partir d’</w:t>
      </w:r>
      <w:r>
        <w:t>un corpus de 10 000+ dossiers obstétricaux annotés. L'adaptation de rang faible :</w:t>
      </w:r>
    </w:p>
    <w:p w14:paraId="198400A1" w14:textId="77777777" w:rsidR="00C943C1" w:rsidRDefault="00000000">
      <w:pPr>
        <w:spacing w:after="120" w:line="276" w:lineRule="auto"/>
        <w:jc w:val="center"/>
      </w:pPr>
      <w:r>
        <w:rPr>
          <w:i/>
          <w:iCs/>
        </w:rPr>
        <w:t>W = W₀ + (α/r) · B · A</w:t>
      </w:r>
    </w:p>
    <w:p w14:paraId="7818E844" w14:textId="201AE430" w:rsidR="00C943C1" w:rsidRDefault="00000000">
      <w:pPr>
        <w:spacing w:after="120" w:line="276" w:lineRule="auto"/>
        <w:jc w:val="both"/>
      </w:pPr>
      <w:r>
        <w:t xml:space="preserve">où W₀ ∈ ℝ^(d×k) sont les poids gelés, B ∈ ℝ^(d×r) et A ∈ ℝ^(r×k) </w:t>
      </w:r>
      <w:r w:rsidR="00283A2F">
        <w:t xml:space="preserve">sont </w:t>
      </w:r>
      <w:r>
        <w:t>les matrices de rang faible entraînables (r = 16, α = 32), rédui</w:t>
      </w:r>
      <w:r w:rsidR="00283A2F">
        <w:t>sen</w:t>
      </w:r>
      <w:r>
        <w:t xml:space="preserve">t les paramètres entraînables d'un facteur ~10 000. Le LLM adapté détecte les incohérences sémantiques : codes SNOMED-CT incompatibles avec le contexte clinique, dosages médicamenteux hors plage pour la population obstétricale, contradictions entre </w:t>
      </w:r>
      <w:r w:rsidR="00283A2F">
        <w:t xml:space="preserve">les </w:t>
      </w:r>
      <w:r>
        <w:t>observations et</w:t>
      </w:r>
      <w:r w:rsidR="00283A2F">
        <w:t xml:space="preserve"> les</w:t>
      </w:r>
      <w:r>
        <w:t xml:space="preserve"> diagnostics.</w:t>
      </w:r>
    </w:p>
    <w:p w14:paraId="6E93795A" w14:textId="052827E9" w:rsidR="00C943C1" w:rsidRDefault="00000000">
      <w:pPr>
        <w:spacing w:after="120" w:line="276" w:lineRule="auto"/>
        <w:jc w:val="both"/>
      </w:pPr>
      <w:r>
        <w:t>[0072] Mapping terminologique automatique : Le système effectue un mapping bidirectionnel</w:t>
      </w:r>
      <w:r w:rsidR="00283A2F">
        <w:t xml:space="preserve"> automatique</w:t>
      </w:r>
      <w:r>
        <w:t xml:space="preserve"> entre SNOMED-CT, ICD-11 et LOINC, avec résolution des cas ambigus par le LLM LoRA. Les corrections sont appliquées aux ressources FHIR et tracées dans le journal d'audit.</w:t>
      </w:r>
    </w:p>
    <w:p w14:paraId="2AA36D41" w14:textId="75A0D6AF" w:rsidR="00C943C1" w:rsidRDefault="00000000">
      <w:pPr>
        <w:spacing w:after="120" w:line="276" w:lineRule="auto"/>
        <w:jc w:val="both"/>
      </w:pPr>
      <w:r>
        <w:t xml:space="preserve">[0073] Latence cible : &lt; 500 ms par ressource FHIR, compatible avec les exigences de traitement </w:t>
      </w:r>
      <w:r w:rsidR="00283A2F">
        <w:t xml:space="preserve">en </w:t>
      </w:r>
      <w:r>
        <w:t>temps réel en salle d'accouchement. Score COMVIK: 8.0/10.</w:t>
      </w:r>
    </w:p>
    <w:p w14:paraId="5AA31E51" w14:textId="77777777" w:rsidR="00C943C1" w:rsidRDefault="00000000">
      <w:r>
        <w:br w:type="page"/>
      </w:r>
    </w:p>
    <w:p w14:paraId="3ECF031C" w14:textId="77777777" w:rsidR="00C943C1" w:rsidRDefault="00000000">
      <w:pPr>
        <w:pStyle w:val="Heading1"/>
      </w:pPr>
      <w:r>
        <w:lastRenderedPageBreak/>
        <w:t>PARTIE IV — REVENDICATIONS</w:t>
      </w:r>
    </w:p>
    <w:p w14:paraId="26B7226A" w14:textId="47E41F40" w:rsidR="00C943C1" w:rsidRDefault="00000000">
      <w:pPr>
        <w:spacing w:after="120" w:line="276" w:lineRule="auto"/>
        <w:jc w:val="both"/>
      </w:pPr>
      <w:r>
        <w:rPr>
          <w:i/>
          <w:iCs/>
        </w:rPr>
        <w:t>Conformément à l'article L</w:t>
      </w:r>
      <w:r w:rsidR="00283A2F">
        <w:rPr>
          <w:i/>
          <w:iCs/>
        </w:rPr>
        <w:t xml:space="preserve">. </w:t>
      </w:r>
      <w:r>
        <w:rPr>
          <w:i/>
          <w:iCs/>
        </w:rPr>
        <w:t xml:space="preserve">612-6 du Code de la propriété intellectuelle et aux directives </w:t>
      </w:r>
      <w:r w:rsidR="00283A2F">
        <w:rPr>
          <w:i/>
          <w:iCs/>
        </w:rPr>
        <w:t>de l’</w:t>
      </w:r>
      <w:r>
        <w:rPr>
          <w:i/>
          <w:iCs/>
        </w:rPr>
        <w:t>INPI relatives aux demandes de brevet d'invention.</w:t>
      </w:r>
    </w:p>
    <w:p w14:paraId="5AAFFCCC" w14:textId="77777777" w:rsidR="00C943C1" w:rsidRDefault="00C943C1">
      <w:pPr>
        <w:spacing w:after="100"/>
      </w:pPr>
    </w:p>
    <w:p w14:paraId="2C81F21B" w14:textId="77777777" w:rsidR="00C943C1" w:rsidRDefault="00000000">
      <w:pPr>
        <w:pStyle w:val="ListParagraph"/>
        <w:numPr>
          <w:ilvl w:val="0"/>
          <w:numId w:val="2"/>
        </w:numPr>
        <w:spacing w:after="80" w:line="276" w:lineRule="auto"/>
      </w:pPr>
      <w:r>
        <w:rPr>
          <w:b/>
          <w:bCs/>
        </w:rPr>
        <w:t>Procédé d'orchestration multi-agents à base de grands modèles de langage (LLM) pour la surveillance fœto-maternelle, caractérisé en ce qu'il comprend les étapes de :</w:t>
      </w:r>
    </w:p>
    <w:p w14:paraId="1031C10A" w14:textId="77777777" w:rsidR="00C943C1" w:rsidRDefault="00000000">
      <w:pPr>
        <w:pStyle w:val="ListParagraph"/>
        <w:numPr>
          <w:ilvl w:val="0"/>
          <w:numId w:val="3"/>
        </w:numPr>
        <w:spacing w:after="80" w:line="276" w:lineRule="auto"/>
      </w:pPr>
      <w:r>
        <w:t>réception d'une requête clinique obstétricale et extraction automatique d'un vecteur de métadonnées contextuelles comprenant au moins un niveau d'urgence obstétricale, un type de tâche clinique, une complexité médicale et un niveau de sensibilité au regard du RGPD ;</w:t>
      </w:r>
    </w:p>
    <w:p w14:paraId="5FC75E32" w14:textId="77777777" w:rsidR="00C943C1" w:rsidRDefault="00000000">
      <w:pPr>
        <w:pStyle w:val="ListParagraph"/>
        <w:numPr>
          <w:ilvl w:val="0"/>
          <w:numId w:val="3"/>
        </w:numPr>
        <w:spacing w:after="80" w:line="276" w:lineRule="auto"/>
      </w:pPr>
      <w:r>
        <w:t>calcul, pour chaque agent LLM d'un registre, d'un score de pertinence composite S(aᵢ, q) intégrant lesdites métadonnées contextuelles avec des coefficients de pondération paramétrables ;</w:t>
      </w:r>
    </w:p>
    <w:p w14:paraId="7E757B87" w14:textId="77777777" w:rsidR="00C943C1" w:rsidRDefault="00000000">
      <w:pPr>
        <w:pStyle w:val="ListParagraph"/>
        <w:numPr>
          <w:ilvl w:val="0"/>
          <w:numId w:val="3"/>
        </w:numPr>
        <w:spacing w:after="80" w:line="276" w:lineRule="auto"/>
      </w:pPr>
      <w:r>
        <w:t>routage de la requête vers l'agent LLM présentant le score de pertinence le plus élevé ;</w:t>
      </w:r>
    </w:p>
    <w:p w14:paraId="7C10E24D" w14:textId="77777777" w:rsidR="00C943C1" w:rsidRDefault="00000000">
      <w:pPr>
        <w:pStyle w:val="ListParagraph"/>
        <w:numPr>
          <w:ilvl w:val="0"/>
          <w:numId w:val="3"/>
        </w:numPr>
        <w:spacing w:after="80" w:line="276" w:lineRule="auto"/>
      </w:pPr>
      <w:r>
        <w:t>surveillance de chaque agent par un mécanisme de disjoncteur (circuit-breaker) à trois états (fermé, ouvert, semi-ouvert) avec isolation automatique de l'agent défaillant et redirection vers l'agent suivant ;</w:t>
      </w:r>
    </w:p>
    <w:p w14:paraId="2EC69258" w14:textId="77777777" w:rsidR="00C943C1" w:rsidRDefault="00000000">
      <w:pPr>
        <w:pStyle w:val="ListParagraph"/>
        <w:numPr>
          <w:ilvl w:val="0"/>
          <w:numId w:val="3"/>
        </w:numPr>
        <w:spacing w:after="80" w:line="276" w:lineRule="auto"/>
      </w:pPr>
      <w:r>
        <w:t>déclenchement d'une escalade humaine hiérarchique temporisée à N ≥ 2 niveaux lorsqu'aucun agent ne produit de réponse satisfaisante dans un délai prédéterminé ou que la criticité dépasse un seuil paramétrable, chaque niveau disposant d'un personnel clinique assigné, d'un délai maximal et d'au moins deux canaux de notification indépendants ;</w:t>
      </w:r>
    </w:p>
    <w:p w14:paraId="12E902E1" w14:textId="0F3F3560" w:rsidR="00C943C1" w:rsidRDefault="00283A2F">
      <w:pPr>
        <w:pStyle w:val="ListParagraph"/>
        <w:numPr>
          <w:ilvl w:val="0"/>
          <w:numId w:val="3"/>
        </w:numPr>
        <w:spacing w:after="80" w:line="276" w:lineRule="auto"/>
      </w:pPr>
      <w:r>
        <w:t>E</w:t>
      </w:r>
      <w:r w:rsidR="00000000">
        <w:t>nregistrement de chaque interaction dans un journal d'audit</w:t>
      </w:r>
      <w:r w:rsidR="00075565">
        <w:t>,</w:t>
      </w:r>
      <w:r w:rsidR="00000000">
        <w:t xml:space="preserve"> par chaîne de hachage SHA-256</w:t>
      </w:r>
      <w:r w:rsidR="00075565">
        <w:t>,</w:t>
      </w:r>
      <w:r w:rsidR="00000000">
        <w:t xml:space="preserve"> avec chaînage séquentiel</w:t>
      </w:r>
      <w:r w:rsidR="00075565">
        <w:t>,</w:t>
      </w:r>
      <w:r w:rsidR="00000000">
        <w:t xml:space="preserve"> assurant l'intégrité de la piste d'audit.</w:t>
      </w:r>
    </w:p>
    <w:p w14:paraId="10201B1A" w14:textId="77777777" w:rsidR="00C943C1" w:rsidRDefault="00C943C1">
      <w:pPr>
        <w:spacing w:after="100"/>
      </w:pPr>
    </w:p>
    <w:p w14:paraId="3ABC721D" w14:textId="77777777" w:rsidR="00C943C1" w:rsidRDefault="00000000">
      <w:pPr>
        <w:pStyle w:val="ListParagraph"/>
        <w:numPr>
          <w:ilvl w:val="0"/>
          <w:numId w:val="2"/>
        </w:numPr>
        <w:spacing w:after="80" w:line="276" w:lineRule="auto"/>
      </w:pPr>
      <w:r>
        <w:rPr>
          <w:b/>
          <w:bCs/>
        </w:rPr>
        <w:t>Procédé d'analyse automatisée de cardiotocogrammes (CTG) par réseau neuronal hybride, caractérisé en ce qu'il comprend :</w:t>
      </w:r>
    </w:p>
    <w:p w14:paraId="6A7288D1" w14:textId="06EF5EFF" w:rsidR="00C943C1" w:rsidRDefault="00000000">
      <w:pPr>
        <w:pStyle w:val="ListParagraph"/>
        <w:numPr>
          <w:ilvl w:val="0"/>
          <w:numId w:val="3"/>
        </w:numPr>
        <w:spacing w:after="80" w:line="276" w:lineRule="auto"/>
      </w:pPr>
      <w:r>
        <w:t>une étape d'extraction de caractéristiques par au moins trois couches de convolution unidimensionnelle (1D-CNN) avec noyaux de tailles décroissantes (7, 5, 3), normalisation par lot</w:t>
      </w:r>
      <w:r w:rsidR="00075565">
        <w:t>s</w:t>
      </w:r>
      <w:r>
        <w:t xml:space="preserve"> et sous-échantillonnage ;</w:t>
      </w:r>
    </w:p>
    <w:p w14:paraId="46F7A24D" w14:textId="77777777" w:rsidR="00C943C1" w:rsidRDefault="00000000">
      <w:pPr>
        <w:pStyle w:val="ListParagraph"/>
        <w:numPr>
          <w:ilvl w:val="0"/>
          <w:numId w:val="3"/>
        </w:numPr>
        <w:spacing w:after="80" w:line="276" w:lineRule="auto"/>
      </w:pPr>
      <w:r>
        <w:t>une étape de modélisation de dépendances temporelles par au moins deux couches de mémoire bidirectionnelle longue à court terme (BiLSTM) empilées avec régularisation par abandon (dropout) ;</w:t>
      </w:r>
    </w:p>
    <w:p w14:paraId="251A3ECA" w14:textId="77777777" w:rsidR="00C943C1" w:rsidRDefault="00000000">
      <w:pPr>
        <w:pStyle w:val="ListParagraph"/>
        <w:numPr>
          <w:ilvl w:val="0"/>
          <w:numId w:val="3"/>
        </w:numPr>
        <w:spacing w:after="80" w:line="276" w:lineRule="auto"/>
      </w:pPr>
      <w:r>
        <w:t>une étape d'attention multi-têtes (multi-head self-attention) avec H ≥ 4 têtes d'attention capturant les relations entre segments distants du tracé CTG ;</w:t>
      </w:r>
    </w:p>
    <w:p w14:paraId="7AE7848D" w14:textId="77777777" w:rsidR="00C943C1" w:rsidRDefault="00000000">
      <w:pPr>
        <w:pStyle w:val="ListParagraph"/>
        <w:numPr>
          <w:ilvl w:val="0"/>
          <w:numId w:val="3"/>
        </w:numPr>
        <w:spacing w:after="80" w:line="276" w:lineRule="auto"/>
      </w:pPr>
      <w:r>
        <w:lastRenderedPageBreak/>
        <w:t>une étape de classification Softmax produisant une probabilité d'appartenance à chacune d'au moins trois classes conformes à la classification FIGO (normal, suspect, pathologique) ;</w:t>
      </w:r>
    </w:p>
    <w:p w14:paraId="1ED505C4" w14:textId="5971C562" w:rsidR="00C943C1" w:rsidRDefault="00075565">
      <w:pPr>
        <w:pStyle w:val="ListParagraph"/>
        <w:numPr>
          <w:ilvl w:val="0"/>
          <w:numId w:val="3"/>
        </w:numPr>
        <w:spacing w:after="80" w:line="276" w:lineRule="auto"/>
      </w:pPr>
      <w:r>
        <w:t>U</w:t>
      </w:r>
      <w:r w:rsidR="00000000">
        <w:t>ne étape de génération d'une carte de chaleur temporelle par GradCAM Temporel (GradCAM-T) identifiant les segments du tracé CTG ayant contribué à la classification, permettant au clinicien de vérifier la cohérence du diagnostic algorithmique.</w:t>
      </w:r>
    </w:p>
    <w:p w14:paraId="6D4B034C" w14:textId="77777777" w:rsidR="00C943C1" w:rsidRDefault="00C943C1">
      <w:pPr>
        <w:spacing w:after="100"/>
      </w:pPr>
    </w:p>
    <w:p w14:paraId="71CA654E" w14:textId="77777777" w:rsidR="00C943C1" w:rsidRDefault="00000000">
      <w:pPr>
        <w:pStyle w:val="ListParagraph"/>
        <w:numPr>
          <w:ilvl w:val="0"/>
          <w:numId w:val="2"/>
        </w:numPr>
        <w:spacing w:after="80" w:line="276" w:lineRule="auto"/>
      </w:pPr>
      <w:r>
        <w:rPr>
          <w:b/>
          <w:bCs/>
        </w:rPr>
        <w:t>Système de prédiction de césarienne avec explicabilité en temps réel, caractérisé en ce qu'il comprend :</w:t>
      </w:r>
    </w:p>
    <w:p w14:paraId="7C9D5459" w14:textId="77777777" w:rsidR="00C943C1" w:rsidRDefault="00000000">
      <w:pPr>
        <w:pStyle w:val="ListParagraph"/>
        <w:numPr>
          <w:ilvl w:val="0"/>
          <w:numId w:val="3"/>
        </w:numPr>
        <w:spacing w:after="80" w:line="276" w:lineRule="auto"/>
      </w:pPr>
      <w:r>
        <w:t>un module d'intégration de données triple combinant : des variables trajectorielles de partogramme numérique (dilatation cervicale dynamique, effacement, station, franchissement de lignes d'alerte et d'action), des caractéristiques maternelles (âge, BMI, parité, antécédents), et des caractéristiques CTG temps réel extraites par le procédé de la revendication 2 ;</w:t>
      </w:r>
    </w:p>
    <w:p w14:paraId="3AB9D3A4" w14:textId="77777777" w:rsidR="00C943C1" w:rsidRDefault="00000000">
      <w:pPr>
        <w:pStyle w:val="ListParagraph"/>
        <w:numPr>
          <w:ilvl w:val="0"/>
          <w:numId w:val="3"/>
        </w:numPr>
        <w:spacing w:after="80" w:line="276" w:lineRule="auto"/>
      </w:pPr>
      <w:r>
        <w:t>un modèle de gradient boosting de type XGBoost entraîné sur un corpus d'au moins 10 000 accouchements avec équilibrage des classes par sur-échantillonnage synthétique (SMOTE) ;</w:t>
      </w:r>
    </w:p>
    <w:p w14:paraId="05F9176B" w14:textId="7A34FC11" w:rsidR="00C943C1" w:rsidRDefault="00075565">
      <w:pPr>
        <w:pStyle w:val="ListParagraph"/>
        <w:numPr>
          <w:ilvl w:val="0"/>
          <w:numId w:val="3"/>
        </w:numPr>
        <w:spacing w:after="80" w:line="276" w:lineRule="auto"/>
      </w:pPr>
      <w:r>
        <w:t>U</w:t>
      </w:r>
      <w:r w:rsidR="00000000">
        <w:t>n module de calcul de</w:t>
      </w:r>
      <w:r>
        <w:t>s</w:t>
      </w:r>
      <w:r w:rsidR="00000000">
        <w:t xml:space="preserve"> valeurs d'explicabilité SHAP par </w:t>
      </w:r>
      <w:r>
        <w:t>l’</w:t>
      </w:r>
      <w:r w:rsidR="00000000">
        <w:t>algorithme TreeSHAP</w:t>
      </w:r>
      <w:r>
        <w:t>,</w:t>
      </w:r>
      <w:r w:rsidR="00000000">
        <w:t xml:space="preserve"> en temps réel (latence &lt; 500 ms par prédiction)</w:t>
      </w:r>
      <w:r>
        <w:t>,</w:t>
      </w:r>
      <w:r w:rsidR="00000000">
        <w:t xml:space="preserve"> fournissant, pour chaque prédiction, la contribution individuelle de chaque variable d'entrée au résultat.</w:t>
      </w:r>
    </w:p>
    <w:p w14:paraId="4004195F" w14:textId="77777777" w:rsidR="00C943C1" w:rsidRDefault="00C943C1">
      <w:pPr>
        <w:spacing w:after="100"/>
      </w:pPr>
    </w:p>
    <w:p w14:paraId="784E1F82" w14:textId="77777777" w:rsidR="00C943C1" w:rsidRDefault="00000000">
      <w:pPr>
        <w:pStyle w:val="ListParagraph"/>
        <w:numPr>
          <w:ilvl w:val="0"/>
          <w:numId w:val="2"/>
        </w:numPr>
        <w:spacing w:after="80" w:line="276" w:lineRule="auto"/>
      </w:pPr>
      <w:r>
        <w:rPr>
          <w:b/>
          <w:bCs/>
        </w:rPr>
        <w:t>Cadre de gouvernance pour système d'intelligence artificielle médicale à haut risque, caractérisé en ce qu'il comprend :</w:t>
      </w:r>
    </w:p>
    <w:p w14:paraId="681BC1CC" w14:textId="77777777" w:rsidR="00C943C1" w:rsidRDefault="00000000">
      <w:pPr>
        <w:pStyle w:val="ListParagraph"/>
        <w:numPr>
          <w:ilvl w:val="0"/>
          <w:numId w:val="3"/>
        </w:numPr>
        <w:spacing w:after="80" w:line="276" w:lineRule="auto"/>
      </w:pPr>
      <w:r>
        <w:t>un évaluateur de criticité calculant un score c(r) ∈ [0,1] pour chaque recommandation IA en fonction du risque clinique, déclenchant automatiquement une interruption et une validation humaine obligatoire lorsque le score dépasse un seuil paramétrable ;</w:t>
      </w:r>
    </w:p>
    <w:p w14:paraId="0BE6ADD1" w14:textId="77777777" w:rsidR="00C943C1" w:rsidRDefault="00000000">
      <w:pPr>
        <w:pStyle w:val="ListParagraph"/>
        <w:numPr>
          <w:ilvl w:val="0"/>
          <w:numId w:val="3"/>
        </w:numPr>
        <w:spacing w:after="80" w:line="276" w:lineRule="auto"/>
      </w:pPr>
      <w:r>
        <w:t>une chaîne d'escalade hiérarchique à N ≥ 2 niveaux, chaque niveau disposant d'un ensemble de personnels cliniques assignés, d'un délai maximal de prise en charge δₙ et de K ≥ 2 canaux de notification indépendants, avec escalade automatique au niveau supérieur en cas d'expiration du délai ;</w:t>
      </w:r>
    </w:p>
    <w:p w14:paraId="2BA6E453" w14:textId="77777777" w:rsidR="00C943C1" w:rsidRDefault="00000000">
      <w:pPr>
        <w:pStyle w:val="ListParagraph"/>
        <w:numPr>
          <w:ilvl w:val="0"/>
          <w:numId w:val="3"/>
        </w:numPr>
        <w:spacing w:after="80" w:line="276" w:lineRule="auto"/>
      </w:pPr>
      <w:r>
        <w:t>un journal d'audit par chaîne de hachage SHA-256 enregistrant séquentiellement chaque événement avec chaînage cryptographique (Hₙ = SHA-256(Hₙ₋₁ ‖ serialize(Eₙ))), garantissant l'immuabilité et l'intégrité de la piste d'audit ;</w:t>
      </w:r>
    </w:p>
    <w:p w14:paraId="3C91FCE0" w14:textId="51DEEDA0" w:rsidR="00C943C1" w:rsidRDefault="00075565">
      <w:pPr>
        <w:pStyle w:val="ListParagraph"/>
        <w:numPr>
          <w:ilvl w:val="0"/>
          <w:numId w:val="3"/>
        </w:numPr>
        <w:spacing w:after="80" w:line="276" w:lineRule="auto"/>
      </w:pPr>
      <w:r>
        <w:t>U</w:t>
      </w:r>
      <w:r w:rsidR="00000000">
        <w:t xml:space="preserve">n générateur de rapports de conformité automatiques pour les autorités réglementaires (ANSM, organismes notifiés MDR) documentant la conformité aux </w:t>
      </w:r>
      <w:r>
        <w:t>a</w:t>
      </w:r>
      <w:r w:rsidR="00000000">
        <w:t>rticles 9, 12 et 14 du Règlement (UE) 2024/1689.</w:t>
      </w:r>
    </w:p>
    <w:p w14:paraId="479EE41B" w14:textId="77777777" w:rsidR="00C943C1" w:rsidRDefault="00C943C1">
      <w:pPr>
        <w:spacing w:after="100"/>
      </w:pPr>
    </w:p>
    <w:p w14:paraId="35A1CBA2" w14:textId="77777777" w:rsidR="00C943C1" w:rsidRDefault="00000000">
      <w:pPr>
        <w:pStyle w:val="ListParagraph"/>
        <w:numPr>
          <w:ilvl w:val="0"/>
          <w:numId w:val="2"/>
        </w:numPr>
        <w:spacing w:after="80" w:line="276" w:lineRule="auto"/>
      </w:pPr>
      <w:r>
        <w:rPr>
          <w:b/>
          <w:bCs/>
        </w:rPr>
        <w:lastRenderedPageBreak/>
        <w:t>Procédé de routage conditionnel de données cliniques pour la souveraineté numérique européenne, caractérisé en ce qu'il comprend :</w:t>
      </w:r>
    </w:p>
    <w:p w14:paraId="1B0DC7F1" w14:textId="77777777" w:rsidR="00C943C1" w:rsidRDefault="00000000">
      <w:pPr>
        <w:pStyle w:val="ListParagraph"/>
        <w:numPr>
          <w:ilvl w:val="0"/>
          <w:numId w:val="3"/>
        </w:numPr>
        <w:spacing w:after="80" w:line="276" w:lineRule="auto"/>
      </w:pPr>
      <w:r>
        <w:t>une étape de classification automatique de chaque donnée clinique selon les catégories de l'article 9 du RGPD (données de santé, données génétiques, données biométriques), avec traitement spécifique des données obstétricales impliquant un double sujet de données (mère et fœtus) ;</w:t>
      </w:r>
    </w:p>
    <w:p w14:paraId="7ABC23F7" w14:textId="77777777" w:rsidR="00C943C1" w:rsidRDefault="00000000">
      <w:pPr>
        <w:pStyle w:val="ListParagraph"/>
        <w:numPr>
          <w:ilvl w:val="0"/>
          <w:numId w:val="3"/>
        </w:numPr>
        <w:spacing w:after="80" w:line="276" w:lineRule="auto"/>
      </w:pPr>
      <w:r>
        <w:t>un registre de fournisseurs LLM associant à chaque modèle des métadonnées de souveraineté comprenant la localisation d'hébergement, la certification RGPD, le statut d'adéquation du pays tiers et les clauses contractuelles applicables ;</w:t>
      </w:r>
    </w:p>
    <w:p w14:paraId="1EBCBC82" w14:textId="0D0CA352" w:rsidR="00C943C1" w:rsidRDefault="00075565">
      <w:pPr>
        <w:pStyle w:val="ListParagraph"/>
        <w:numPr>
          <w:ilvl w:val="0"/>
          <w:numId w:val="3"/>
        </w:numPr>
        <w:spacing w:after="80" w:line="276" w:lineRule="auto"/>
      </w:pPr>
      <w:r>
        <w:t>U</w:t>
      </w:r>
      <w:r w:rsidR="00000000">
        <w:t>ne fonction de routage R(d) = argmin_{m ∈ M_compliant(c(d))} latency(m)</w:t>
      </w:r>
      <w:r>
        <w:t>,</w:t>
      </w:r>
      <w:r w:rsidR="00000000">
        <w:t xml:space="preserve"> forçant le traitement des données de catégorie génétique ou biométrique</w:t>
      </w:r>
      <w:r>
        <w:t xml:space="preserve"> à être effectué</w:t>
      </w:r>
      <w:r w:rsidR="00000000">
        <w:t xml:space="preserve"> exclusivement par des modèles LLM hébergés dans l'Espace Économique Européen.</w:t>
      </w:r>
    </w:p>
    <w:p w14:paraId="499891C8" w14:textId="77777777" w:rsidR="00C943C1" w:rsidRDefault="00C943C1">
      <w:pPr>
        <w:spacing w:after="100"/>
      </w:pPr>
    </w:p>
    <w:p w14:paraId="7D1D753A" w14:textId="77777777" w:rsidR="00C943C1" w:rsidRDefault="00000000">
      <w:pPr>
        <w:pStyle w:val="ListParagraph"/>
        <w:numPr>
          <w:ilvl w:val="0"/>
          <w:numId w:val="2"/>
        </w:numPr>
        <w:spacing w:after="80" w:line="276" w:lineRule="auto"/>
      </w:pPr>
      <w:r>
        <w:rPr>
          <w:b/>
          <w:bCs/>
        </w:rPr>
        <w:t>Pipeline de validation sémantique de ressources FHIR R4 par grand modèle de langage adapté, caractérisé en ce qu'il comprend :</w:t>
      </w:r>
    </w:p>
    <w:p w14:paraId="6E272E86" w14:textId="77777777" w:rsidR="00C943C1" w:rsidRDefault="00000000">
      <w:pPr>
        <w:pStyle w:val="ListParagraph"/>
        <w:numPr>
          <w:ilvl w:val="0"/>
          <w:numId w:val="3"/>
        </w:numPr>
        <w:spacing w:after="80" w:line="276" w:lineRule="auto"/>
      </w:pPr>
      <w:r>
        <w:t>un pipeline événementiel Apache Kafka traitant les ressources FHIR R4 en streaming avec partitionnement par type de ressource et identifiant patient ;</w:t>
      </w:r>
    </w:p>
    <w:p w14:paraId="7030BFA4" w14:textId="77777777" w:rsidR="00C943C1" w:rsidRDefault="00000000">
      <w:pPr>
        <w:pStyle w:val="ListParagraph"/>
        <w:numPr>
          <w:ilvl w:val="0"/>
          <w:numId w:val="3"/>
        </w:numPr>
        <w:spacing w:after="80" w:line="276" w:lineRule="auto"/>
      </w:pPr>
      <w:r>
        <w:t>un module de validation syntaxique vérifiant la conformité aux profils FHIR applicables (FR Core, IPS, CARIN Alliance) ;</w:t>
      </w:r>
    </w:p>
    <w:p w14:paraId="1934E540" w14:textId="77777777" w:rsidR="00C943C1" w:rsidRDefault="00000000">
      <w:pPr>
        <w:pStyle w:val="ListParagraph"/>
        <w:numPr>
          <w:ilvl w:val="0"/>
          <w:numId w:val="3"/>
        </w:numPr>
        <w:spacing w:after="80" w:line="276" w:lineRule="auto"/>
      </w:pPr>
      <w:r>
        <w:t>un module de validation sémantique utilisant un grand modèle de langage pré-entraîné adapté par ajustement fin de rang faible (LoRA) avec factorisation W = W₀ + (α/r) · B · A sur un corpus d'au moins 5 000 dossiers obstétricaux annotés, détectant les incohérences sémantiques et les contradictions cliniques ;</w:t>
      </w:r>
    </w:p>
    <w:p w14:paraId="1D4B86AB" w14:textId="77777777" w:rsidR="00C943C1" w:rsidRDefault="00000000">
      <w:pPr>
        <w:pStyle w:val="ListParagraph"/>
        <w:numPr>
          <w:ilvl w:val="0"/>
          <w:numId w:val="3"/>
        </w:numPr>
        <w:spacing w:after="80" w:line="276" w:lineRule="auto"/>
      </w:pPr>
      <w:r>
        <w:t>un module de mapping terminologique automatique bidirectionnel entre SNOMED-CT, ICD-11 et LOINC avec résolution des ambiguïtés par ledit LLM adapté ;</w:t>
      </w:r>
    </w:p>
    <w:p w14:paraId="757A0D5C" w14:textId="5BBF068F" w:rsidR="00C943C1" w:rsidRDefault="00075565">
      <w:pPr>
        <w:pStyle w:val="ListParagraph"/>
        <w:numPr>
          <w:ilvl w:val="0"/>
          <w:numId w:val="3"/>
        </w:numPr>
        <w:spacing w:after="80" w:line="276" w:lineRule="auto"/>
      </w:pPr>
      <w:r>
        <w:t>U</w:t>
      </w:r>
      <w:r w:rsidR="00000000">
        <w:t>ne latence de traitement inférieure à 500 millisecondes par ressource FHIR.</w:t>
      </w:r>
    </w:p>
    <w:p w14:paraId="665F67F3" w14:textId="77777777" w:rsidR="00C943C1" w:rsidRDefault="00000000">
      <w:r>
        <w:br w:type="page"/>
      </w:r>
    </w:p>
    <w:p w14:paraId="7523B3E9" w14:textId="77777777" w:rsidR="00C943C1" w:rsidRDefault="00000000">
      <w:pPr>
        <w:pStyle w:val="Heading1"/>
      </w:pPr>
      <w:r>
        <w:lastRenderedPageBreak/>
        <w:t>PARTIE V — ACTIVITÉ INVENTIVE</w:t>
      </w:r>
    </w:p>
    <w:p w14:paraId="75B9DB4A" w14:textId="1ACE72D0" w:rsidR="00C943C1" w:rsidRDefault="00000000">
      <w:pPr>
        <w:spacing w:after="120" w:line="276" w:lineRule="auto"/>
        <w:jc w:val="both"/>
      </w:pPr>
      <w:r>
        <w:t>[0074] L'activité inventive est évaluée selon l'approche COMVIK (EPO Guidelines for Examination, Partie G-VII, 5.4, 2025), qui applique le test problème-solution aux inventions mixtes technique</w:t>
      </w:r>
      <w:r w:rsidR="00075565">
        <w:t>s/non-techniques</w:t>
      </w:r>
      <w:r>
        <w:t xml:space="preserve"> en deux étapes : (1) identification du caractère technique de chaque caractéristique, (2) évaluation de l'évidence de la combinaison technique pour l'homme du métier (Office européen des brevets, 2025).</w:t>
      </w:r>
    </w:p>
    <w:p w14:paraId="761EAA6E" w14:textId="77777777" w:rsidR="00C943C1" w:rsidRDefault="00000000">
      <w:pPr>
        <w:pStyle w:val="Heading2"/>
      </w:pPr>
      <w:r>
        <w:t>5.1 INV-01 — Activité inventive de l'orchestration multi-agents</w:t>
      </w:r>
    </w:p>
    <w:p w14:paraId="117D243E" w14:textId="118411AB" w:rsidR="00C943C1" w:rsidRDefault="00000000">
      <w:pPr>
        <w:spacing w:after="120" w:line="276" w:lineRule="auto"/>
        <w:jc w:val="both"/>
      </w:pPr>
      <w:r>
        <w:t>[0075] L'art antérieur le plus proche est MDAgents (Kim et al., 2024)</w:t>
      </w:r>
      <w:r w:rsidR="00075565">
        <w:t>,</w:t>
      </w:r>
      <w:r>
        <w:t xml:space="preserve"> qui propose un routage monodimensionnel par complexité. Le problème technique objectif est de fournir un routage multi-agents fiable </w:t>
      </w:r>
      <w:r w:rsidR="00075565">
        <w:t>dans u</w:t>
      </w:r>
      <w:r>
        <w:t>n contexte de surveillance obstétricale critique</w:t>
      </w:r>
      <w:r w:rsidR="00075565">
        <w:t>,</w:t>
      </w:r>
      <w:r>
        <w:t xml:space="preserve"> avec </w:t>
      </w:r>
      <w:r w:rsidR="00075565">
        <w:t xml:space="preserve">des </w:t>
      </w:r>
      <w:r>
        <w:t xml:space="preserve">garanties de temps de réponse et de traçabilité. La combinaison d'un routage quadridimensionnel (urgence, tâche, complexité, souveraineté), d'un disjoncteur à trois états, d'une escalade hiérarchique temporisée et d'un audit SHA-256 chaîné ne découle pas de manière évidente de l'art antérieur. Aucun des documents cités (US20230377770A1, WO2024/012185A1, WO2022/248901A1) ne suggère cette combinaison spécifique </w:t>
      </w:r>
      <w:r w:rsidR="00075565">
        <w:t>dans</w:t>
      </w:r>
      <w:r>
        <w:t xml:space="preserve"> le domaine médical. Score COMVIK: 8.2/10.</w:t>
      </w:r>
    </w:p>
    <w:p w14:paraId="08E40FC1" w14:textId="77777777" w:rsidR="00C943C1" w:rsidRDefault="00000000">
      <w:pPr>
        <w:pStyle w:val="Heading2"/>
      </w:pPr>
      <w:r>
        <w:t>5.2 INV-02 — Activité inventive de l'analyse CTG hybride</w:t>
      </w:r>
    </w:p>
    <w:p w14:paraId="303D1F8E" w14:textId="6C4DF558" w:rsidR="00C943C1" w:rsidRDefault="00000000">
      <w:pPr>
        <w:spacing w:after="120" w:line="276" w:lineRule="auto"/>
        <w:jc w:val="both"/>
      </w:pPr>
      <w:r>
        <w:t>[0076] L'art antérieur le plus proche est Liang et Lu (2023) avec CNN+BiGRU (AUC 0</w:t>
      </w:r>
      <w:r w:rsidR="00075565">
        <w:t>,</w:t>
      </w:r>
      <w:r>
        <w:t>91). Le problème technique objectif est d'améliorer simultanément la précision de classification CTG et l'explicabilité pour le clinicien. L'architecture hybride CNN+BiLSTM+MultiHeadAttention combinée avec GradCAM-T constitue une contribution technique non évidente : (a) le remplacement de BiGRU par BiLSTM avec attention multi-têtes capture des dépendances que le BiGRU seul ne modélise pas ; (b) l'adaptation de GradCAM au domaine temporel 1D pour les CTG n'a jamais été décrite. L'homme du métier, partant de Liang et Lu, n'aurait pas été amené de manière évidente à combiner ces quatre composants spécifiques. Score COMVIK: 9.1/10.</w:t>
      </w:r>
    </w:p>
    <w:p w14:paraId="33F04628" w14:textId="77777777" w:rsidR="00C943C1" w:rsidRDefault="00000000">
      <w:pPr>
        <w:pStyle w:val="Heading2"/>
      </w:pPr>
      <w:r>
        <w:t>5.3 INV-03 — Activité inventive de la prédiction césarienne</w:t>
      </w:r>
    </w:p>
    <w:p w14:paraId="23C02F85" w14:textId="1B471F7C" w:rsidR="00C943C1" w:rsidRDefault="00000000">
      <w:pPr>
        <w:spacing w:after="120" w:line="276" w:lineRule="auto"/>
        <w:jc w:val="both"/>
      </w:pPr>
      <w:r>
        <w:t xml:space="preserve">[0077] L'art antérieur le plus proche est </w:t>
      </w:r>
      <w:r w:rsidR="00075565">
        <w:t xml:space="preserve">celui de </w:t>
      </w:r>
      <w:r>
        <w:t>Hu et al. (2025, AUC 0</w:t>
      </w:r>
      <w:r w:rsidR="00075565">
        <w:t>,</w:t>
      </w:r>
      <w:r>
        <w:t xml:space="preserve">76). Le problème technique objectif est d'intégrer les variables dynamiques du partogramme </w:t>
      </w:r>
      <w:r w:rsidR="00075565">
        <w:t>à</w:t>
      </w:r>
      <w:r>
        <w:t xml:space="preserve"> un modèle prédictif </w:t>
      </w:r>
      <w:r w:rsidR="00075565">
        <w:t>explicatif</w:t>
      </w:r>
      <w:r>
        <w:t xml:space="preserve"> </w:t>
      </w:r>
      <w:r w:rsidR="00075565">
        <w:t xml:space="preserve">en </w:t>
      </w:r>
      <w:r>
        <w:t xml:space="preserve">temps réel. La triple intégration partogramme numérique + caractéristiques maternelles + CTG </w:t>
      </w:r>
      <w:r w:rsidR="00075565">
        <w:t xml:space="preserve">en </w:t>
      </w:r>
      <w:r>
        <w:t>temps réel</w:t>
      </w:r>
      <w:r w:rsidR="00075565">
        <w:t>,</w:t>
      </w:r>
      <w:r>
        <w:t xml:space="preserve"> comme entrée d'un XGBoost avec TreeSHAP</w:t>
      </w:r>
      <w:r w:rsidR="00075565">
        <w:t>,</w:t>
      </w:r>
      <w:r>
        <w:t xml:space="preserve"> &lt; 500 ms</w:t>
      </w:r>
      <w:r w:rsidR="00075565">
        <w:t>,</w:t>
      </w:r>
      <w:r>
        <w:t xml:space="preserve"> ne découle pas de la combinaison de Hu et al. (prédiction sans partogramme) avec l'ePartogram (Sanghvi et al., 2019 ; partogramme sans ML). Score COMVIK: 8.5/10.</w:t>
      </w:r>
    </w:p>
    <w:p w14:paraId="1EEBC3A1" w14:textId="77777777" w:rsidR="00C943C1" w:rsidRDefault="00000000">
      <w:pPr>
        <w:pStyle w:val="Heading2"/>
      </w:pPr>
      <w:r>
        <w:t>5.4 INV-04 — Activité inventive de la gouvernance IA</w:t>
      </w:r>
    </w:p>
    <w:p w14:paraId="55BCC7CF" w14:textId="128F9F4F" w:rsidR="00C943C1" w:rsidRDefault="00000000">
      <w:pPr>
        <w:spacing w:after="120" w:line="276" w:lineRule="auto"/>
        <w:jc w:val="both"/>
      </w:pPr>
      <w:r>
        <w:t xml:space="preserve">[0078] L'art antérieur le plus proche est </w:t>
      </w:r>
      <w:r w:rsidR="00075565">
        <w:t xml:space="preserve">celui de </w:t>
      </w:r>
      <w:r>
        <w:t xml:space="preserve">Joseph (2023) </w:t>
      </w:r>
      <w:r w:rsidR="00075565">
        <w:t>sur</w:t>
      </w:r>
      <w:r>
        <w:t xml:space="preserve"> SHA-256 post-hoc en radiologie. Le problème technique objectif est de garantir un contrôle humain effectif en temps réel avec traçabilité cryptographique. La combinaison évaluation de </w:t>
      </w:r>
      <w:r w:rsidR="00075565">
        <w:t xml:space="preserve">la </w:t>
      </w:r>
      <w:r>
        <w:t xml:space="preserve">criticité + interruption </w:t>
      </w:r>
      <w:r>
        <w:lastRenderedPageBreak/>
        <w:t>automatique + escalade N niveaux temporisée + audit SHA-256 chaîné + rapports de conformité automatiques ne découle pas de l'art antérieur. Le Règlement (UE) 2024/1689 définit les exigences mais ne prescrit pas d'architecture technique pour les satisfaire. Score COMVIK: 8.8/10.</w:t>
      </w:r>
    </w:p>
    <w:p w14:paraId="464A459D" w14:textId="77777777" w:rsidR="00C943C1" w:rsidRDefault="00000000">
      <w:pPr>
        <w:pStyle w:val="Heading2"/>
      </w:pPr>
      <w:r>
        <w:t>5.5 INV-05 — Activité inventive du routage souveraineté</w:t>
      </w:r>
    </w:p>
    <w:p w14:paraId="2A5D63B7" w14:textId="09645321" w:rsidR="00C943C1" w:rsidRDefault="00000000">
      <w:pPr>
        <w:spacing w:after="120" w:line="276" w:lineRule="auto"/>
        <w:jc w:val="both"/>
      </w:pPr>
      <w:r>
        <w:t xml:space="preserve">[0079] L'art antérieur le plus proche est PRISM (Zhan et al., 2025). Le problème technique objectif est d'assurer la conformité </w:t>
      </w:r>
      <w:r w:rsidR="00075565">
        <w:t>au</w:t>
      </w:r>
      <w:r>
        <w:t xml:space="preserve"> </w:t>
      </w:r>
      <w:r w:rsidR="00075565">
        <w:t>RGPD, a</w:t>
      </w:r>
      <w:r>
        <w:t>rt. 9</w:t>
      </w:r>
      <w:r w:rsidR="00075565">
        <w:t>,</w:t>
      </w:r>
      <w:r>
        <w:t xml:space="preserve"> dans le routage de requêtes LLM pour des données cliniques obstétricales. La classification automatique de données cliniques selon les catégories </w:t>
      </w:r>
      <w:r w:rsidR="00075565">
        <w:t xml:space="preserve">du </w:t>
      </w:r>
      <w:r>
        <w:t xml:space="preserve">RGPD </w:t>
      </w:r>
      <w:r w:rsidR="00075565">
        <w:t>a</w:t>
      </w:r>
      <w:r>
        <w:t xml:space="preserve">rt. 9, combinée à un registre de souveraineté LLM et </w:t>
      </w:r>
      <w:r w:rsidR="00075565">
        <w:t xml:space="preserve">à </w:t>
      </w:r>
      <w:r>
        <w:t xml:space="preserve">un routage juridictionnel, ne découle </w:t>
      </w:r>
      <w:r w:rsidR="00075565">
        <w:t>ni</w:t>
      </w:r>
      <w:r>
        <w:t xml:space="preserve"> de PRISM (modulation sémantique généraliste) ni du code CISPE (infrastructure cloud sans routage LLM). Le traitement spécifique du double sujet de données (mère/fœtus) renforce le caractère non évident. Score COMVIK: 7.2/10.</w:t>
      </w:r>
    </w:p>
    <w:p w14:paraId="5BC7287D" w14:textId="77777777" w:rsidR="00C943C1" w:rsidRDefault="00000000">
      <w:pPr>
        <w:pStyle w:val="Heading2"/>
      </w:pPr>
      <w:r>
        <w:t>5.6 INV-06 — Activité inventive du pipeline FHIR LoRA</w:t>
      </w:r>
    </w:p>
    <w:p w14:paraId="0269286B" w14:textId="7873814D" w:rsidR="00C943C1" w:rsidRDefault="00000000">
      <w:pPr>
        <w:spacing w:after="120" w:line="276" w:lineRule="auto"/>
        <w:jc w:val="both"/>
      </w:pPr>
      <w:r>
        <w:t xml:space="preserve">[0080] L'art antérieur le plus proche est IBM EP4145462A1 (validation FHIR déterministe). Le problème technique objectif est de fournir une validation sémantique intelligente des ressources FHIR </w:t>
      </w:r>
      <w:r w:rsidR="00075565">
        <w:t>dans u</w:t>
      </w:r>
      <w:r>
        <w:t xml:space="preserve">n contexte obstétrical. L'utilisation d'un LLM adapté par LoRA (Hu et al., 2022) comme couche de validation sémantique dans un pipeline FHIR </w:t>
      </w:r>
      <w:r w:rsidR="00075565">
        <w:t xml:space="preserve">en </w:t>
      </w:r>
      <w:r>
        <w:t xml:space="preserve">temps réel constitue un effet technique synergique non évident : le LLM LoRA capture la sémantique médicale que les règles déterministes ne peuvent </w:t>
      </w:r>
      <w:r w:rsidR="00075565">
        <w:t xml:space="preserve">pas </w:t>
      </w:r>
      <w:r>
        <w:t>modéliser, tandis que le pipeline Kafka assure la latence</w:t>
      </w:r>
      <w:r w:rsidR="00075565">
        <w:t xml:space="preserve"> en</w:t>
      </w:r>
      <w:r>
        <w:t xml:space="preserve"> temps réel. Aucune application de LoRA en validation FHIR obstétricale n'e</w:t>
      </w:r>
      <w:r w:rsidR="00075565">
        <w:t>st décri</w:t>
      </w:r>
      <w:r>
        <w:t>te dans l</w:t>
      </w:r>
      <w:r w:rsidR="00075565">
        <w:t>a littérature</w:t>
      </w:r>
      <w:r>
        <w:t xml:space="preserve"> antérieur</w:t>
      </w:r>
      <w:r w:rsidR="00075565">
        <w:t>e</w:t>
      </w:r>
      <w:r>
        <w:t>. Score COMVIK: 8.0/10.</w:t>
      </w:r>
    </w:p>
    <w:p w14:paraId="17403EA8" w14:textId="77777777" w:rsidR="00C943C1" w:rsidRDefault="00000000">
      <w:pPr>
        <w:pStyle w:val="Heading2"/>
      </w:pPr>
      <w:r>
        <w:t>5.7 Activité inventive du système intégré</w:t>
      </w:r>
    </w:p>
    <w:p w14:paraId="16B065D6" w14:textId="2D6D11DB" w:rsidR="00C943C1" w:rsidRDefault="00000000">
      <w:pPr>
        <w:spacing w:after="120" w:line="276" w:lineRule="auto"/>
        <w:jc w:val="both"/>
      </w:pPr>
      <w:r>
        <w:t xml:space="preserve">[0081] Au-delà de l'activité inventive </w:t>
      </w:r>
      <w:r w:rsidR="00075565">
        <w:t>propre à</w:t>
      </w:r>
      <w:r>
        <w:t xml:space="preserve"> chaque invention, le système intégré SAIOSF v2.0 présente un effet synergique technique </w:t>
      </w:r>
      <w:r w:rsidR="00075565">
        <w:t>supplémentaire</w:t>
      </w:r>
      <w:r>
        <w:t xml:space="preserve"> : l'orchestration multi-agents (INV-01) route les données vers l'analyse CTG (INV-02) et la prédiction césarienne (INV-03), gouvernées par le cadre de validation (INV-04), avec routage souverain (INV-05) et interopérabilité FHIR (INV-06). Cette intégration crée un espace d'innovation inexploité (« océan bleu ») au sens de Kim et Mauborgne (2015), confirmé par l'analyse Blue Ocean </w:t>
      </w:r>
      <w:r w:rsidR="00075565">
        <w:t>mené</w:t>
      </w:r>
      <w:r>
        <w:t>e en Partie annexe.</w:t>
      </w:r>
    </w:p>
    <w:p w14:paraId="083F9312" w14:textId="77777777" w:rsidR="00C943C1" w:rsidRDefault="00000000">
      <w:r>
        <w:br w:type="page"/>
      </w:r>
    </w:p>
    <w:p w14:paraId="09F9C23B" w14:textId="77777777" w:rsidR="00C943C1" w:rsidRDefault="00000000">
      <w:pPr>
        <w:pStyle w:val="Heading1"/>
      </w:pPr>
      <w:r>
        <w:lastRenderedPageBreak/>
        <w:t>PARTIE VI — APPLICATION INDUSTRIELLE</w:t>
      </w:r>
    </w:p>
    <w:p w14:paraId="4D9CF6BF" w14:textId="77777777" w:rsidR="00C943C1" w:rsidRDefault="00000000">
      <w:pPr>
        <w:spacing w:after="120" w:line="276" w:lineRule="auto"/>
        <w:jc w:val="both"/>
      </w:pPr>
      <w:r>
        <w:t>[0082] Le système et les procédés objets de la présente invention trouvent leur application industrielle dans les domaines suivants :</w:t>
      </w:r>
    </w:p>
    <w:p w14:paraId="19B2E8C3" w14:textId="77777777" w:rsidR="00C943C1" w:rsidRDefault="00000000">
      <w:pPr>
        <w:pStyle w:val="Heading2"/>
      </w:pPr>
      <w:r>
        <w:t>6.1 Surveillance obstétricale hospitalière</w:t>
      </w:r>
    </w:p>
    <w:p w14:paraId="7F983F7A" w14:textId="738702B5" w:rsidR="00C943C1" w:rsidRDefault="00000000">
      <w:pPr>
        <w:spacing w:after="120" w:line="276" w:lineRule="auto"/>
        <w:jc w:val="both"/>
      </w:pPr>
      <w:r>
        <w:t xml:space="preserve">[0083] Application principale en salle de naissance et </w:t>
      </w:r>
      <w:r w:rsidR="00075565">
        <w:t xml:space="preserve">en </w:t>
      </w:r>
      <w:r>
        <w:t>bloc obstétrical des établissements hospitaliers publics et privés. Le système traite en temps réel les données de monitoring fœtal (CTG, oxymétrie, tocodynamométrie) et les données maternelles (signes vitaux, partogramme, dossier médical), fournissant une aide à la décision explicable aux sages-femmes et obstétriciens. La classification EU MDR 2017/745</w:t>
      </w:r>
      <w:r w:rsidR="00075565">
        <w:t>,</w:t>
      </w:r>
      <w:r>
        <w:t xml:space="preserve"> </w:t>
      </w:r>
      <w:r w:rsidR="00075565">
        <w:t>c</w:t>
      </w:r>
      <w:r>
        <w:t>lasse I</w:t>
      </w:r>
      <w:r w:rsidR="00075565">
        <w:t>i</w:t>
      </w:r>
      <w:r>
        <w:t>b</w:t>
      </w:r>
      <w:r w:rsidR="00075565">
        <w:t>,</w:t>
      </w:r>
      <w:r>
        <w:t xml:space="preserve"> et </w:t>
      </w:r>
      <w:r w:rsidR="00075565">
        <w:t>l'annexe III de l’</w:t>
      </w:r>
      <w:r>
        <w:t>EU AI Act</w:t>
      </w:r>
      <w:r w:rsidR="00075565">
        <w:t>, §</w:t>
      </w:r>
      <w:r>
        <w:t xml:space="preserve"> </w:t>
      </w:r>
      <w:r w:rsidR="00075565">
        <w:t>5,</w:t>
      </w:r>
      <w:r>
        <w:t xml:space="preserve"> confirment l'applicabilité industrielle du système </w:t>
      </w:r>
      <w:r w:rsidR="00075565">
        <w:t>en tant qu</w:t>
      </w:r>
      <w:r>
        <w:t>e dispositif médical à haut risque.</w:t>
      </w:r>
    </w:p>
    <w:p w14:paraId="0EC825D5" w14:textId="77777777" w:rsidR="00C943C1" w:rsidRDefault="00000000">
      <w:pPr>
        <w:pStyle w:val="Heading2"/>
      </w:pPr>
      <w:r>
        <w:t>6.2 Télémédecine obstétricale</w:t>
      </w:r>
    </w:p>
    <w:p w14:paraId="2F600F42" w14:textId="05B35EF4" w:rsidR="00C943C1" w:rsidRDefault="00000000">
      <w:pPr>
        <w:spacing w:after="120" w:line="276" w:lineRule="auto"/>
        <w:jc w:val="both"/>
      </w:pPr>
      <w:r>
        <w:t xml:space="preserve">[0084] Application </w:t>
      </w:r>
      <w:r w:rsidR="00075565">
        <w:t>de la</w:t>
      </w:r>
      <w:r>
        <w:t xml:space="preserve"> télésurveillance des grossesses à haut risque</w:t>
      </w:r>
      <w:r w:rsidR="00075565">
        <w:t>,</w:t>
      </w:r>
      <w:r>
        <w:t xml:space="preserve"> avec transmission sécurisée des données CTG et </w:t>
      </w:r>
      <w:r w:rsidR="00075565">
        <w:t xml:space="preserve">des </w:t>
      </w:r>
      <w:r>
        <w:t xml:space="preserve">prédictions vers l'obstétricien référent. Le routage souverain (INV-05) garantit la conformité </w:t>
      </w:r>
      <w:r w:rsidR="00075565">
        <w:t xml:space="preserve">au </w:t>
      </w:r>
      <w:r>
        <w:t xml:space="preserve">RGPD des flux de données transfrontaliers, </w:t>
      </w:r>
      <w:r w:rsidR="00075565">
        <w:t xml:space="preserve">ce qui est </w:t>
      </w:r>
      <w:r>
        <w:t>particulièrement pertinent pour les territoires d'outre-mer et les coopérations européennes.</w:t>
      </w:r>
    </w:p>
    <w:p w14:paraId="13361745" w14:textId="77777777" w:rsidR="00C943C1" w:rsidRDefault="00000000">
      <w:pPr>
        <w:pStyle w:val="Heading2"/>
      </w:pPr>
      <w:r>
        <w:t>6.3 Réseaux périnataux et registres nationaux</w:t>
      </w:r>
    </w:p>
    <w:p w14:paraId="1D275FB3" w14:textId="77777777" w:rsidR="00C943C1" w:rsidRDefault="00000000">
      <w:pPr>
        <w:spacing w:after="120" w:line="276" w:lineRule="auto"/>
        <w:jc w:val="both"/>
      </w:pPr>
      <w:r>
        <w:t>[0085] Application pour l'interopérabilité inter-établissements via le pipeline FHIR R4 (INV-06), permettant l'alimentation automatique des registres périnataux nationaux (PMSI, ENP) avec des données validées sémantiquement et codées conformément aux terminologies internationales (SNOMED-CT, ICD-11, LOINC).</w:t>
      </w:r>
    </w:p>
    <w:p w14:paraId="0A8F2142" w14:textId="77777777" w:rsidR="00C943C1" w:rsidRDefault="00000000">
      <w:pPr>
        <w:pStyle w:val="Heading2"/>
      </w:pPr>
      <w:r>
        <w:t>6.4 Valorisation économique</w:t>
      </w:r>
    </w:p>
    <w:p w14:paraId="2FFBA28A" w14:textId="45E509DC" w:rsidR="00C943C1" w:rsidRDefault="00000000">
      <w:pPr>
        <w:spacing w:after="120" w:line="276" w:lineRule="auto"/>
        <w:jc w:val="both"/>
      </w:pPr>
      <w:r>
        <w:t xml:space="preserve">[0086] La modélisation </w:t>
      </w:r>
      <w:r w:rsidR="00075565">
        <w:t>de Monte Carlo (n = 10 000 simulations) estime la Valeur Actuelle Nette (VAN) du portefeuille de brevets à EUR 47,3 millions [IC 95% : EUR 28,6 M – EUR 71,8 M] avec une probabilité de succès commercial de 72,4 % [IC 95% : 68,1 % – 76,7 %].</w:t>
      </w:r>
      <w:r>
        <w:t xml:space="preserve"> Le marché </w:t>
      </w:r>
      <w:r w:rsidR="00075565">
        <w:t>mondial adressable de l'IA pour le monitoring fœtal et obstétrical représente 8,2 milliards d’USD (2025),</w:t>
      </w:r>
      <w:r>
        <w:t xml:space="preserve"> avec un TCAC de 17</w:t>
      </w:r>
      <w:r w:rsidR="00075565">
        <w:t xml:space="preserve">,1 </w:t>
      </w:r>
      <w:r>
        <w:t>% (Grand View Research, 2024).</w:t>
      </w:r>
    </w:p>
    <w:p w14:paraId="63975F7F" w14:textId="77777777" w:rsidR="00C943C1" w:rsidRDefault="00000000">
      <w:r>
        <w:br w:type="page"/>
      </w:r>
    </w:p>
    <w:p w14:paraId="41378366" w14:textId="77777777" w:rsidR="00C943C1" w:rsidRDefault="00000000">
      <w:pPr>
        <w:pStyle w:val="Heading1"/>
      </w:pPr>
      <w:r>
        <w:lastRenderedPageBreak/>
        <w:t>PARTIE VII — ABRÉGÉ</w:t>
      </w:r>
    </w:p>
    <w:p w14:paraId="09B8A7FD" w14:textId="1C7D8892" w:rsidR="00C943C1" w:rsidRDefault="00000000">
      <w:pPr>
        <w:spacing w:after="120" w:line="276" w:lineRule="auto"/>
        <w:jc w:val="both"/>
      </w:pPr>
      <w:r>
        <w:rPr>
          <w:b/>
          <w:bCs/>
        </w:rPr>
        <w:t xml:space="preserve">Système et procédé d'orchestration multi-agents </w:t>
      </w:r>
      <w:r w:rsidR="00DF410F">
        <w:rPr>
          <w:b/>
          <w:bCs/>
        </w:rPr>
        <w:t>basés</w:t>
      </w:r>
      <w:r>
        <w:rPr>
          <w:b/>
          <w:bCs/>
        </w:rPr>
        <w:t xml:space="preserve"> </w:t>
      </w:r>
      <w:r w:rsidR="00DF410F">
        <w:rPr>
          <w:b/>
          <w:bCs/>
        </w:rPr>
        <w:t>sur</w:t>
      </w:r>
      <w:r>
        <w:rPr>
          <w:b/>
          <w:bCs/>
        </w:rPr>
        <w:t xml:space="preserve"> de grands modèles de langage pour la surveillance fœto-maternelle en temps réel.</w:t>
      </w:r>
    </w:p>
    <w:p w14:paraId="0C1156C7" w14:textId="297FF0F3" w:rsidR="00C943C1" w:rsidRDefault="00000000">
      <w:pPr>
        <w:spacing w:after="120" w:line="276" w:lineRule="auto"/>
        <w:jc w:val="both"/>
      </w:pPr>
      <w:r>
        <w:t xml:space="preserve">[0087] L'invention concerne un système (SAIOSF v2.0) et des procédés associés pour la surveillance obstétricale intégrée par </w:t>
      </w:r>
      <w:r w:rsidR="00DF410F">
        <w:t>l’</w:t>
      </w:r>
      <w:r>
        <w:t>intelligence artificielle. Le système comprend : (1) un orchestrateur multi-agents LLM avec routage contextuel clinique quadridimensionnel (urgence, tâche, complexité, souveraineté), mécanisme de disjoncteur à trois états et escalade humaine hiérarchique temporisée ; (2) un réseau neuronal hybride 1D-CNN + BiLSTM + Attention Multi-Têtes pour l'analyse de cardiotocogrammes avec carte de chaleur temporelle GradCAM-T explicable ; (3) un modèle XGBoost de prédiction de césarienne intégrant le partogramme numérique avec explicabilité SHAP en temps réel ; (4) un cadre de gouvernance avec validation humaine temporisée obligatoire et traçabilité par chaîne de hachage SHA-256 ; (5) un routage conditionnel de données cliniques pour la souveraineté numérique européenne conforme au RGPD Art. 9 ; et (6) un pipeline événementiel FHIR R4 avec validation sémantique par LLM adapté par LoRA. Le système est classé EU MDR 2017/745</w:t>
      </w:r>
      <w:r w:rsidR="00DF410F">
        <w:t>,</w:t>
      </w:r>
      <w:r>
        <w:t xml:space="preserve"> </w:t>
      </w:r>
      <w:r w:rsidR="00DF410F">
        <w:t>c</w:t>
      </w:r>
      <w:r>
        <w:t>lasse I</w:t>
      </w:r>
      <w:r w:rsidR="00DF410F">
        <w:t>i</w:t>
      </w:r>
      <w:r>
        <w:t>b</w:t>
      </w:r>
      <w:r w:rsidR="00DF410F">
        <w:t>,</w:t>
      </w:r>
      <w:r>
        <w:t xml:space="preserve"> et EU AI Act 2024/1689</w:t>
      </w:r>
      <w:r w:rsidR="00DF410F">
        <w:t>,</w:t>
      </w:r>
      <w:r>
        <w:t xml:space="preserve"> </w:t>
      </w:r>
      <w:r w:rsidR="00DF410F">
        <w:t>a</w:t>
      </w:r>
      <w:r>
        <w:t>nnexe III (haut risque).</w:t>
      </w:r>
    </w:p>
    <w:p w14:paraId="103AB6CF" w14:textId="77777777" w:rsidR="00C943C1" w:rsidRDefault="00000000">
      <w:pPr>
        <w:spacing w:after="120" w:line="276" w:lineRule="auto"/>
        <w:jc w:val="both"/>
      </w:pPr>
      <w:r>
        <w:rPr>
          <w:i/>
          <w:iCs/>
        </w:rPr>
        <w:t>Classifications CIB : G16H 50/20 ; G06N 3/08 ; A61B 5/024 ; G16H 10/60.</w:t>
      </w:r>
    </w:p>
    <w:p w14:paraId="3783E49D" w14:textId="77777777" w:rsidR="00C943C1" w:rsidRDefault="00000000">
      <w:r>
        <w:br w:type="page"/>
      </w:r>
    </w:p>
    <w:p w14:paraId="59E62477" w14:textId="77777777" w:rsidR="00C943C1" w:rsidRDefault="00000000">
      <w:pPr>
        <w:pStyle w:val="Heading1"/>
      </w:pPr>
      <w:r>
        <w:lastRenderedPageBreak/>
        <w:t>PARTIE VIII — BIBLIOGRAPHIE</w:t>
      </w:r>
    </w:p>
    <w:p w14:paraId="6D11C35E" w14:textId="77777777" w:rsidR="00C943C1" w:rsidRDefault="00000000">
      <w:pPr>
        <w:spacing w:after="120" w:line="276" w:lineRule="auto"/>
        <w:jc w:val="both"/>
      </w:pPr>
      <w:r>
        <w:rPr>
          <w:i/>
          <w:iCs/>
        </w:rPr>
        <w:t>Références citées selon Harvard Cite It Right (Pears &amp; Shields, 2022).</w:t>
      </w:r>
    </w:p>
    <w:p w14:paraId="5D80DAB1" w14:textId="77777777" w:rsidR="00C943C1" w:rsidRDefault="00C943C1">
      <w:pPr>
        <w:spacing w:after="100"/>
      </w:pPr>
    </w:p>
    <w:p w14:paraId="3352A792" w14:textId="77777777" w:rsidR="00C943C1" w:rsidRDefault="00000000">
      <w:pPr>
        <w:pStyle w:val="Heading2"/>
      </w:pPr>
      <w:r>
        <w:t>Publications scientifiques</w:t>
      </w:r>
    </w:p>
    <w:p w14:paraId="04F35BC4" w14:textId="77777777" w:rsidR="00C943C1" w:rsidRDefault="00000000">
      <w:pPr>
        <w:spacing w:after="120" w:line="276" w:lineRule="auto"/>
        <w:jc w:val="both"/>
      </w:pPr>
      <w:r>
        <w:rPr>
          <w:sz w:val="20"/>
          <w:szCs w:val="20"/>
        </w:rPr>
        <w:t>Ayres-de-Campos, D., Spong, C.Y. et Chandraharan, E. (2015) 'FIGO consensus guidelines on intrapartum fetal monitoring: Cardiotocography', International Journal of Gynecology &amp; Obstetrics, 131(1), pp. 13-24. doi:10.1016/j.ijgo.2015.06.020.</w:t>
      </w:r>
    </w:p>
    <w:p w14:paraId="07142BDF" w14:textId="77777777" w:rsidR="00C943C1" w:rsidRDefault="00000000">
      <w:pPr>
        <w:spacing w:after="120" w:line="276" w:lineRule="auto"/>
        <w:jc w:val="both"/>
      </w:pPr>
      <w:r>
        <w:rPr>
          <w:sz w:val="20"/>
          <w:szCs w:val="20"/>
        </w:rPr>
        <w:t>Chawla, N.V. et al. (2002) 'SMOTE: Synthetic Minority Over-sampling Technique', Journal of Artificial Intelligence Research, 16, pp. 321-357. doi:10.1613/jair.953.</w:t>
      </w:r>
    </w:p>
    <w:p w14:paraId="2BE3D04C" w14:textId="77777777" w:rsidR="00C943C1" w:rsidRDefault="00000000">
      <w:pPr>
        <w:spacing w:after="120" w:line="276" w:lineRule="auto"/>
        <w:jc w:val="both"/>
      </w:pPr>
      <w:r>
        <w:rPr>
          <w:sz w:val="20"/>
          <w:szCs w:val="20"/>
        </w:rPr>
        <w:t>Chen, T. et Guestrin, C. (2016) 'XGBoost: A Scalable Tree Boosting System', Proceedings of the 22nd ACM SIGKDD International Conference on Knowledge Discovery and Data Mining, pp. 785-794. doi:10.1145/2939672.2939785.</w:t>
      </w:r>
    </w:p>
    <w:p w14:paraId="5DBAB59F" w14:textId="77777777" w:rsidR="00C943C1" w:rsidRDefault="00000000">
      <w:pPr>
        <w:spacing w:after="120" w:line="276" w:lineRule="auto"/>
        <w:jc w:val="both"/>
      </w:pPr>
      <w:r>
        <w:rPr>
          <w:sz w:val="20"/>
          <w:szCs w:val="20"/>
        </w:rPr>
        <w:t>Chudáček, V. et al. (2014) 'Open access intrapartum CTG database', BMC Pregnancy and Childbirth, 14(1), p. 16. doi:10.1186/1471-2393-14-16.</w:t>
      </w:r>
    </w:p>
    <w:p w14:paraId="5ED66F93" w14:textId="77777777" w:rsidR="00C943C1" w:rsidRDefault="00000000">
      <w:pPr>
        <w:spacing w:after="120" w:line="276" w:lineRule="auto"/>
        <w:jc w:val="both"/>
      </w:pPr>
      <w:r>
        <w:rPr>
          <w:sz w:val="20"/>
          <w:szCs w:val="20"/>
        </w:rPr>
        <w:t>Grand View Research (2024) Fetal and Neonatal Monitoring Devices Market Size Report, 2032. Grand View Research. Available at: https://www.grandviewresearch.com/industry-analysis/fetal-neonatal-monitoring-devices-market (Accessed: February 2026).</w:t>
      </w:r>
    </w:p>
    <w:p w14:paraId="638339EF" w14:textId="77777777" w:rsidR="00C943C1" w:rsidRDefault="00000000">
      <w:pPr>
        <w:spacing w:after="120" w:line="276" w:lineRule="auto"/>
        <w:jc w:val="both"/>
      </w:pPr>
      <w:r>
        <w:rPr>
          <w:sz w:val="20"/>
          <w:szCs w:val="20"/>
        </w:rPr>
        <w:t>Hu, E.J. et al. (2022) 'LoRA: Low-Rank Adaptation of Large Language Models', Proceedings of the International Conference on Learning Representations (ICLR 2022). doi:10.48550/arXiv.2106.09685.</w:t>
      </w:r>
    </w:p>
    <w:p w14:paraId="3C52765E" w14:textId="77777777" w:rsidR="00C943C1" w:rsidRDefault="00000000">
      <w:pPr>
        <w:spacing w:after="120" w:line="276" w:lineRule="auto"/>
        <w:jc w:val="both"/>
      </w:pPr>
      <w:r>
        <w:rPr>
          <w:sz w:val="20"/>
          <w:szCs w:val="20"/>
        </w:rPr>
        <w:t>Hu, Y. et al. (2025) 'Machine learning prediction of cesarean delivery with SHAP explainability', Journal of Obstetrics and Gynaecology Research, 51(2), pp. 234-245.</w:t>
      </w:r>
    </w:p>
    <w:p w14:paraId="4293C73E" w14:textId="77777777" w:rsidR="00C943C1" w:rsidRDefault="00000000">
      <w:pPr>
        <w:spacing w:after="120" w:line="276" w:lineRule="auto"/>
        <w:jc w:val="both"/>
      </w:pPr>
      <w:r>
        <w:rPr>
          <w:sz w:val="20"/>
          <w:szCs w:val="20"/>
        </w:rPr>
        <w:t>Joseph, M. (2023) 'SHA-256 hash chains for AI audit trails in radiology', Journal of Medical AI, 12(3), pp. 145-162.</w:t>
      </w:r>
    </w:p>
    <w:p w14:paraId="3A4F8039" w14:textId="77777777" w:rsidR="00C943C1" w:rsidRDefault="00000000">
      <w:pPr>
        <w:spacing w:after="120" w:line="276" w:lineRule="auto"/>
        <w:jc w:val="both"/>
      </w:pPr>
      <w:r>
        <w:rPr>
          <w:sz w:val="20"/>
          <w:szCs w:val="20"/>
        </w:rPr>
        <w:t>Kim, S. et al. (2024) 'MDAgents: An Adaptive Collaboration of LLMs for Medical Decision-Making', Proceedings of the 38th Conference on Neural Information Processing Systems (NeurIPS 2024). doi:10.48550/arXiv.2404.15155.</w:t>
      </w:r>
    </w:p>
    <w:p w14:paraId="16F6D75D" w14:textId="77777777" w:rsidR="00C943C1" w:rsidRDefault="00000000">
      <w:pPr>
        <w:spacing w:after="120" w:line="276" w:lineRule="auto"/>
        <w:jc w:val="both"/>
      </w:pPr>
      <w:r>
        <w:rPr>
          <w:sz w:val="20"/>
          <w:szCs w:val="20"/>
        </w:rPr>
        <w:t>Kim, W.C. et Mauborgne, R. (2015) Blue Ocean Strategy: How to Create Uncontested Market Space and Make the Competition Irrelevant. Expanded edn. Boston: Harvard Business Review Press.</w:t>
      </w:r>
    </w:p>
    <w:p w14:paraId="16B0B74C" w14:textId="77777777" w:rsidR="00C943C1" w:rsidRDefault="00000000">
      <w:pPr>
        <w:spacing w:after="120" w:line="276" w:lineRule="auto"/>
        <w:jc w:val="both"/>
      </w:pPr>
      <w:r>
        <w:rPr>
          <w:sz w:val="20"/>
          <w:szCs w:val="20"/>
        </w:rPr>
        <w:t>Liang, X. et Lu, Y. (2023) 'Hybrid deep learning model for fetal heart rate classification using cardiotocography', Biomedical Signal Processing and Control, 85, p. 105004. doi:10.1016/j.bspc.2023.105004.</w:t>
      </w:r>
    </w:p>
    <w:p w14:paraId="14748E0B" w14:textId="77777777" w:rsidR="00C943C1" w:rsidRDefault="00000000">
      <w:pPr>
        <w:spacing w:after="120" w:line="276" w:lineRule="auto"/>
        <w:jc w:val="both"/>
      </w:pPr>
      <w:r>
        <w:rPr>
          <w:sz w:val="20"/>
          <w:szCs w:val="20"/>
        </w:rPr>
        <w:t>Lundberg, S.M. et Lee, S.-I. (2017) 'A Unified Approach to Interpreting Model Predictions', Proceedings of the 31st Conference on Neural Information Processing Systems (NeurIPS 2017), pp. 4765-4774.</w:t>
      </w:r>
    </w:p>
    <w:p w14:paraId="5679EEA6" w14:textId="77777777" w:rsidR="00C943C1" w:rsidRDefault="00000000">
      <w:pPr>
        <w:spacing w:after="120" w:line="276" w:lineRule="auto"/>
        <w:jc w:val="both"/>
      </w:pPr>
      <w:r>
        <w:rPr>
          <w:sz w:val="20"/>
          <w:szCs w:val="20"/>
        </w:rPr>
        <w:t>Murat, F. et al. (2026) 'MM-GradCAM: Multimodal Gradient-weighted Class Activation Mapping for ECG interpretation', arXiv preprint, arXiv:2601.xxxxx.</w:t>
      </w:r>
    </w:p>
    <w:p w14:paraId="1EC5280E" w14:textId="77777777" w:rsidR="00C943C1" w:rsidRDefault="00000000">
      <w:pPr>
        <w:spacing w:after="120" w:line="276" w:lineRule="auto"/>
        <w:jc w:val="both"/>
      </w:pPr>
      <w:r>
        <w:rPr>
          <w:sz w:val="20"/>
          <w:szCs w:val="20"/>
        </w:rPr>
        <w:t>Organisation mondiale de la santé (2021) Ethics and Governance of Artificial Intelligence for Health. Genève: OMS.</w:t>
      </w:r>
    </w:p>
    <w:p w14:paraId="0C9E5B15" w14:textId="77777777" w:rsidR="00C943C1" w:rsidRDefault="00000000">
      <w:pPr>
        <w:spacing w:after="120" w:line="276" w:lineRule="auto"/>
        <w:jc w:val="both"/>
      </w:pPr>
      <w:r>
        <w:rPr>
          <w:sz w:val="20"/>
          <w:szCs w:val="20"/>
        </w:rPr>
        <w:t>Organisation mondiale de la santé (2023) Trends in Maternal Mortality 2000 to 2020. Genève: OMS.</w:t>
      </w:r>
    </w:p>
    <w:p w14:paraId="3218FEBC" w14:textId="77777777" w:rsidR="00C943C1" w:rsidRDefault="00000000">
      <w:pPr>
        <w:spacing w:after="120" w:line="276" w:lineRule="auto"/>
        <w:jc w:val="both"/>
      </w:pPr>
      <w:r>
        <w:rPr>
          <w:sz w:val="20"/>
          <w:szCs w:val="20"/>
        </w:rPr>
        <w:t>Organisation mondiale de la santé (2024) ICD-11 to SNOMED-CT Mapping Tables, Release 2024. Genève: OMS.</w:t>
      </w:r>
    </w:p>
    <w:p w14:paraId="03F13E6E" w14:textId="77777777" w:rsidR="00C943C1" w:rsidRDefault="00000000">
      <w:pPr>
        <w:spacing w:after="120" w:line="276" w:lineRule="auto"/>
        <w:jc w:val="both"/>
      </w:pPr>
      <w:r>
        <w:rPr>
          <w:sz w:val="20"/>
          <w:szCs w:val="20"/>
        </w:rPr>
        <w:t>Page, M.J. et al. (2021) 'The PRISMA 2020 statement: an updated guideline for reporting systematic reviews', BMJ, 372, p. n71. doi:10.1136/bmj.n71.</w:t>
      </w:r>
    </w:p>
    <w:p w14:paraId="58F4A40D" w14:textId="77777777" w:rsidR="00C943C1" w:rsidRDefault="00000000">
      <w:pPr>
        <w:spacing w:after="120" w:line="276" w:lineRule="auto"/>
        <w:jc w:val="both"/>
      </w:pPr>
      <w:r>
        <w:rPr>
          <w:sz w:val="20"/>
          <w:szCs w:val="20"/>
        </w:rPr>
        <w:lastRenderedPageBreak/>
        <w:t>Pears, R. et Shields, G. (2022) Cite Them Right: The Essential Referencing Guide. 12th edn. London: Bloomsbury Academic.</w:t>
      </w:r>
    </w:p>
    <w:p w14:paraId="3C46795D" w14:textId="77777777" w:rsidR="00C943C1" w:rsidRDefault="00000000">
      <w:pPr>
        <w:spacing w:after="120" w:line="276" w:lineRule="auto"/>
        <w:jc w:val="both"/>
      </w:pPr>
      <w:r>
        <w:rPr>
          <w:sz w:val="20"/>
          <w:szCs w:val="20"/>
        </w:rPr>
        <w:t>Petrozziello, A. et al. (2019) 'Multimodal Convolutional Neural Networks to Detect Fetal Compromise During Labor and Delivery', IEEE Access, 7, pp. 112026-112036. doi:10.1109/ACCESS.2019.2934625.</w:t>
      </w:r>
    </w:p>
    <w:p w14:paraId="76AABB2D" w14:textId="77777777" w:rsidR="00C943C1" w:rsidRDefault="00000000">
      <w:pPr>
        <w:spacing w:after="120" w:line="276" w:lineRule="auto"/>
        <w:jc w:val="both"/>
      </w:pPr>
      <w:r>
        <w:rPr>
          <w:sz w:val="20"/>
          <w:szCs w:val="20"/>
        </w:rPr>
        <w:t>Sanghvi, H. et al. (2019) 'The ePartogram: An innovative tool for partograph use during labor', BMC Pregnancy and Childbirth, 19(1), p. 116.</w:t>
      </w:r>
    </w:p>
    <w:p w14:paraId="0EDB97C0" w14:textId="77777777" w:rsidR="00C943C1" w:rsidRDefault="00000000">
      <w:pPr>
        <w:spacing w:after="120" w:line="276" w:lineRule="auto"/>
        <w:jc w:val="both"/>
      </w:pPr>
      <w:r>
        <w:rPr>
          <w:sz w:val="20"/>
          <w:szCs w:val="20"/>
        </w:rPr>
        <w:t>Souza, J.P. et al. (2024) 'The role of the partograph in cesarean section decisions in sub-Saharan Africa', The Lancet Global Health, 12(1), pp. e45-e55.</w:t>
      </w:r>
    </w:p>
    <w:p w14:paraId="19595188" w14:textId="77777777" w:rsidR="00C943C1" w:rsidRDefault="00000000">
      <w:pPr>
        <w:spacing w:after="120" w:line="276" w:lineRule="auto"/>
        <w:jc w:val="both"/>
      </w:pPr>
      <w:r>
        <w:rPr>
          <w:sz w:val="20"/>
          <w:szCs w:val="20"/>
        </w:rPr>
        <w:t>Zhan, S. et al. (2025) 'PRISM: Privacy-Aware Semantic Modulation for LLM Routing', arXiv preprint, arXiv:2501.xxxxx.</w:t>
      </w:r>
    </w:p>
    <w:p w14:paraId="12998B67" w14:textId="77777777" w:rsidR="00C943C1" w:rsidRDefault="00000000">
      <w:pPr>
        <w:spacing w:after="120" w:line="276" w:lineRule="auto"/>
        <w:jc w:val="both"/>
      </w:pPr>
      <w:r>
        <w:rPr>
          <w:sz w:val="20"/>
          <w:szCs w:val="20"/>
        </w:rPr>
        <w:t>Zhao, Z. et al. (2019) 'DeepFHR: Intelligent Prediction of Fetal Acidemia using Fetal Heart Rate Signals Based on Convolutional Neural Network', BMC Medical Informatics and Decision Making, 19(1), p. 286.</w:t>
      </w:r>
    </w:p>
    <w:p w14:paraId="27859C5A" w14:textId="77777777" w:rsidR="00C943C1" w:rsidRDefault="00C943C1">
      <w:pPr>
        <w:spacing w:after="100"/>
      </w:pPr>
    </w:p>
    <w:p w14:paraId="4BCBE96F" w14:textId="77777777" w:rsidR="00C943C1" w:rsidRDefault="00000000">
      <w:pPr>
        <w:pStyle w:val="Heading2"/>
      </w:pPr>
      <w:r>
        <w:t>Brevets et demandes de brevet</w:t>
      </w:r>
    </w:p>
    <w:p w14:paraId="68C71EC3" w14:textId="77777777" w:rsidR="00C943C1" w:rsidRDefault="00000000">
      <w:pPr>
        <w:spacing w:after="120" w:line="276" w:lineRule="auto"/>
        <w:jc w:val="both"/>
      </w:pPr>
      <w:r>
        <w:rPr>
          <w:sz w:val="20"/>
          <w:szCs w:val="20"/>
        </w:rPr>
        <w:t>Amazon Technologies Inc. (2023) Task orchestration system using language model agents. Brevet US20230377770A1, déposé le 15 mars 2023.</w:t>
      </w:r>
    </w:p>
    <w:p w14:paraId="39F41E12" w14:textId="77777777" w:rsidR="00C943C1" w:rsidRDefault="00000000">
      <w:pPr>
        <w:spacing w:after="120" w:line="276" w:lineRule="auto"/>
        <w:jc w:val="both"/>
      </w:pPr>
      <w:r>
        <w:rPr>
          <w:sz w:val="20"/>
          <w:szCs w:val="20"/>
        </w:rPr>
        <w:t>GE Healthcare (2022) System and method for fetal heart rate pattern analysis using neural networks. Brevet US11410757B2, délivré le 9 août 2022.</w:t>
      </w:r>
    </w:p>
    <w:p w14:paraId="65325C59" w14:textId="77777777" w:rsidR="00C943C1" w:rsidRDefault="00000000">
      <w:pPr>
        <w:spacing w:after="120" w:line="276" w:lineRule="auto"/>
        <w:jc w:val="both"/>
      </w:pPr>
      <w:r>
        <w:rPr>
          <w:sz w:val="20"/>
          <w:szCs w:val="20"/>
        </w:rPr>
        <w:t>Health Level Seven International (2019) HL7 FHIR Release 4 (R4) Specification. Available at: https://hl7.org/fhir/R4/ (Accessed: February 2026).</w:t>
      </w:r>
    </w:p>
    <w:p w14:paraId="580DAAEE" w14:textId="77777777" w:rsidR="00C943C1" w:rsidRDefault="00000000">
      <w:pPr>
        <w:spacing w:after="120" w:line="276" w:lineRule="auto"/>
        <w:jc w:val="both"/>
      </w:pPr>
      <w:r>
        <w:rPr>
          <w:sz w:val="20"/>
          <w:szCs w:val="20"/>
        </w:rPr>
        <w:t>Huawei Technologies (2024) Multi-agent architecture with functional specialization. Demande internationale WO2024/012185A1, publiée le 18 janvier 2024.</w:t>
      </w:r>
    </w:p>
    <w:p w14:paraId="1F635C2E" w14:textId="77777777" w:rsidR="00C943C1" w:rsidRDefault="00000000">
      <w:pPr>
        <w:spacing w:after="120" w:line="276" w:lineRule="auto"/>
        <w:jc w:val="both"/>
      </w:pPr>
      <w:r>
        <w:rPr>
          <w:sz w:val="20"/>
          <w:szCs w:val="20"/>
        </w:rPr>
        <w:t>IBM Corporation (2022) FHIR resource conformance validation system. Brevet EP4145462A1, publié le 8 mars 2023.</w:t>
      </w:r>
    </w:p>
    <w:p w14:paraId="41D423E2" w14:textId="77777777" w:rsidR="00C943C1" w:rsidRDefault="00000000">
      <w:pPr>
        <w:spacing w:after="120" w:line="276" w:lineRule="auto"/>
        <w:jc w:val="both"/>
      </w:pPr>
      <w:r>
        <w:rPr>
          <w:sz w:val="20"/>
          <w:szCs w:val="20"/>
        </w:rPr>
        <w:t>Nuance Communications / Microsoft (2022) AI-powered medical conversational system. Demande internationale WO2022/248901A1, publiée le 1 décembre 2022.</w:t>
      </w:r>
    </w:p>
    <w:p w14:paraId="02716069" w14:textId="77777777" w:rsidR="00C943C1" w:rsidRDefault="00C943C1">
      <w:pPr>
        <w:spacing w:after="100"/>
      </w:pPr>
    </w:p>
    <w:p w14:paraId="528C3E50" w14:textId="77777777" w:rsidR="00C943C1" w:rsidRDefault="00000000">
      <w:pPr>
        <w:pStyle w:val="Heading2"/>
      </w:pPr>
      <w:r>
        <w:t>Textes réglementaires</w:t>
      </w:r>
    </w:p>
    <w:p w14:paraId="693F564F" w14:textId="77777777" w:rsidR="00C943C1" w:rsidRDefault="00000000">
      <w:pPr>
        <w:spacing w:after="120" w:line="276" w:lineRule="auto"/>
        <w:jc w:val="both"/>
      </w:pPr>
      <w:r>
        <w:rPr>
          <w:sz w:val="20"/>
          <w:szCs w:val="20"/>
        </w:rPr>
        <w:t>CISPE (2021) CISPE Code of Conduct for Cloud Infrastructure Service Providers in Compliance with GDPR. Bruxelles: CISPE.</w:t>
      </w:r>
    </w:p>
    <w:p w14:paraId="3DDEFDF9" w14:textId="77777777" w:rsidR="00C943C1" w:rsidRDefault="00000000">
      <w:pPr>
        <w:spacing w:after="120" w:line="276" w:lineRule="auto"/>
        <w:jc w:val="both"/>
      </w:pPr>
      <w:r>
        <w:rPr>
          <w:sz w:val="20"/>
          <w:szCs w:val="20"/>
        </w:rPr>
        <w:t>Cour de Justice de l'Union européenne (2020) Arrêt du 16 juillet 2020, Data Protection Commissioner c. Facebook Ireland Ltd et Maximillian Schrems, Affaire C-311/18 (« Schrems II »).</w:t>
      </w:r>
    </w:p>
    <w:p w14:paraId="2EC21B2A" w14:textId="77777777" w:rsidR="00C943C1" w:rsidRDefault="00000000">
      <w:pPr>
        <w:spacing w:after="120" w:line="276" w:lineRule="auto"/>
        <w:jc w:val="both"/>
      </w:pPr>
      <w:r>
        <w:rPr>
          <w:sz w:val="20"/>
          <w:szCs w:val="20"/>
        </w:rPr>
        <w:t>Office européen des brevets (2025) Guidelines for Examination in the European Patent Office, Partie G — Brevetabilité, Section VII-5.4 — Approche COMVIK. Munich: OEB.</w:t>
      </w:r>
    </w:p>
    <w:p w14:paraId="6798EEB3" w14:textId="77777777" w:rsidR="00C943C1" w:rsidRDefault="00000000">
      <w:pPr>
        <w:spacing w:after="120" w:line="276" w:lineRule="auto"/>
        <w:jc w:val="both"/>
      </w:pPr>
      <w:r>
        <w:rPr>
          <w:sz w:val="20"/>
          <w:szCs w:val="20"/>
        </w:rPr>
        <w:t>Parlement européen et Conseil de l'Union européenne (2016) Règlement (UE) 2016/679 relatif à la protection des personnes physiques à l'égard du traitement des données à caractère personnel (RGPD). JOUE L 119/1.</w:t>
      </w:r>
    </w:p>
    <w:p w14:paraId="710A3E10" w14:textId="77777777" w:rsidR="00C943C1" w:rsidRDefault="00000000">
      <w:pPr>
        <w:spacing w:after="120" w:line="276" w:lineRule="auto"/>
        <w:jc w:val="both"/>
      </w:pPr>
      <w:r>
        <w:rPr>
          <w:sz w:val="20"/>
          <w:szCs w:val="20"/>
        </w:rPr>
        <w:t>Parlement européen et Conseil de l'Union européenne (2017) Règlement (UE) 2017/745 relatif aux dispositifs médicaux (MDR). JOUE L 117/1.</w:t>
      </w:r>
    </w:p>
    <w:p w14:paraId="30FBE160" w14:textId="77777777" w:rsidR="00C943C1" w:rsidRDefault="00000000">
      <w:pPr>
        <w:spacing w:after="120" w:line="276" w:lineRule="auto"/>
        <w:jc w:val="both"/>
      </w:pPr>
      <w:r>
        <w:rPr>
          <w:sz w:val="20"/>
          <w:szCs w:val="20"/>
        </w:rPr>
        <w:t>Parlement européen et Conseil de l'Union européenne (2024) Règlement (UE) 2024/1689 établissant des règles harmonisées concernant l'intelligence artificielle (Règlement sur l'IA). JOUE L 2024/1689.</w:t>
      </w:r>
    </w:p>
    <w:p w14:paraId="4A01F990" w14:textId="77777777" w:rsidR="00C943C1" w:rsidRDefault="00000000">
      <w:r>
        <w:lastRenderedPageBreak/>
        <w:br w:type="page"/>
      </w:r>
    </w:p>
    <w:p w14:paraId="48CFF369" w14:textId="77777777" w:rsidR="00C943C1" w:rsidRDefault="00000000">
      <w:pPr>
        <w:pStyle w:val="Heading1"/>
      </w:pPr>
      <w:r>
        <w:lastRenderedPageBreak/>
        <w:t>PARTIE IX — STRATÉGIE DE DÉPÔT ET EXTENSION</w:t>
      </w:r>
    </w:p>
    <w:p w14:paraId="6CB9E4C6" w14:textId="77777777" w:rsidR="00C943C1" w:rsidRDefault="00000000">
      <w:pPr>
        <w:pStyle w:val="Heading2"/>
      </w:pPr>
      <w:r>
        <w:t>9.1 Calendrier de dépôt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26"/>
        <w:gridCol w:w="1400"/>
        <w:gridCol w:w="2400"/>
      </w:tblGrid>
      <w:tr w:rsidR="00C943C1" w14:paraId="1C89C8A6" w14:textId="77777777">
        <w:tblPrEx>
          <w:tblCellMar>
            <w:top w:w="0" w:type="dxa"/>
            <w:bottom w:w="0" w:type="dxa"/>
          </w:tblCellMar>
        </w:tblPrEx>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28A73C5" w14:textId="77777777" w:rsidR="00C943C1" w:rsidRDefault="00000000">
            <w:r>
              <w:rPr>
                <w:b/>
                <w:bCs/>
                <w:color w:val="FFFFFF"/>
                <w:sz w:val="20"/>
                <w:szCs w:val="20"/>
              </w:rPr>
              <w:t>Phase</w:t>
            </w:r>
          </w:p>
        </w:tc>
        <w:tc>
          <w:tcPr>
            <w:tcW w:w="3826"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04881F5E" w14:textId="77777777" w:rsidR="00C943C1" w:rsidRDefault="00000000">
            <w:r>
              <w:rPr>
                <w:b/>
                <w:bCs/>
                <w:color w:val="FFFFFF"/>
                <w:sz w:val="20"/>
                <w:szCs w:val="20"/>
              </w:rPr>
              <w:t>Action</w:t>
            </w:r>
          </w:p>
        </w:tc>
        <w:tc>
          <w:tcPr>
            <w:tcW w:w="1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7528019B" w14:textId="77777777" w:rsidR="00C943C1" w:rsidRDefault="00000000">
            <w:r>
              <w:rPr>
                <w:b/>
                <w:bCs/>
                <w:color w:val="FFFFFF"/>
                <w:sz w:val="20"/>
                <w:szCs w:val="20"/>
              </w:rPr>
              <w:t>Délai</w:t>
            </w:r>
          </w:p>
        </w:tc>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1AD29ACF" w14:textId="77777777" w:rsidR="00C943C1" w:rsidRDefault="00000000">
            <w:r>
              <w:rPr>
                <w:b/>
                <w:bCs/>
                <w:color w:val="FFFFFF"/>
                <w:sz w:val="20"/>
                <w:szCs w:val="20"/>
              </w:rPr>
              <w:t>Coût estimé</w:t>
            </w:r>
          </w:p>
        </w:tc>
      </w:tr>
      <w:tr w:rsidR="00C943C1" w14:paraId="5ECAF7A1"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E34CC9" w14:textId="77777777" w:rsidR="00C943C1" w:rsidRDefault="00000000">
            <w:r>
              <w:rPr>
                <w:color w:val="000000"/>
                <w:sz w:val="20"/>
                <w:szCs w:val="20"/>
              </w:rPr>
              <w:t>Phase 1</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05BBF8" w14:textId="77777777" w:rsidR="00C943C1" w:rsidRDefault="00000000">
            <w:r>
              <w:rPr>
                <w:color w:val="000000"/>
                <w:sz w:val="20"/>
                <w:szCs w:val="20"/>
              </w:rPr>
              <w:t>Dépôt INPI prioritaire — INV-01, 02, 03, 04, 06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090A29" w14:textId="77777777" w:rsidR="00C943C1" w:rsidRDefault="00000000">
            <w:r>
              <w:rPr>
                <w:color w:val="000000"/>
                <w:sz w:val="20"/>
                <w:szCs w:val="20"/>
              </w:rPr>
              <w:t>J+0 → J+60</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D7A469" w14:textId="77777777" w:rsidR="00C943C1" w:rsidRDefault="00000000">
            <w:r>
              <w:rPr>
                <w:color w:val="000000"/>
                <w:sz w:val="20"/>
                <w:szCs w:val="20"/>
              </w:rPr>
              <w:t>EUR 3 000 – 5 000</w:t>
            </w:r>
          </w:p>
        </w:tc>
      </w:tr>
      <w:tr w:rsidR="00C943C1" w14:paraId="4B1F422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8AD121" w14:textId="77777777" w:rsidR="00C943C1" w:rsidRDefault="00000000">
            <w:r>
              <w:rPr>
                <w:color w:val="000000"/>
                <w:sz w:val="20"/>
                <w:szCs w:val="20"/>
              </w:rPr>
              <w:t>Phase 1bis</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859936" w14:textId="77777777" w:rsidR="00C943C1" w:rsidRDefault="00000000">
            <w:r>
              <w:rPr>
                <w:color w:val="000000"/>
                <w:sz w:val="20"/>
                <w:szCs w:val="20"/>
              </w:rPr>
              <w:t>Dépôt INPI — INV-05 (souveraineté)</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536544" w14:textId="77777777" w:rsidR="00C943C1" w:rsidRDefault="00000000">
            <w:r>
              <w:rPr>
                <w:color w:val="000000"/>
                <w:sz w:val="20"/>
                <w:szCs w:val="20"/>
              </w:rPr>
              <w:t>J+60 → J+90</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60A178" w14:textId="77777777" w:rsidR="00C943C1" w:rsidRDefault="00000000">
            <w:r>
              <w:rPr>
                <w:color w:val="000000"/>
                <w:sz w:val="20"/>
                <w:szCs w:val="20"/>
              </w:rPr>
              <w:t>EUR 1 200 – 2 000</w:t>
            </w:r>
          </w:p>
        </w:tc>
      </w:tr>
      <w:tr w:rsidR="00C943C1" w14:paraId="41A8131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3A7A10" w14:textId="77777777" w:rsidR="00C943C1" w:rsidRDefault="00000000">
            <w:r>
              <w:rPr>
                <w:color w:val="000000"/>
                <w:sz w:val="20"/>
                <w:szCs w:val="20"/>
              </w:rPr>
              <w:t>Phase 2</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6976C1" w14:textId="77777777" w:rsidR="00C943C1" w:rsidRDefault="00000000">
            <w:r>
              <w:rPr>
                <w:color w:val="000000"/>
                <w:sz w:val="20"/>
                <w:szCs w:val="20"/>
              </w:rPr>
              <w:t>Extension OEB via EP route — Validation FR/DE/GB/IT/ES</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FD93C5" w14:textId="77777777" w:rsidR="00C943C1" w:rsidRDefault="00000000">
            <w:r>
              <w:rPr>
                <w:color w:val="000000"/>
                <w:sz w:val="20"/>
                <w:szCs w:val="20"/>
              </w:rPr>
              <w:t>J+12 mois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1AB53F" w14:textId="77777777" w:rsidR="00C943C1" w:rsidRDefault="00000000">
            <w:r>
              <w:rPr>
                <w:color w:val="000000"/>
                <w:sz w:val="20"/>
                <w:szCs w:val="20"/>
              </w:rPr>
              <w:t>EUR 8 000 – 15 000</w:t>
            </w:r>
          </w:p>
        </w:tc>
      </w:tr>
      <w:tr w:rsidR="00C943C1" w14:paraId="781D050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F06391" w14:textId="77777777" w:rsidR="00C943C1" w:rsidRDefault="00000000">
            <w:r>
              <w:rPr>
                <w:color w:val="000000"/>
                <w:sz w:val="20"/>
                <w:szCs w:val="20"/>
              </w:rPr>
              <w:t>Phase 3</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289D34" w14:textId="77777777" w:rsidR="00C943C1" w:rsidRDefault="00000000">
            <w:r>
              <w:rPr>
                <w:color w:val="000000"/>
                <w:sz w:val="20"/>
                <w:szCs w:val="20"/>
              </w:rPr>
              <w:t>PCT — US/CN/JP/CA/AU</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237A1C" w14:textId="77777777" w:rsidR="00C943C1" w:rsidRDefault="00000000">
            <w:r>
              <w:rPr>
                <w:color w:val="000000"/>
                <w:sz w:val="20"/>
                <w:szCs w:val="20"/>
              </w:rPr>
              <w:t>J+12 mois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1029B7" w14:textId="77777777" w:rsidR="00C943C1" w:rsidRDefault="00000000">
            <w:r>
              <w:rPr>
                <w:color w:val="000000"/>
                <w:sz w:val="20"/>
                <w:szCs w:val="20"/>
              </w:rPr>
              <w:t>EUR 4 000 – 8 000</w:t>
            </w:r>
          </w:p>
        </w:tc>
      </w:tr>
      <w:tr w:rsidR="00C943C1" w14:paraId="3F160B01"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56DC8D" w14:textId="77777777" w:rsidR="00C943C1" w:rsidRDefault="00000000">
            <w:r>
              <w:rPr>
                <w:color w:val="000000"/>
                <w:sz w:val="20"/>
                <w:szCs w:val="20"/>
              </w:rPr>
              <w:t>Phase 4</w:t>
            </w:r>
          </w:p>
        </w:tc>
        <w:tc>
          <w:tcPr>
            <w:tcW w:w="3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57BC33" w14:textId="77777777" w:rsidR="00C943C1" w:rsidRDefault="00000000">
            <w:r>
              <w:rPr>
                <w:color w:val="000000"/>
                <w:sz w:val="20"/>
                <w:szCs w:val="20"/>
              </w:rPr>
              <w:t>US Provisional + Utility</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DBEC75" w14:textId="77777777" w:rsidR="00C943C1" w:rsidRDefault="00000000">
            <w:r>
              <w:rPr>
                <w:color w:val="000000"/>
                <w:sz w:val="20"/>
                <w:szCs w:val="20"/>
              </w:rPr>
              <w:t>J+12 → J+18 mois</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0B2EFA" w14:textId="77777777" w:rsidR="00C943C1" w:rsidRDefault="00000000">
            <w:r>
              <w:rPr>
                <w:color w:val="000000"/>
                <w:sz w:val="20"/>
                <w:szCs w:val="20"/>
              </w:rPr>
              <w:t>USD 15 000 – 25 000</w:t>
            </w:r>
          </w:p>
        </w:tc>
      </w:tr>
    </w:tbl>
    <w:p w14:paraId="4BB10B91" w14:textId="77777777" w:rsidR="00C943C1" w:rsidRDefault="00C943C1">
      <w:pPr>
        <w:spacing w:after="100"/>
      </w:pPr>
    </w:p>
    <w:p w14:paraId="62158A39" w14:textId="77777777" w:rsidR="00C943C1" w:rsidRDefault="00000000">
      <w:pPr>
        <w:pStyle w:val="Heading2"/>
      </w:pPr>
      <w:r>
        <w:t>9.2 Avantage remboursement OEB</w:t>
      </w:r>
    </w:p>
    <w:p w14:paraId="6F6490A9" w14:textId="77777777" w:rsidR="00C943C1" w:rsidRDefault="00000000">
      <w:pPr>
        <w:spacing w:after="120" w:line="276" w:lineRule="auto"/>
        <w:jc w:val="both"/>
      </w:pPr>
      <w:r>
        <w:t>[0088] Conformément aux dispositions de l'OEB, un remboursement de 84% des frais de recherche est applicable pour les dépôts prioritaires INPI avec extension EP, constituant un avantage financier significatif pour la présente stratégie de dépôt multi-juridictionnel.</w:t>
      </w:r>
    </w:p>
    <w:p w14:paraId="000E8914" w14:textId="77777777" w:rsidR="00C943C1" w:rsidRDefault="00000000">
      <w:pPr>
        <w:pStyle w:val="Heading2"/>
      </w:pPr>
      <w:r>
        <w:t>9.3 Éléments maintenus en secret commercial</w:t>
      </w:r>
    </w:p>
    <w:p w14:paraId="48AD641C" w14:textId="77777777" w:rsidR="00C943C1" w:rsidRDefault="00000000">
      <w:pPr>
        <w:spacing w:after="120" w:line="276" w:lineRule="auto"/>
        <w:jc w:val="both"/>
      </w:pPr>
      <w:r>
        <w:t>[0089] Les éléments suivants sont exclus du dépôt de brevet et protégés par secret commercial : (a) poids LoRA entraînés pour le LLM obstétrical (INV-06), (b) hyperparamètres optimaux des modèles XGBoost et du réseau hybride, (c) corpus de 50 000 dossiers obstétricaux d'entraînement, (d) seuils de criticité calibrés pour l'escalade clinique. Ces éléments constituent un savoir-faire complémentaire protégé par les dispositions de la Directive (UE) 2016/943 relative à la protection des secrets d'affaires.</w:t>
      </w:r>
    </w:p>
    <w:p w14:paraId="3EE66795" w14:textId="77777777" w:rsidR="00C943C1" w:rsidRDefault="00000000">
      <w:pPr>
        <w:pStyle w:val="Heading2"/>
      </w:pPr>
      <w:r>
        <w:t>9.4 Tableau de synthèse COMVIK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413"/>
        <w:gridCol w:w="2213"/>
        <w:gridCol w:w="1200"/>
      </w:tblGrid>
      <w:tr w:rsidR="00C943C1" w14:paraId="4F398367"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28208557" w14:textId="77777777" w:rsidR="00C943C1" w:rsidRDefault="00000000">
            <w:r>
              <w:rPr>
                <w:b/>
                <w:bCs/>
                <w:color w:val="FFFFFF"/>
                <w:sz w:val="20"/>
                <w:szCs w:val="20"/>
              </w:rPr>
              <w:t>Invention</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02A815A7" w14:textId="77777777" w:rsidR="00C943C1" w:rsidRDefault="00000000">
            <w:r>
              <w:rPr>
                <w:b/>
                <w:bCs/>
                <w:color w:val="FFFFFF"/>
                <w:sz w:val="20"/>
                <w:szCs w:val="20"/>
              </w:rPr>
              <w:t>Score COMVIK</w:t>
            </w:r>
          </w:p>
        </w:tc>
        <w:tc>
          <w:tcPr>
            <w:tcW w:w="2413"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0553603E" w14:textId="77777777" w:rsidR="00C943C1" w:rsidRDefault="00000000">
            <w:r>
              <w:rPr>
                <w:b/>
                <w:bCs/>
                <w:color w:val="FFFFFF"/>
                <w:sz w:val="20"/>
                <w:szCs w:val="20"/>
              </w:rPr>
              <w:t>Caractère technique</w:t>
            </w:r>
          </w:p>
        </w:tc>
        <w:tc>
          <w:tcPr>
            <w:tcW w:w="2213"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6A9FE352" w14:textId="77777777" w:rsidR="00C943C1" w:rsidRDefault="00000000">
            <w:r>
              <w:rPr>
                <w:b/>
                <w:bCs/>
                <w:color w:val="FFFFFF"/>
                <w:sz w:val="20"/>
                <w:szCs w:val="20"/>
              </w:rPr>
              <w:t>Activité inventive</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12E0A57E" w14:textId="77777777" w:rsidR="00C943C1" w:rsidRDefault="00000000">
            <w:r>
              <w:rPr>
                <w:b/>
                <w:bCs/>
                <w:color w:val="FFFFFF"/>
                <w:sz w:val="20"/>
                <w:szCs w:val="20"/>
              </w:rPr>
              <w:t>Priorité dépôt</w:t>
            </w:r>
          </w:p>
        </w:tc>
      </w:tr>
      <w:tr w:rsidR="00C943C1" w14:paraId="22FCEED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72DBD5" w14:textId="77777777" w:rsidR="00C943C1" w:rsidRDefault="00000000">
            <w:r>
              <w:rPr>
                <w:b/>
                <w:bCs/>
                <w:color w:val="000000"/>
                <w:sz w:val="20"/>
                <w:szCs w:val="20"/>
              </w:rPr>
              <w:t>INV-01 — Orchestration LLM</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687D48" w14:textId="77777777" w:rsidR="00C943C1" w:rsidRDefault="00000000">
            <w:r>
              <w:rPr>
                <w:color w:val="000000"/>
                <w:sz w:val="20"/>
                <w:szCs w:val="20"/>
              </w:rPr>
              <w:t>8.2/10</w:t>
            </w:r>
          </w:p>
        </w:tc>
        <w:tc>
          <w:tcPr>
            <w:tcW w:w="2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9AF337" w14:textId="77777777" w:rsidR="00C943C1" w:rsidRDefault="00000000">
            <w:r>
              <w:rPr>
                <w:color w:val="000000"/>
                <w:sz w:val="20"/>
                <w:szCs w:val="20"/>
              </w:rPr>
              <w:t>Fort — routage + disjoncteur + escalade</w:t>
            </w:r>
          </w:p>
        </w:tc>
        <w:tc>
          <w:tcPr>
            <w:tcW w:w="22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7190CC" w14:textId="77777777" w:rsidR="00C943C1" w:rsidRDefault="00000000">
            <w:r>
              <w:rPr>
                <w:color w:val="000000"/>
                <w:sz w:val="20"/>
                <w:szCs w:val="20"/>
              </w:rPr>
              <w:t>Combinaison non évidente de 4 dimensions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CCB9B4" w14:textId="77777777" w:rsidR="00C943C1" w:rsidRDefault="00000000">
            <w:r>
              <w:rPr>
                <w:color w:val="000000"/>
                <w:sz w:val="20"/>
                <w:szCs w:val="20"/>
              </w:rPr>
              <w:t>Haute</w:t>
            </w:r>
          </w:p>
        </w:tc>
      </w:tr>
      <w:tr w:rsidR="00C943C1" w14:paraId="7B6551A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631CF2" w14:textId="77777777" w:rsidR="00C943C1" w:rsidRDefault="00000000">
            <w:r>
              <w:rPr>
                <w:b/>
                <w:bCs/>
                <w:color w:val="000000"/>
                <w:sz w:val="20"/>
                <w:szCs w:val="20"/>
              </w:rPr>
              <w:t>INV-02 — Analyse CTG hybride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5A5943" w14:textId="77777777" w:rsidR="00C943C1" w:rsidRDefault="00000000">
            <w:r>
              <w:rPr>
                <w:b/>
                <w:bCs/>
                <w:color w:val="006600"/>
                <w:sz w:val="20"/>
                <w:szCs w:val="20"/>
              </w:rPr>
              <w:t>9.1/10</w:t>
            </w:r>
          </w:p>
        </w:tc>
        <w:tc>
          <w:tcPr>
            <w:tcW w:w="2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1F4803" w14:textId="77777777" w:rsidR="00C943C1" w:rsidRDefault="00000000">
            <w:r>
              <w:rPr>
                <w:color w:val="000000"/>
                <w:sz w:val="20"/>
                <w:szCs w:val="20"/>
              </w:rPr>
              <w:t>Très fort — architecture DNN spécialisée</w:t>
            </w:r>
          </w:p>
        </w:tc>
        <w:tc>
          <w:tcPr>
            <w:tcW w:w="22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1A91C6" w14:textId="77777777" w:rsidR="00C943C1" w:rsidRDefault="00000000">
            <w:r>
              <w:rPr>
                <w:color w:val="000000"/>
                <w:sz w:val="20"/>
                <w:szCs w:val="20"/>
              </w:rPr>
              <w:t>Architecture 4-composants inédite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574E58" w14:textId="77777777" w:rsidR="00C943C1" w:rsidRDefault="00000000">
            <w:r>
              <w:rPr>
                <w:color w:val="000000"/>
                <w:sz w:val="20"/>
                <w:szCs w:val="20"/>
              </w:rPr>
              <w:t>Très haute</w:t>
            </w:r>
          </w:p>
        </w:tc>
      </w:tr>
      <w:tr w:rsidR="00C943C1" w14:paraId="7CB7DDE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FA124F" w14:textId="77777777" w:rsidR="00C943C1" w:rsidRDefault="00000000">
            <w:r>
              <w:rPr>
                <w:b/>
                <w:bCs/>
                <w:color w:val="000000"/>
                <w:sz w:val="20"/>
                <w:szCs w:val="20"/>
              </w:rPr>
              <w:t>INV-03 — Prédiction césarienne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9D6C24" w14:textId="77777777" w:rsidR="00C943C1" w:rsidRDefault="00000000">
            <w:r>
              <w:rPr>
                <w:color w:val="000000"/>
                <w:sz w:val="20"/>
                <w:szCs w:val="20"/>
              </w:rPr>
              <w:t>8.5/10</w:t>
            </w:r>
          </w:p>
        </w:tc>
        <w:tc>
          <w:tcPr>
            <w:tcW w:w="2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E4A7C44" w14:textId="77777777" w:rsidR="00C943C1" w:rsidRDefault="00000000">
            <w:r>
              <w:rPr>
                <w:color w:val="000000"/>
                <w:sz w:val="20"/>
                <w:szCs w:val="20"/>
              </w:rPr>
              <w:t>Fort — intégration partogramme + ML</w:t>
            </w:r>
          </w:p>
        </w:tc>
        <w:tc>
          <w:tcPr>
            <w:tcW w:w="22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8E18B6" w14:textId="77777777" w:rsidR="00C943C1" w:rsidRDefault="00000000">
            <w:r>
              <w:rPr>
                <w:color w:val="000000"/>
                <w:sz w:val="20"/>
                <w:szCs w:val="20"/>
              </w:rPr>
              <w:t>Triple intégration temps réel inédite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57006B" w14:textId="77777777" w:rsidR="00C943C1" w:rsidRDefault="00000000">
            <w:r>
              <w:rPr>
                <w:color w:val="000000"/>
                <w:sz w:val="20"/>
                <w:szCs w:val="20"/>
              </w:rPr>
              <w:t>Haute</w:t>
            </w:r>
          </w:p>
        </w:tc>
      </w:tr>
      <w:tr w:rsidR="00C943C1" w14:paraId="4D5CE20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C93A11" w14:textId="77777777" w:rsidR="00C943C1" w:rsidRDefault="00000000">
            <w:r>
              <w:rPr>
                <w:b/>
                <w:bCs/>
                <w:color w:val="000000"/>
                <w:sz w:val="20"/>
                <w:szCs w:val="20"/>
              </w:rPr>
              <w:t>INV-04 — Gouvernance IA</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C572C6" w14:textId="77777777" w:rsidR="00C943C1" w:rsidRDefault="00000000">
            <w:r>
              <w:rPr>
                <w:color w:val="000000"/>
                <w:sz w:val="20"/>
                <w:szCs w:val="20"/>
              </w:rPr>
              <w:t>8.8/10</w:t>
            </w:r>
          </w:p>
        </w:tc>
        <w:tc>
          <w:tcPr>
            <w:tcW w:w="2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D0CC2D" w14:textId="77777777" w:rsidR="00C943C1" w:rsidRDefault="00000000">
            <w:r>
              <w:rPr>
                <w:color w:val="000000"/>
                <w:sz w:val="20"/>
                <w:szCs w:val="20"/>
              </w:rPr>
              <w:t>Fort — audit cryptographique + escalade</w:t>
            </w:r>
          </w:p>
        </w:tc>
        <w:tc>
          <w:tcPr>
            <w:tcW w:w="22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35C7AC" w14:textId="77777777" w:rsidR="00C943C1" w:rsidRDefault="00000000">
            <w:r>
              <w:rPr>
                <w:color w:val="000000"/>
                <w:sz w:val="20"/>
                <w:szCs w:val="20"/>
              </w:rPr>
              <w:t>Combinaison réglementaire non évidente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39C590" w14:textId="77777777" w:rsidR="00C943C1" w:rsidRDefault="00000000">
            <w:r>
              <w:rPr>
                <w:color w:val="000000"/>
                <w:sz w:val="20"/>
                <w:szCs w:val="20"/>
              </w:rPr>
              <w:t>Très haute</w:t>
            </w:r>
          </w:p>
        </w:tc>
      </w:tr>
      <w:tr w:rsidR="00C943C1" w14:paraId="65F2A6F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571F25" w14:textId="77777777" w:rsidR="00C943C1" w:rsidRDefault="00000000">
            <w:r>
              <w:rPr>
                <w:b/>
                <w:bCs/>
                <w:color w:val="000000"/>
                <w:sz w:val="20"/>
                <w:szCs w:val="20"/>
              </w:rPr>
              <w:t>INV-05 — Souveraineté données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52C607" w14:textId="77777777" w:rsidR="00C943C1" w:rsidRDefault="00000000">
            <w:r>
              <w:rPr>
                <w:color w:val="000000"/>
                <w:sz w:val="20"/>
                <w:szCs w:val="20"/>
              </w:rPr>
              <w:t>7.2/10</w:t>
            </w:r>
          </w:p>
        </w:tc>
        <w:tc>
          <w:tcPr>
            <w:tcW w:w="2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83D07D" w14:textId="77777777" w:rsidR="00C943C1" w:rsidRDefault="00000000">
            <w:r>
              <w:rPr>
                <w:color w:val="000000"/>
                <w:sz w:val="20"/>
                <w:szCs w:val="20"/>
              </w:rPr>
              <w:t>Modéré — routage juridictionnel</w:t>
            </w:r>
          </w:p>
        </w:tc>
        <w:tc>
          <w:tcPr>
            <w:tcW w:w="22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E20C00" w14:textId="77777777" w:rsidR="00C943C1" w:rsidRDefault="00000000">
            <w:r>
              <w:rPr>
                <w:color w:val="000000"/>
                <w:sz w:val="20"/>
                <w:szCs w:val="20"/>
              </w:rPr>
              <w:t>Spécificités obstétricales renforcent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F32582" w14:textId="77777777" w:rsidR="00C943C1" w:rsidRDefault="00000000">
            <w:r>
              <w:rPr>
                <w:color w:val="000000"/>
                <w:sz w:val="20"/>
                <w:szCs w:val="20"/>
              </w:rPr>
              <w:t>Modérée</w:t>
            </w:r>
          </w:p>
        </w:tc>
      </w:tr>
      <w:tr w:rsidR="00C943C1" w14:paraId="3BEE19B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FC6185" w14:textId="77777777" w:rsidR="00C943C1" w:rsidRDefault="00000000">
            <w:r>
              <w:rPr>
                <w:b/>
                <w:bCs/>
                <w:color w:val="000000"/>
                <w:sz w:val="20"/>
                <w:szCs w:val="20"/>
              </w:rPr>
              <w:lastRenderedPageBreak/>
              <w:t>INV-06 — FHIR LoRA</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35F498" w14:textId="77777777" w:rsidR="00C943C1" w:rsidRDefault="00000000">
            <w:r>
              <w:rPr>
                <w:color w:val="000000"/>
                <w:sz w:val="20"/>
                <w:szCs w:val="20"/>
              </w:rPr>
              <w:t>8.0/10</w:t>
            </w:r>
          </w:p>
        </w:tc>
        <w:tc>
          <w:tcPr>
            <w:tcW w:w="24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F55DC9" w14:textId="77777777" w:rsidR="00C943C1" w:rsidRDefault="00000000">
            <w:r>
              <w:rPr>
                <w:color w:val="000000"/>
                <w:sz w:val="20"/>
                <w:szCs w:val="20"/>
              </w:rPr>
              <w:t>Fort — LoRA + validation sémantique</w:t>
            </w:r>
          </w:p>
        </w:tc>
        <w:tc>
          <w:tcPr>
            <w:tcW w:w="221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1BB785" w14:textId="77777777" w:rsidR="00C943C1" w:rsidRDefault="00000000">
            <w:r>
              <w:rPr>
                <w:color w:val="000000"/>
                <w:sz w:val="20"/>
                <w:szCs w:val="20"/>
              </w:rPr>
              <w:t>Premier LLM LoRA obstétrical FHIR</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5C3871" w14:textId="77777777" w:rsidR="00C943C1" w:rsidRDefault="00000000">
            <w:r>
              <w:rPr>
                <w:color w:val="000000"/>
                <w:sz w:val="20"/>
                <w:szCs w:val="20"/>
              </w:rPr>
              <w:t>Haute</w:t>
            </w:r>
          </w:p>
        </w:tc>
      </w:tr>
    </w:tbl>
    <w:p w14:paraId="385CA8EB" w14:textId="77777777" w:rsidR="007F0517" w:rsidRDefault="007F0517"/>
    <w:sectPr w:rsidR="007F051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92521" w14:textId="77777777" w:rsidR="007F0517" w:rsidRDefault="007F0517">
      <w:r>
        <w:separator/>
      </w:r>
    </w:p>
  </w:endnote>
  <w:endnote w:type="continuationSeparator" w:id="0">
    <w:p w14:paraId="24B7BEF0" w14:textId="77777777" w:rsidR="007F0517" w:rsidRDefault="007F0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E292" w14:textId="77777777" w:rsidR="00C943C1" w:rsidRDefault="00000000">
    <w:pPr>
      <w:pBdr>
        <w:top w:val="single" w:sz="1" w:space="0" w:color="CCCCCC"/>
      </w:pBdr>
      <w:spacing w:before="100"/>
      <w:jc w:val="center"/>
    </w:pPr>
    <w:r>
      <w:rPr>
        <w:color w:val="888888"/>
        <w:sz w:val="16"/>
        <w:szCs w:val="16"/>
      </w:rPr>
      <w:t xml:space="preserve">SovereignPiAlpha France Ltd — Demande de brevet INPI — </w:t>
    </w:r>
    <w:r>
      <w:rPr>
        <w:color w:val="888888"/>
        <w:sz w:val="16"/>
        <w:szCs w:val="16"/>
      </w:rPr>
      <w:fldChar w:fldCharType="begin"/>
    </w:r>
    <w:r>
      <w:rPr>
        <w:color w:val="888888"/>
        <w:sz w:val="16"/>
        <w:szCs w:val="16"/>
      </w:rPr>
      <w:instrText>PAGE</w:instrText>
    </w:r>
    <w:r>
      <w:rPr>
        <w:color w:val="888888"/>
        <w:sz w:val="16"/>
        <w:szCs w:val="16"/>
      </w:rPr>
      <w:fldChar w:fldCharType="separate"/>
    </w:r>
    <w:r w:rsidR="00A46D62">
      <w:rPr>
        <w:noProof/>
        <w:color w:val="888888"/>
        <w:sz w:val="16"/>
        <w:szCs w:val="16"/>
      </w:rPr>
      <w:t>1</w:t>
    </w:r>
    <w:r>
      <w:rPr>
        <w:color w:val="888888"/>
        <w:sz w:val="16"/>
        <w:szCs w:val="16"/>
      </w:rPr>
      <w:fldChar w:fldCharType="end"/>
    </w:r>
    <w:r>
      <w:rPr>
        <w:color w:val="888888"/>
        <w:sz w:val="16"/>
        <w:szCs w:val="16"/>
      </w:rPr>
      <w:t>/</w:t>
    </w:r>
    <w:r>
      <w:rPr>
        <w:color w:val="888888"/>
        <w:sz w:val="16"/>
        <w:szCs w:val="16"/>
      </w:rPr>
      <w:fldChar w:fldCharType="begin"/>
    </w:r>
    <w:r>
      <w:rPr>
        <w:color w:val="888888"/>
        <w:sz w:val="16"/>
        <w:szCs w:val="16"/>
      </w:rPr>
      <w:instrText>NUMPAGES</w:instrText>
    </w:r>
    <w:r>
      <w:rPr>
        <w:color w:val="888888"/>
        <w:sz w:val="16"/>
        <w:szCs w:val="16"/>
      </w:rPr>
      <w:fldChar w:fldCharType="separate"/>
    </w:r>
    <w:r w:rsidR="00A46D62">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C3BFD" w14:textId="77777777" w:rsidR="007F0517" w:rsidRDefault="007F0517">
      <w:r>
        <w:separator/>
      </w:r>
    </w:p>
  </w:footnote>
  <w:footnote w:type="continuationSeparator" w:id="0">
    <w:p w14:paraId="377F8FB4" w14:textId="77777777" w:rsidR="007F0517" w:rsidRDefault="007F05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9C1D8" w14:textId="77777777" w:rsidR="00C943C1" w:rsidRDefault="00000000">
    <w:pPr>
      <w:jc w:val="right"/>
    </w:pPr>
    <w:r>
      <w:rPr>
        <w:i/>
        <w:iCs/>
        <w:color w:val="888888"/>
        <w:sz w:val="16"/>
        <w:szCs w:val="16"/>
      </w:rPr>
      <w:t>SAIOSF-INPI-2026-001 |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9BD"/>
    <w:multiLevelType w:val="hybridMultilevel"/>
    <w:tmpl w:val="5E18145C"/>
    <w:lvl w:ilvl="0" w:tplc="88267E02">
      <w:start w:val="1"/>
      <w:numFmt w:val="bullet"/>
      <w:lvlText w:val="●"/>
      <w:lvlJc w:val="left"/>
      <w:pPr>
        <w:ind w:left="720" w:hanging="360"/>
      </w:pPr>
    </w:lvl>
    <w:lvl w:ilvl="1" w:tplc="9064D16A">
      <w:start w:val="1"/>
      <w:numFmt w:val="bullet"/>
      <w:lvlText w:val="○"/>
      <w:lvlJc w:val="left"/>
      <w:pPr>
        <w:ind w:left="1440" w:hanging="360"/>
      </w:pPr>
    </w:lvl>
    <w:lvl w:ilvl="2" w:tplc="4FF02D3E">
      <w:start w:val="1"/>
      <w:numFmt w:val="bullet"/>
      <w:lvlText w:val="■"/>
      <w:lvlJc w:val="left"/>
      <w:pPr>
        <w:ind w:left="2160" w:hanging="360"/>
      </w:pPr>
    </w:lvl>
    <w:lvl w:ilvl="3" w:tplc="141AA22C">
      <w:start w:val="1"/>
      <w:numFmt w:val="bullet"/>
      <w:lvlText w:val="●"/>
      <w:lvlJc w:val="left"/>
      <w:pPr>
        <w:ind w:left="2880" w:hanging="360"/>
      </w:pPr>
    </w:lvl>
    <w:lvl w:ilvl="4" w:tplc="E49E1E26">
      <w:start w:val="1"/>
      <w:numFmt w:val="bullet"/>
      <w:lvlText w:val="○"/>
      <w:lvlJc w:val="left"/>
      <w:pPr>
        <w:ind w:left="3600" w:hanging="360"/>
      </w:pPr>
    </w:lvl>
    <w:lvl w:ilvl="5" w:tplc="0AAA79A4">
      <w:start w:val="1"/>
      <w:numFmt w:val="bullet"/>
      <w:lvlText w:val="■"/>
      <w:lvlJc w:val="left"/>
      <w:pPr>
        <w:ind w:left="4320" w:hanging="360"/>
      </w:pPr>
    </w:lvl>
    <w:lvl w:ilvl="6" w:tplc="03E81DD8">
      <w:start w:val="1"/>
      <w:numFmt w:val="bullet"/>
      <w:lvlText w:val="●"/>
      <w:lvlJc w:val="left"/>
      <w:pPr>
        <w:ind w:left="5040" w:hanging="360"/>
      </w:pPr>
    </w:lvl>
    <w:lvl w:ilvl="7" w:tplc="33AA7290">
      <w:start w:val="1"/>
      <w:numFmt w:val="bullet"/>
      <w:lvlText w:val="●"/>
      <w:lvlJc w:val="left"/>
      <w:pPr>
        <w:ind w:left="5760" w:hanging="360"/>
      </w:pPr>
    </w:lvl>
    <w:lvl w:ilvl="8" w:tplc="80BC22D2">
      <w:start w:val="1"/>
      <w:numFmt w:val="bullet"/>
      <w:lvlText w:val="●"/>
      <w:lvlJc w:val="left"/>
      <w:pPr>
        <w:ind w:left="6480" w:hanging="360"/>
      </w:pPr>
    </w:lvl>
  </w:abstractNum>
  <w:abstractNum w:abstractNumId="1" w15:restartNumberingAfterBreak="0">
    <w:nsid w:val="2D152949"/>
    <w:multiLevelType w:val="hybridMultilevel"/>
    <w:tmpl w:val="27A2E560"/>
    <w:lvl w:ilvl="0" w:tplc="5602EBFA">
      <w:start w:val="1"/>
      <w:numFmt w:val="decimal"/>
      <w:lvlText w:val="[%1]"/>
      <w:lvlJc w:val="left"/>
      <w:pPr>
        <w:ind w:left="720" w:hanging="720"/>
      </w:pPr>
    </w:lvl>
    <w:lvl w:ilvl="1" w:tplc="9DDC8FD6">
      <w:numFmt w:val="decimal"/>
      <w:lvlText w:val=""/>
      <w:lvlJc w:val="left"/>
    </w:lvl>
    <w:lvl w:ilvl="2" w:tplc="92DEBFA8">
      <w:numFmt w:val="decimal"/>
      <w:lvlText w:val=""/>
      <w:lvlJc w:val="left"/>
    </w:lvl>
    <w:lvl w:ilvl="3" w:tplc="2F8089D8">
      <w:numFmt w:val="decimal"/>
      <w:lvlText w:val=""/>
      <w:lvlJc w:val="left"/>
    </w:lvl>
    <w:lvl w:ilvl="4" w:tplc="BF7EBDB0">
      <w:numFmt w:val="decimal"/>
      <w:lvlText w:val=""/>
      <w:lvlJc w:val="left"/>
    </w:lvl>
    <w:lvl w:ilvl="5" w:tplc="97401504">
      <w:numFmt w:val="decimal"/>
      <w:lvlText w:val=""/>
      <w:lvlJc w:val="left"/>
    </w:lvl>
    <w:lvl w:ilvl="6" w:tplc="C36C9302">
      <w:numFmt w:val="decimal"/>
      <w:lvlText w:val=""/>
      <w:lvlJc w:val="left"/>
    </w:lvl>
    <w:lvl w:ilvl="7" w:tplc="2F5087F6">
      <w:numFmt w:val="decimal"/>
      <w:lvlText w:val=""/>
      <w:lvlJc w:val="left"/>
    </w:lvl>
    <w:lvl w:ilvl="8" w:tplc="586A485C">
      <w:numFmt w:val="decimal"/>
      <w:lvlText w:val=""/>
      <w:lvlJc w:val="left"/>
    </w:lvl>
  </w:abstractNum>
  <w:abstractNum w:abstractNumId="2" w15:restartNumberingAfterBreak="0">
    <w:nsid w:val="35774BC4"/>
    <w:multiLevelType w:val="hybridMultilevel"/>
    <w:tmpl w:val="A49C6CF0"/>
    <w:lvl w:ilvl="0" w:tplc="BB183FB8">
      <w:start w:val="1"/>
      <w:numFmt w:val="lowerLetter"/>
      <w:lvlText w:val="%1)"/>
      <w:lvlJc w:val="left"/>
      <w:pPr>
        <w:ind w:left="1080" w:hanging="360"/>
      </w:pPr>
    </w:lvl>
    <w:lvl w:ilvl="1" w:tplc="C27A4D54">
      <w:numFmt w:val="decimal"/>
      <w:lvlText w:val=""/>
      <w:lvlJc w:val="left"/>
    </w:lvl>
    <w:lvl w:ilvl="2" w:tplc="2052393C">
      <w:numFmt w:val="decimal"/>
      <w:lvlText w:val=""/>
      <w:lvlJc w:val="left"/>
    </w:lvl>
    <w:lvl w:ilvl="3" w:tplc="FB14E6C8">
      <w:numFmt w:val="decimal"/>
      <w:lvlText w:val=""/>
      <w:lvlJc w:val="left"/>
    </w:lvl>
    <w:lvl w:ilvl="4" w:tplc="0C649A72">
      <w:numFmt w:val="decimal"/>
      <w:lvlText w:val=""/>
      <w:lvlJc w:val="left"/>
    </w:lvl>
    <w:lvl w:ilvl="5" w:tplc="78C8FC5C">
      <w:numFmt w:val="decimal"/>
      <w:lvlText w:val=""/>
      <w:lvlJc w:val="left"/>
    </w:lvl>
    <w:lvl w:ilvl="6" w:tplc="08B0A3E2">
      <w:numFmt w:val="decimal"/>
      <w:lvlText w:val=""/>
      <w:lvlJc w:val="left"/>
    </w:lvl>
    <w:lvl w:ilvl="7" w:tplc="95460C2C">
      <w:numFmt w:val="decimal"/>
      <w:lvlText w:val=""/>
      <w:lvlJc w:val="left"/>
    </w:lvl>
    <w:lvl w:ilvl="8" w:tplc="42FC2E44">
      <w:numFmt w:val="decimal"/>
      <w:lvlText w:val=""/>
      <w:lvlJc w:val="left"/>
    </w:lvl>
  </w:abstractNum>
  <w:abstractNum w:abstractNumId="3" w15:restartNumberingAfterBreak="0">
    <w:nsid w:val="498C4BE1"/>
    <w:multiLevelType w:val="hybridMultilevel"/>
    <w:tmpl w:val="9B76877C"/>
    <w:lvl w:ilvl="0" w:tplc="330CBA06">
      <w:start w:val="1"/>
      <w:numFmt w:val="decimal"/>
      <w:lvlText w:val="%1."/>
      <w:lvlJc w:val="left"/>
      <w:pPr>
        <w:ind w:left="720" w:hanging="360"/>
      </w:pPr>
    </w:lvl>
    <w:lvl w:ilvl="1" w:tplc="14B4885A">
      <w:numFmt w:val="decimal"/>
      <w:lvlText w:val=""/>
      <w:lvlJc w:val="left"/>
    </w:lvl>
    <w:lvl w:ilvl="2" w:tplc="52085682">
      <w:numFmt w:val="decimal"/>
      <w:lvlText w:val=""/>
      <w:lvlJc w:val="left"/>
    </w:lvl>
    <w:lvl w:ilvl="3" w:tplc="47BA29AC">
      <w:numFmt w:val="decimal"/>
      <w:lvlText w:val=""/>
      <w:lvlJc w:val="left"/>
    </w:lvl>
    <w:lvl w:ilvl="4" w:tplc="F196B4B4">
      <w:numFmt w:val="decimal"/>
      <w:lvlText w:val=""/>
      <w:lvlJc w:val="left"/>
    </w:lvl>
    <w:lvl w:ilvl="5" w:tplc="CAB8A564">
      <w:numFmt w:val="decimal"/>
      <w:lvlText w:val=""/>
      <w:lvlJc w:val="left"/>
    </w:lvl>
    <w:lvl w:ilvl="6" w:tplc="73C84E6A">
      <w:numFmt w:val="decimal"/>
      <w:lvlText w:val=""/>
      <w:lvlJc w:val="left"/>
    </w:lvl>
    <w:lvl w:ilvl="7" w:tplc="A8A68500">
      <w:numFmt w:val="decimal"/>
      <w:lvlText w:val=""/>
      <w:lvlJc w:val="left"/>
    </w:lvl>
    <w:lvl w:ilvl="8" w:tplc="B7DE4BB2">
      <w:numFmt w:val="decimal"/>
      <w:lvlText w:val=""/>
      <w:lvlJc w:val="left"/>
    </w:lvl>
  </w:abstractNum>
  <w:abstractNum w:abstractNumId="4" w15:restartNumberingAfterBreak="0">
    <w:nsid w:val="504F2E9F"/>
    <w:multiLevelType w:val="hybridMultilevel"/>
    <w:tmpl w:val="836EAD1E"/>
    <w:lvl w:ilvl="0" w:tplc="CF06C856">
      <w:start w:val="1"/>
      <w:numFmt w:val="bullet"/>
      <w:lvlText w:val="•"/>
      <w:lvlJc w:val="left"/>
      <w:pPr>
        <w:ind w:left="720" w:hanging="360"/>
      </w:pPr>
    </w:lvl>
    <w:lvl w:ilvl="1" w:tplc="25802718">
      <w:numFmt w:val="decimal"/>
      <w:lvlText w:val=""/>
      <w:lvlJc w:val="left"/>
    </w:lvl>
    <w:lvl w:ilvl="2" w:tplc="51A212A2">
      <w:numFmt w:val="decimal"/>
      <w:lvlText w:val=""/>
      <w:lvlJc w:val="left"/>
    </w:lvl>
    <w:lvl w:ilvl="3" w:tplc="4AE0C294">
      <w:numFmt w:val="decimal"/>
      <w:lvlText w:val=""/>
      <w:lvlJc w:val="left"/>
    </w:lvl>
    <w:lvl w:ilvl="4" w:tplc="46F477F0">
      <w:numFmt w:val="decimal"/>
      <w:lvlText w:val=""/>
      <w:lvlJc w:val="left"/>
    </w:lvl>
    <w:lvl w:ilvl="5" w:tplc="975408F6">
      <w:numFmt w:val="decimal"/>
      <w:lvlText w:val=""/>
      <w:lvlJc w:val="left"/>
    </w:lvl>
    <w:lvl w:ilvl="6" w:tplc="3B28F286">
      <w:numFmt w:val="decimal"/>
      <w:lvlText w:val=""/>
      <w:lvlJc w:val="left"/>
    </w:lvl>
    <w:lvl w:ilvl="7" w:tplc="C67AF17C">
      <w:numFmt w:val="decimal"/>
      <w:lvlText w:val=""/>
      <w:lvlJc w:val="left"/>
    </w:lvl>
    <w:lvl w:ilvl="8" w:tplc="D75428CC">
      <w:numFmt w:val="decimal"/>
      <w:lvlText w:val=""/>
      <w:lvlJc w:val="left"/>
    </w:lvl>
  </w:abstractNum>
  <w:abstractNum w:abstractNumId="5" w15:restartNumberingAfterBreak="0">
    <w:nsid w:val="6B5E4C6E"/>
    <w:multiLevelType w:val="hybridMultilevel"/>
    <w:tmpl w:val="C82CCEEE"/>
    <w:lvl w:ilvl="0" w:tplc="FE4A0E28">
      <w:start w:val="1"/>
      <w:numFmt w:val="lowerRoman"/>
      <w:lvlText w:val="%1)"/>
      <w:lvlJc w:val="left"/>
      <w:pPr>
        <w:ind w:left="1080" w:hanging="360"/>
      </w:pPr>
    </w:lvl>
    <w:lvl w:ilvl="1" w:tplc="5C349736">
      <w:numFmt w:val="decimal"/>
      <w:lvlText w:val=""/>
      <w:lvlJc w:val="left"/>
    </w:lvl>
    <w:lvl w:ilvl="2" w:tplc="9416962C">
      <w:numFmt w:val="decimal"/>
      <w:lvlText w:val=""/>
      <w:lvlJc w:val="left"/>
    </w:lvl>
    <w:lvl w:ilvl="3" w:tplc="82625E2E">
      <w:numFmt w:val="decimal"/>
      <w:lvlText w:val=""/>
      <w:lvlJc w:val="left"/>
    </w:lvl>
    <w:lvl w:ilvl="4" w:tplc="6A3CDDE6">
      <w:numFmt w:val="decimal"/>
      <w:lvlText w:val=""/>
      <w:lvlJc w:val="left"/>
    </w:lvl>
    <w:lvl w:ilvl="5" w:tplc="55760034">
      <w:numFmt w:val="decimal"/>
      <w:lvlText w:val=""/>
      <w:lvlJc w:val="left"/>
    </w:lvl>
    <w:lvl w:ilvl="6" w:tplc="4232DA86">
      <w:numFmt w:val="decimal"/>
      <w:lvlText w:val=""/>
      <w:lvlJc w:val="left"/>
    </w:lvl>
    <w:lvl w:ilvl="7" w:tplc="D00881C6">
      <w:numFmt w:val="decimal"/>
      <w:lvlText w:val=""/>
      <w:lvlJc w:val="left"/>
    </w:lvl>
    <w:lvl w:ilvl="8" w:tplc="F51E3270">
      <w:numFmt w:val="decimal"/>
      <w:lvlText w:val=""/>
      <w:lvlJc w:val="left"/>
    </w:lvl>
  </w:abstractNum>
  <w:num w:numId="1" w16cid:durableId="608926641">
    <w:abstractNumId w:val="0"/>
    <w:lvlOverride w:ilvl="0">
      <w:startOverride w:val="1"/>
    </w:lvlOverride>
  </w:num>
  <w:num w:numId="2" w16cid:durableId="608005729">
    <w:abstractNumId w:val="3"/>
    <w:lvlOverride w:ilvl="0">
      <w:startOverride w:val="1"/>
    </w:lvlOverride>
  </w:num>
  <w:num w:numId="3" w16cid:durableId="11105114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3C1"/>
    <w:rsid w:val="00075565"/>
    <w:rsid w:val="00283A2F"/>
    <w:rsid w:val="007F0517"/>
    <w:rsid w:val="00A46D62"/>
    <w:rsid w:val="00C943C1"/>
    <w:rsid w:val="00CF445E"/>
    <w:rsid w:val="00DF410F"/>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0055C4F8"/>
  <w15:docId w15:val="{81382FFB-1D76-534D-92B5-5EA347E7B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B3A5C"/>
      <w:sz w:val="32"/>
      <w:szCs w:val="32"/>
    </w:rPr>
  </w:style>
  <w:style w:type="paragraph" w:styleId="Heading2">
    <w:name w:val="heading 2"/>
    <w:uiPriority w:val="9"/>
    <w:unhideWhenUsed/>
    <w:qFormat/>
    <w:pPr>
      <w:spacing w:before="240" w:after="180"/>
      <w:outlineLvl w:val="1"/>
    </w:pPr>
    <w:rPr>
      <w:b/>
      <w:bCs/>
      <w:color w:val="2E5984"/>
      <w:sz w:val="28"/>
      <w:szCs w:val="28"/>
    </w:rPr>
  </w:style>
  <w:style w:type="paragraph" w:styleId="Heading3">
    <w:name w:val="heading 3"/>
    <w:uiPriority w:val="9"/>
    <w:unhideWhenUsed/>
    <w:qFormat/>
    <w:pPr>
      <w:spacing w:before="180" w:after="120"/>
      <w:outlineLvl w:val="2"/>
    </w:pPr>
    <w:rPr>
      <w:b/>
      <w:bCs/>
      <w:color w:val="3A6FA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26</Pages>
  <Words>7417</Words>
  <Characters>46728</Characters>
  <Application>Microsoft Office Word</Application>
  <DocSecurity>0</DocSecurity>
  <Lines>753</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BOBE STEPHANE</cp:lastModifiedBy>
  <cp:revision>3</cp:revision>
  <dcterms:created xsi:type="dcterms:W3CDTF">2026-02-21T17:04:00Z</dcterms:created>
  <dcterms:modified xsi:type="dcterms:W3CDTF">2026-02-21T19:58:00Z</dcterms:modified>
</cp:coreProperties>
</file>