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tep-2-발표-대본-어떻게-도입할-것인가"/>
    <w:p>
      <w:pPr>
        <w:pStyle w:val="Heading1"/>
      </w:pPr>
      <w:r>
        <w:t xml:space="preserve">Step 2 발표 대본 — 어떻게 도입할 것인가</w:t>
      </w:r>
    </w:p>
    <w:p>
      <w:pPr>
        <w:pStyle w:val="FirstParagraph"/>
      </w:pPr>
      <w:r>
        <w:rPr>
          <w:b/>
          <w:bCs/>
        </w:rPr>
        <w:t xml:space="preserve">발표자</w:t>
      </w:r>
      <w:r>
        <w:t xml:space="preserve">: 성슬기</w:t>
      </w:r>
      <w:r>
        <w:t xml:space="preserve"> </w:t>
      </w:r>
      <w:r>
        <w:rPr>
          <w:b/>
          <w:bCs/>
        </w:rPr>
        <w:t xml:space="preserve">페이지</w:t>
      </w:r>
      <w:r>
        <w:t xml:space="preserve">: 11~19 (총 9장·약 7분)</w:t>
      </w:r>
      <w:r>
        <w:t xml:space="preserve"> </w:t>
      </w:r>
      <w:r>
        <w:rPr>
          <w:b/>
          <w:bCs/>
        </w:rPr>
        <w:t xml:space="preserve">Step 2 본질</w:t>
      </w:r>
      <w:r>
        <w:t xml:space="preserve">: 의사결정 본질·거버넌스 3축·Make vs Buy·4대 대안·5대 타당성·통합형 컨버전</w:t>
      </w:r>
      <w:r>
        <w:t xml:space="preserve"> </w:t>
      </w:r>
      <w:r>
        <w:rPr>
          <w:b/>
          <w:bCs/>
        </w:rPr>
        <w:t xml:space="preserve">핵심 메시지</w:t>
      </w:r>
      <w:r>
        <w:t xml:space="preserve">: 본 사례 의사결정의 본질은</w:t>
      </w:r>
      <w:r>
        <w:t xml:space="preserve"> </w:t>
      </w:r>
      <w:r>
        <w:t xml:space="preserve">“어떻게 통합할 것인가”</w:t>
      </w:r>
      <w:r>
        <w:t xml:space="preserve"> </w:t>
      </w:r>
      <w:r>
        <w:t xml:space="preserve">— 기존 SAP 운영 자산 유지 + M&amp;A 이후 확대 조직 통합</w:t>
      </w:r>
    </w:p>
    <w:p>
      <w:r>
        <w:pict>
          <v:rect style="width:0;height:1.5pt" o:hralign="center" o:hrstd="t" o:hr="t"/>
        </w:pict>
      </w:r>
    </w:p>
    <w:bookmarkStart w:id="11" w:name="chapter2-intro-step-2-진입-약-30초"/>
    <w:p>
      <w:pPr>
        <w:pStyle w:val="Heading2"/>
      </w:pPr>
      <w:r>
        <w:t xml:space="preserve">11 chapter2-intro · Step 2 진입 (약 30초)</w:t>
      </w:r>
    </w:p>
    <w:bookmarkStart w:id="9" w:name="슬라이드-핵심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1"/>
        </w:numPr>
      </w:pPr>
      <w:r>
        <w:t xml:space="preserve">큰</w:t>
      </w:r>
      <w:r>
        <w:t xml:space="preserve"> </w:t>
      </w:r>
      <w:r>
        <w:t xml:space="preserve">“2”</w:t>
      </w:r>
      <w:r>
        <w:t xml:space="preserve"> </w:t>
      </w:r>
      <w:r>
        <w:t xml:space="preserve">마크 +</w:t>
      </w:r>
      <w:r>
        <w:t xml:space="preserve"> </w:t>
      </w:r>
      <w:r>
        <w:t xml:space="preserve">“어떻게 도입할 것인가”</w:t>
      </w:r>
    </w:p>
    <w:p>
      <w:pPr>
        <w:pStyle w:val="Compact"/>
        <w:numPr>
          <w:ilvl w:val="0"/>
          <w:numId w:val="1001"/>
        </w:numPr>
      </w:pPr>
      <w:r>
        <w:t xml:space="preserve">부 미리보기 6장: 의사결정 본질 → 거버넌스 3축 → Make vs Buy → 4대 대안 → 5대 타당성 → 통합형 컨버전</w:t>
      </w:r>
    </w:p>
    <w:bookmarkEnd w:id="9"/>
    <w:bookmarkStart w:id="10" w:name="발표-대본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2부 시작합니다. Step 1에서 ERP 통합의 필요성이 명확해졌습니다. 이제 핵심 질문은 —</w:t>
      </w:r>
      <w:r>
        <w:t xml:space="preserve"> </w:t>
      </w:r>
      <w:r>
        <w:rPr>
          <w:b/>
          <w:bCs/>
        </w:rPr>
        <w:t xml:space="preserve">“어떻게 도입할 것인가”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단순히</w:t>
      </w:r>
      <w:r>
        <w:t xml:space="preserve"> </w:t>
      </w:r>
      <w:r>
        <w:t xml:space="preserve">“어떤 ERP를 살 것인가”</w:t>
      </w:r>
      <w:r>
        <w:t xml:space="preserve">가 아니라 —</w:t>
      </w:r>
      <w:r>
        <w:t xml:space="preserve"> </w:t>
      </w:r>
      <w:r>
        <w:t xml:space="preserve">“기존 SAP 자산을 어떻게 활용하면서, 어떤 거버넌스로, 어떤 방법론으로 통합할 것인가”</w:t>
      </w:r>
      <w:r>
        <w:t xml:space="preserve">입니다.</w:t>
      </w:r>
    </w:p>
    <w:p>
      <w:pPr>
        <w:pStyle w:val="BlockText"/>
      </w:pPr>
      <w:r>
        <w:t xml:space="preserve">이번 부에서는 의사결정 과정을 단계별로 따라가 보겠습니다.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decision-purpose-도입-의사결정-4대-목적-약-60초"/>
    <w:p>
      <w:pPr>
        <w:pStyle w:val="Heading2"/>
      </w:pPr>
      <w:r>
        <w:t xml:space="preserve">12 decision-purpose · 도입 의사결정 4대 목적 (약 60초)</w:t>
      </w:r>
    </w:p>
    <w:bookmarkStart w:id="12" w:name="슬라이드-핵심-1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2"/>
        </w:numPr>
      </w:pPr>
      <w:r>
        <w:t xml:space="preserve">도입 본질:</w:t>
      </w:r>
      <w:r>
        <w:t xml:space="preserve"> </w:t>
      </w:r>
      <w:r>
        <w:t xml:space="preserve">“기존 SAP 운영 자산 유지하면서 M&amp;A 이후 확대 조직과 글로벌 운영 통합”</w:t>
      </w:r>
    </w:p>
    <w:p>
      <w:pPr>
        <w:pStyle w:val="Compact"/>
        <w:numPr>
          <w:ilvl w:val="0"/>
          <w:numId w:val="1002"/>
        </w:numPr>
      </w:pPr>
      <w:r>
        <w:t xml:space="preserve">4대 직접 목적:</w:t>
      </w:r>
    </w:p>
    <w:p>
      <w:pPr>
        <w:pStyle w:val="Compact"/>
        <w:numPr>
          <w:ilvl w:val="1"/>
          <w:numId w:val="1003"/>
        </w:numPr>
      </w:pPr>
      <w:r>
        <w:t xml:space="preserve">① 3사 시스템 통합 + 시너지</w:t>
      </w:r>
    </w:p>
    <w:p>
      <w:pPr>
        <w:pStyle w:val="Compact"/>
        <w:numPr>
          <w:ilvl w:val="1"/>
          <w:numId w:val="1003"/>
        </w:numPr>
      </w:pPr>
      <w:r>
        <w:t xml:space="preserve">② 글로벌 거점 지원</w:t>
      </w:r>
    </w:p>
    <w:p>
      <w:pPr>
        <w:pStyle w:val="Compact"/>
        <w:numPr>
          <w:ilvl w:val="1"/>
          <w:numId w:val="1003"/>
        </w:numPr>
      </w:pPr>
      <w:r>
        <w:t xml:space="preserve">③ 중복 투자 리스크 축소</w:t>
      </w:r>
    </w:p>
    <w:p>
      <w:pPr>
        <w:pStyle w:val="Compact"/>
        <w:numPr>
          <w:ilvl w:val="1"/>
          <w:numId w:val="1003"/>
        </w:numPr>
      </w:pPr>
      <w:r>
        <w:t xml:space="preserve">④ 디지털 코어 확보</w:t>
      </w:r>
    </w:p>
    <w:bookmarkEnd w:id="12"/>
    <w:bookmarkStart w:id="13" w:name="발표-대본-1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본 사례의 의사결정 본질은 일반 ERP 도입과 다릅니다.</w:t>
      </w:r>
    </w:p>
    <w:p>
      <w:pPr>
        <w:pStyle w:val="BlockText"/>
      </w:pPr>
      <w:r>
        <w:t xml:space="preserve">일반 ERP 도입은</w:t>
      </w:r>
      <w:r>
        <w:t xml:space="preserve"> </w:t>
      </w:r>
      <w:r>
        <w:t xml:space="preserve">“어떤 ERP를 살 것인가”</w:t>
      </w:r>
      <w:r>
        <w:t xml:space="preserve">부터 시작합니다. 하지만 롯데케미칼은 이미 13년간 SAP를 운영해 왔습니다. 그래서 본질 질문이 달라집니다 —</w:t>
      </w:r>
      <w:r>
        <w:t xml:space="preserve"> </w:t>
      </w:r>
      <w:r>
        <w:rPr>
          <w:b/>
          <w:bCs/>
        </w:rPr>
        <w:t xml:space="preserve">“기존 SAP 자산을 유지하면서, M&amp;A 이후 확대된 조직을 어떻게 통합할 것인가.”</w:t>
      </w:r>
    </w:p>
    <w:p>
      <w:pPr>
        <w:pStyle w:val="BlockText"/>
      </w:pPr>
      <w:r>
        <w:t xml:space="preserve">이를 위해 4대 직접 목적을 사전에 설정했습니다.</w:t>
      </w:r>
    </w:p>
    <w:p>
      <w:pPr>
        <w:pStyle w:val="BlockText"/>
      </w:pPr>
      <w:r>
        <w:t xml:space="preserve">첫째,</w:t>
      </w:r>
      <w:r>
        <w:t xml:space="preserve"> </w:t>
      </w:r>
      <w:r>
        <w:rPr>
          <w:b/>
          <w:bCs/>
        </w:rPr>
        <w:t xml:space="preserve">3사 시스템 통합 + 시너지</w:t>
      </w:r>
      <w:r>
        <w:t xml:space="preserve"> </w:t>
      </w:r>
      <w:r>
        <w:t xml:space="preserve">확보. 둘째,</w:t>
      </w:r>
      <w:r>
        <w:t xml:space="preserve"> </w:t>
      </w:r>
      <w:r>
        <w:rPr>
          <w:b/>
          <w:bCs/>
        </w:rPr>
        <w:t xml:space="preserve">글로벌 6국 거점 + 110국 수출 지원</w:t>
      </w:r>
      <w:r>
        <w:t xml:space="preserve">. 셋째,</w:t>
      </w:r>
      <w:r>
        <w:t xml:space="preserve"> </w:t>
      </w:r>
      <w:r>
        <w:rPr>
          <w:b/>
          <w:bCs/>
        </w:rPr>
        <w:t xml:space="preserve">중복 투자 리스크 축소</w:t>
      </w:r>
      <w:r>
        <w:t xml:space="preserve"> </w:t>
      </w:r>
      <w:r>
        <w:t xml:space="preserve">— 그룹 전체 IT 투자 효율화. 넷째,</w:t>
      </w:r>
      <w:r>
        <w:t xml:space="preserve"> </w:t>
      </w:r>
      <w:r>
        <w:rPr>
          <w:b/>
          <w:bCs/>
        </w:rPr>
        <w:t xml:space="preserve">디지털 코어 확보</w:t>
      </w:r>
      <w:r>
        <w:t xml:space="preserve"> </w:t>
      </w:r>
      <w:r>
        <w:t xml:space="preserve">— 후속 AI·디지털 트윈의 기반.</w:t>
      </w:r>
    </w:p>
    <w:p>
      <w:pPr>
        <w:pStyle w:val="BlockText"/>
      </w:pPr>
      <w:r>
        <w:t xml:space="preserve">이 4대 목적이 Step 4 PIR에서 모두 달성됐다는 점은 뒤에서 다시 확인됩니다.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governance-triad-거버넌스-3축-약-60초"/>
    <w:p>
      <w:pPr>
        <w:pStyle w:val="Heading2"/>
      </w:pPr>
      <w:r>
        <w:t xml:space="preserve">13 governance-triad · 거버넌스 3축 (약 60초)</w:t>
      </w:r>
    </w:p>
    <w:bookmarkStart w:id="15" w:name="슬라이드-핵심-2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4"/>
        </w:numPr>
      </w:pPr>
      <w:r>
        <w:t xml:space="preserve">거버넌스 3축: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롯데케미칼</w:t>
      </w:r>
      <w:r>
        <w:t xml:space="preserve"> </w:t>
      </w:r>
      <w:r>
        <w:t xml:space="preserve">— 발주·의사결정 (그룹 IT 자산 통제권)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롯데정보통신</w:t>
      </w:r>
      <w:r>
        <w:t xml:space="preserve"> </w:t>
      </w:r>
      <w:r>
        <w:t xml:space="preserve">— 수행·통합 (그룹 SI·내부 자산 축적)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SAP 본사</w:t>
      </w:r>
      <w:r>
        <w:t xml:space="preserve"> </w:t>
      </w:r>
      <w:r>
        <w:t xml:space="preserve">— 기술·방법론 (Value Assurance)</w:t>
      </w:r>
    </w:p>
    <w:p>
      <w:pPr>
        <w:pStyle w:val="Compact"/>
        <w:numPr>
          <w:ilvl w:val="0"/>
          <w:numId w:val="1004"/>
        </w:numPr>
      </w:pPr>
      <w:r>
        <w:t xml:space="preserve">외부 SI 일임 X — 그룹 IT 통제권 유지</w:t>
      </w:r>
    </w:p>
    <w:bookmarkEnd w:id="15"/>
    <w:bookmarkStart w:id="16" w:name="발표-대본-2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본 사례의 거버넌스 구조는 3축으로 명확하게 분리되어 있습니다.</w:t>
      </w:r>
    </w:p>
    <w:p>
      <w:pPr>
        <w:pStyle w:val="BlockText"/>
      </w:pPr>
      <w:r>
        <w:rPr>
          <w:b/>
          <w:bCs/>
        </w:rPr>
        <w:t xml:space="preserve">롯데케미칼</w:t>
      </w:r>
      <w:r>
        <w:t xml:space="preserve">이 발주·의사결정을 담당합니다. 박제성 정보전략담당 상무가 핵심 의사결정자입니다.</w:t>
      </w:r>
      <w:r>
        <w:t xml:space="preserve"> </w:t>
      </w:r>
      <w:r>
        <w:rPr>
          <w:b/>
          <w:bCs/>
        </w:rPr>
        <w:t xml:space="preserve">롯데정보통신</w:t>
      </w:r>
      <w:r>
        <w:t xml:space="preserve">, 그러니까 그룹 SI가 실제 수행과 통합을 담당합니다.</w:t>
      </w:r>
      <w:r>
        <w:t xml:space="preserve"> </w:t>
      </w:r>
      <w:r>
        <w:rPr>
          <w:b/>
          <w:bCs/>
        </w:rPr>
        <w:t xml:space="preserve">SAP 본사</w:t>
      </w:r>
      <w:r>
        <w:t xml:space="preserve">는 기술·방법론, 특히 Value Assurance 프로그램으로 기술 검증을 담당합니다.</w:t>
      </w:r>
    </w:p>
    <w:p>
      <w:pPr>
        <w:pStyle w:val="BlockText"/>
      </w:pPr>
      <w:r>
        <w:t xml:space="preserve">여기서 중요한 점은 —</w:t>
      </w:r>
      <w:r>
        <w:t xml:space="preserve"> </w:t>
      </w:r>
      <w:r>
        <w:rPr>
          <w:b/>
          <w:bCs/>
        </w:rPr>
        <w:t xml:space="preserve">외부 글로벌 SI에 일임하지 않았다</w:t>
      </w:r>
      <w:r>
        <w:t xml:space="preserve">는 것입니다. 그룹 IT 자산 통제권을 내부에 유지한 결정이고, 이는 2018년 이후 그룹공통시스템·디지털혁신협의체로 자연 확장됩니다.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make-vs-buy-make-vs-buy-1차-의사결정-약-50초"/>
    <w:p>
      <w:pPr>
        <w:pStyle w:val="Heading2"/>
      </w:pPr>
      <w:r>
        <w:t xml:space="preserve">14 make-vs-buy · Make vs Buy 1차 의사결정 (약 50초)</w:t>
      </w:r>
    </w:p>
    <w:bookmarkStart w:id="18" w:name="슬라이드-핵심-3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6"/>
        </w:numPr>
      </w:pPr>
      <w:r>
        <w:t xml:space="preserve">Make (자체 개발) vs Buy (패키지) 비교</w:t>
      </w:r>
    </w:p>
    <w:p>
      <w:pPr>
        <w:pStyle w:val="Compact"/>
        <w:numPr>
          <w:ilvl w:val="0"/>
          <w:numId w:val="1006"/>
        </w:numPr>
      </w:pPr>
      <w:r>
        <w:t xml:space="preserve">결론:</w:t>
      </w:r>
      <w:r>
        <w:t xml:space="preserve"> </w:t>
      </w:r>
      <w:r>
        <w:rPr>
          <w:b/>
          <w:bCs/>
        </w:rPr>
        <w:t xml:space="preserve">Buy 선택</w:t>
      </w:r>
      <w:r>
        <w:t xml:space="preserve"> </w:t>
      </w:r>
      <w:r>
        <w:t xml:space="preserve">— SAP 패키지 기반 고도화</w:t>
      </w:r>
    </w:p>
    <w:bookmarkEnd w:id="18"/>
    <w:bookmarkStart w:id="19" w:name="발표-대본-3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첫 번째 큰 의사결정은 Make vs Buy입니다.</w:t>
      </w:r>
    </w:p>
    <w:p>
      <w:pPr>
        <w:pStyle w:val="BlockText"/>
      </w:pPr>
      <w:r>
        <w:t xml:space="preserve">자체 개발할 것인가, 아니면 패키지를 살 것인가. 일반적으로 대기업도 자체 개발의 매력에 흔들립니다. 하지만 롯데케미칼은 명확하게</w:t>
      </w:r>
      <w:r>
        <w:t xml:space="preserve"> </w:t>
      </w:r>
      <w:r>
        <w:rPr>
          <w:b/>
          <w:bCs/>
        </w:rPr>
        <w:t xml:space="preserve">Buy를 선택</w:t>
      </w:r>
      <w:r>
        <w:t xml:space="preserve">했습니다.</w:t>
      </w:r>
    </w:p>
    <w:p>
      <w:pPr>
        <w:pStyle w:val="BlockText"/>
      </w:pPr>
      <w:r>
        <w:t xml:space="preserve">이유는 단순합니다 — 이미</w:t>
      </w:r>
      <w:r>
        <w:t xml:space="preserve"> </w:t>
      </w:r>
      <w:r>
        <w:rPr>
          <w:b/>
          <w:bCs/>
        </w:rPr>
        <w:t xml:space="preserve">13년간 SAP 자산이 축적</w:t>
      </w:r>
      <w:r>
        <w:t xml:space="preserve">되어 있었기 때문입니다. 새로 짜는 것보다 기존 자산을 진화시키는 것이 훨씬 효율적이라고 판단한 것입니다.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four-alternatives-4대-대안-비교-약-70초"/>
    <w:p>
      <w:pPr>
        <w:pStyle w:val="Heading2"/>
      </w:pPr>
      <w:r>
        <w:t xml:space="preserve">15 four-alternatives · 4대 대안 비교 (약 70초)</w:t>
      </w:r>
    </w:p>
    <w:bookmarkStart w:id="21" w:name="슬라이드-핵심-4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7"/>
        </w:numPr>
      </w:pPr>
      <w:r>
        <w:t xml:space="preserve">4대 대안 매트릭스: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A안</w:t>
      </w:r>
      <w:r>
        <w:t xml:space="preserve"> </w:t>
      </w:r>
      <w:r>
        <w:t xml:space="preserve">— 기존 SAP 기반 S/4HANA 전환 (선택)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B안</w:t>
      </w:r>
      <w:r>
        <w:t xml:space="preserve"> </w:t>
      </w:r>
      <w:r>
        <w:t xml:space="preserve">— Greenfield 신규 구축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C안</w:t>
      </w:r>
      <w:r>
        <w:t xml:space="preserve"> </w:t>
      </w:r>
      <w:r>
        <w:t xml:space="preserve">— 타 ERP 전면 교체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D안</w:t>
      </w:r>
      <w:r>
        <w:t xml:space="preserve"> </w:t>
      </w:r>
      <w:r>
        <w:t xml:space="preserve">— ECC 유지 + 별도 통합</w:t>
      </w:r>
    </w:p>
    <w:p>
      <w:pPr>
        <w:pStyle w:val="Compact"/>
        <w:numPr>
          <w:ilvl w:val="0"/>
          <w:numId w:val="1007"/>
        </w:numPr>
      </w:pPr>
      <w:r>
        <w:t xml:space="preserve">3평가축: 기술·경제·운영</w:t>
      </w:r>
    </w:p>
    <w:p>
      <w:pPr>
        <w:pStyle w:val="Compact"/>
        <w:numPr>
          <w:ilvl w:val="0"/>
          <w:numId w:val="1007"/>
        </w:numPr>
      </w:pPr>
      <w:r>
        <w:t xml:space="preserve">A안 선택 — 13년 자산 + M&amp;A 통합 모두 충족</w:t>
      </w:r>
    </w:p>
    <w:bookmarkEnd w:id="21"/>
    <w:bookmarkStart w:id="22" w:name="발표-대본-4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Buy를 선택한 후, 4대 대안을 비교했습니다.</w:t>
      </w:r>
    </w:p>
    <w:p>
      <w:pPr>
        <w:pStyle w:val="BlockText"/>
      </w:pPr>
      <w:r>
        <w:rPr>
          <w:b/>
          <w:bCs/>
        </w:rPr>
        <w:t xml:space="preserve">A안</w:t>
      </w:r>
      <w:r>
        <w:t xml:space="preserve">은 기존 SAP를 기반으로 S/4HANA로 전환하는 것.</w:t>
      </w:r>
      <w:r>
        <w:t xml:space="preserve"> </w:t>
      </w:r>
      <w:r>
        <w:rPr>
          <w:b/>
          <w:bCs/>
        </w:rPr>
        <w:t xml:space="preserve">B안</w:t>
      </w:r>
      <w:r>
        <w:t xml:space="preserve">은 모든 걸 새로 짓는 Greenfield 방식.</w:t>
      </w:r>
      <w:r>
        <w:t xml:space="preserve"> </w:t>
      </w:r>
      <w:r>
        <w:rPr>
          <w:b/>
          <w:bCs/>
        </w:rPr>
        <w:t xml:space="preserve">C안</w:t>
      </w:r>
      <w:r>
        <w:t xml:space="preserve">은 다른 ERP, 예를 들어 Oracle로 완전히 교체.</w:t>
      </w:r>
      <w:r>
        <w:t xml:space="preserve"> </w:t>
      </w:r>
      <w:r>
        <w:rPr>
          <w:b/>
          <w:bCs/>
        </w:rPr>
        <w:t xml:space="preserve">D안</w:t>
      </w:r>
      <w:r>
        <w:t xml:space="preserve">은 기존 ECC를 유지하면서 별도로 통합 시스템을 만드는 것입니다.</w:t>
      </w:r>
    </w:p>
    <w:p>
      <w:pPr>
        <w:pStyle w:val="BlockText"/>
      </w:pPr>
      <w:r>
        <w:t xml:space="preserve">이 4가지를 기술·경제·운영 3가지 축에서 비교한 결과,</w:t>
      </w:r>
      <w:r>
        <w:t xml:space="preserve"> </w:t>
      </w:r>
      <w:r>
        <w:rPr>
          <w:b/>
          <w:bCs/>
        </w:rPr>
        <w:t xml:space="preserve">A안이 선택</w:t>
      </w:r>
      <w:r>
        <w:t xml:space="preserve">됐습니다.</w:t>
      </w:r>
    </w:p>
    <w:p>
      <w:pPr>
        <w:pStyle w:val="BlockText"/>
      </w:pPr>
      <w:r>
        <w:t xml:space="preserve">이유는 — 13년 SAP 자산을 진화시키면서도, M&amp;A 이후 3사 통합 + 글로벌 운영 + 디지털 코어를 동시에 확보할 수 있는 유일한 안이었기 때문입니다.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easibility-5-5대-타당성-약-70초"/>
    <w:p>
      <w:pPr>
        <w:pStyle w:val="Heading2"/>
      </w:pPr>
      <w:r>
        <w:t xml:space="preserve">16 feasibility-5 · 5대 타당성 (약 70초)</w:t>
      </w:r>
    </w:p>
    <w:bookmarkStart w:id="24" w:name="슬라이드-핵심-5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09"/>
        </w:numPr>
      </w:pPr>
      <w:r>
        <w:t xml:space="preserve">5대 타당성 + 경제 5요인:</w:t>
      </w:r>
    </w:p>
    <w:p>
      <w:pPr>
        <w:pStyle w:val="Compact"/>
        <w:numPr>
          <w:ilvl w:val="1"/>
          <w:numId w:val="1010"/>
        </w:numPr>
      </w:pPr>
      <w:r>
        <w:t xml:space="preserve">기술적·운영적·</w:t>
      </w:r>
      <w:r>
        <w:rPr>
          <w:b/>
          <w:bCs/>
        </w:rPr>
        <w:t xml:space="preserve">경제적</w:t>
      </w:r>
      <w:r>
        <w:t xml:space="preserve">·전략적·확장성</w:t>
      </w:r>
    </w:p>
    <w:p>
      <w:pPr>
        <w:pStyle w:val="Compact"/>
        <w:numPr>
          <w:ilvl w:val="0"/>
          <w:numId w:val="1009"/>
        </w:numPr>
      </w:pPr>
      <w:r>
        <w:t xml:space="preserve">경제 5요인: 기준정보 재활용·교육비 절감·인터페이스 부담↓·중복 운영비 절감·M&amp;A 자산 통합 ROI</w:t>
      </w:r>
    </w:p>
    <w:p>
      <w:pPr>
        <w:pStyle w:val="Compact"/>
        <w:numPr>
          <w:ilvl w:val="0"/>
          <w:numId w:val="1009"/>
        </w:numPr>
      </w:pPr>
      <w:r>
        <w:t xml:space="preserve">ROI 수렴형 시각</w:t>
      </w:r>
    </w:p>
    <w:bookmarkEnd w:id="24"/>
    <w:bookmarkStart w:id="25" w:name="발표-대본-5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A안 선택의 정당성은 5대 타당성으로 검증됐습니다.</w:t>
      </w:r>
    </w:p>
    <w:p>
      <w:pPr>
        <w:pStyle w:val="BlockText"/>
      </w:pPr>
      <w:r>
        <w:rPr>
          <w:b/>
          <w:bCs/>
        </w:rPr>
        <w:t xml:space="preserve">기술적 타당성</w:t>
      </w:r>
      <w:r>
        <w:t xml:space="preserve"> </w:t>
      </w:r>
      <w:r>
        <w:t xml:space="preserve">— SAP S/4HANA는 인메모리 데이터베이스로 차세대 기술 기반입니다.</w:t>
      </w:r>
      <w:r>
        <w:t xml:space="preserve"> </w:t>
      </w:r>
      <w:r>
        <w:rPr>
          <w:b/>
          <w:bCs/>
        </w:rPr>
        <w:t xml:space="preserve">운영적 타당성</w:t>
      </w:r>
      <w:r>
        <w:t xml:space="preserve"> </w:t>
      </w:r>
      <w:r>
        <w:t xml:space="preserve">— 13년 운영 경험·사용자 친숙도가 이미 있습니다.</w:t>
      </w:r>
      <w:r>
        <w:t xml:space="preserve"> </w:t>
      </w:r>
      <w:r>
        <w:rPr>
          <w:b/>
          <w:bCs/>
        </w:rPr>
        <w:t xml:space="preserve">경제적 타당성</w:t>
      </w:r>
      <w:r>
        <w:t xml:space="preserve"> </w:t>
      </w:r>
      <w:r>
        <w:t xml:space="preserve">— 가장 큰 차별점입니다. 기존 기준정보 재활용, 교육비 절감, 인터페이스 부담 감소, 중복 운영비 절감, M&amp;A 자산 통합 ROI — 5가지 요인이 동시에 작용합니다.</w:t>
      </w:r>
      <w:r>
        <w:t xml:space="preserve"> </w:t>
      </w:r>
      <w:r>
        <w:rPr>
          <w:b/>
          <w:bCs/>
        </w:rPr>
        <w:t xml:space="preserve">전략적 타당성</w:t>
      </w:r>
      <w:r>
        <w:t xml:space="preserve"> </w:t>
      </w:r>
      <w:r>
        <w:t xml:space="preserve">— 디지털 코어 확보로 후속 DT 전략의 기반이 됩니다.</w:t>
      </w:r>
      <w:r>
        <w:t xml:space="preserve"> </w:t>
      </w:r>
      <w:r>
        <w:rPr>
          <w:b/>
          <w:bCs/>
        </w:rPr>
        <w:t xml:space="preserve">확장성</w:t>
      </w:r>
      <w:r>
        <w:t xml:space="preserve"> </w:t>
      </w:r>
      <w:r>
        <w:t xml:space="preserve">— 글로벌 6국·110국 운영을 단일 플랫폼으로 지원합니다.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rownfield-conversion-통합형-컨버전-약-70초"/>
    <w:p>
      <w:pPr>
        <w:pStyle w:val="Heading2"/>
      </w:pPr>
      <w:r>
        <w:t xml:space="preserve">17 brownfield-conversion · 통합형 컨버전 (약 70초)</w:t>
      </w:r>
    </w:p>
    <w:bookmarkStart w:id="27" w:name="슬라이드-핵심-6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1"/>
        </w:numPr>
      </w:pPr>
      <w:r>
        <w:t xml:space="preserve">본 사례 =</w:t>
      </w:r>
      <w:r>
        <w:t xml:space="preserve"> </w:t>
      </w:r>
      <w:r>
        <w:rPr>
          <w:b/>
          <w:bCs/>
        </w:rPr>
        <w:t xml:space="preserve">13년 SAP 자산을 활용한 통합형 컨버전</w:t>
      </w:r>
    </w:p>
    <w:p>
      <w:pPr>
        <w:pStyle w:val="Compact"/>
        <w:numPr>
          <w:ilvl w:val="0"/>
          <w:numId w:val="1011"/>
        </w:numPr>
      </w:pPr>
      <w:r>
        <w:t xml:space="preserve">Brownfield 성격 (공식 분류 단정 X·신중한 표현)</w:t>
      </w:r>
    </w:p>
    <w:p>
      <w:pPr>
        <w:pStyle w:val="Compact"/>
        <w:numPr>
          <w:ilvl w:val="0"/>
          <w:numId w:val="1011"/>
        </w:numPr>
      </w:pPr>
      <w:r>
        <w:t xml:space="preserve">M&amp;A 이후 3사 통합 + 기존 자산 진화 = 통합형 컨버전</w:t>
      </w:r>
    </w:p>
    <w:bookmarkEnd w:id="27"/>
    <w:bookmarkStart w:id="28" w:name="발표-대본-6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본 사례의 성격을 정확히 정의하면 —</w:t>
      </w:r>
      <w:r>
        <w:t xml:space="preserve"> </w:t>
      </w:r>
      <w:r>
        <w:rPr>
          <w:b/>
          <w:bCs/>
        </w:rPr>
        <w:t xml:space="preserve">13년 SAP 자산을 활용한 통합형 컨버전</w:t>
      </w:r>
      <w:r>
        <w:t xml:space="preserve">입니다.</w:t>
      </w:r>
    </w:p>
    <w:p>
      <w:pPr>
        <w:pStyle w:val="BlockText"/>
      </w:pPr>
      <w:r>
        <w:t xml:space="preserve">학술적으로는</w:t>
      </w:r>
      <w:r>
        <w:t xml:space="preserve"> </w:t>
      </w:r>
      <w:r>
        <w:t xml:space="preserve">“Brownfield”</w:t>
      </w:r>
      <w:r>
        <w:t xml:space="preserve"> </w:t>
      </w:r>
      <w:r>
        <w:t xml:space="preserve">성격이라고 표현됩니다. Brownfield는 기존 자산이 있는 토양 위에 새로 짓는다는 의미인데, 본 사례가 정확히 그렇습니다.</w:t>
      </w:r>
    </w:p>
    <w:p>
      <w:pPr>
        <w:pStyle w:val="BlockText"/>
      </w:pPr>
      <w:r>
        <w:t xml:space="preserve">다만</w:t>
      </w:r>
      <w:r>
        <w:t xml:space="preserve"> </w:t>
      </w:r>
      <w:r>
        <w:t xml:space="preserve">“공식 Brownfield”</w:t>
      </w:r>
      <w:r>
        <w:t xml:space="preserve">라고 단정하지는 않습니다. SAP의 공식 분류는 Brownfield·Greenfield·Bluefield로 나뉘는데, 본 사례는 거기에 더해</w:t>
      </w:r>
      <w:r>
        <w:t xml:space="preserve"> </w:t>
      </w:r>
      <w:r>
        <w:rPr>
          <w:b/>
          <w:bCs/>
        </w:rPr>
        <w:t xml:space="preserve">M&amp;A 이후 3사 통합이 동시에 진행됐기 때문</w:t>
      </w:r>
      <w:r>
        <w:t xml:space="preserve">입니다. 그래서 저희는 신중하게</w:t>
      </w:r>
      <w:r>
        <w:t xml:space="preserve"> </w:t>
      </w:r>
      <w:r>
        <w:t xml:space="preserve">“통합형 컨버전”</w:t>
      </w:r>
      <w:r>
        <w:t xml:space="preserve">이라고 부릅니다.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예비dist-영역-확인-필요"/>
    <w:p>
      <w:pPr>
        <w:pStyle w:val="Heading2"/>
      </w:pPr>
      <w:r>
        <w:t xml:space="preserve">18 (예비·dist 영역 확인 필요)</w:t>
      </w:r>
    </w:p>
    <w:bookmarkStart w:id="30" w:name="슬라이드-핵심-7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2"/>
        </w:numPr>
      </w:pPr>
      <w:r>
        <w:t xml:space="preserve">(현재 빌드 영역 정합·dist/preview-step2.html 확인)</w:t>
      </w:r>
    </w:p>
    <w:bookmarkEnd w:id="30"/>
    <w:bookmarkStart w:id="31" w:name="발표-대본-7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(페이지 영역 정합 후 작성 권장)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7ffeb828bbd85e74a46f49f8ee570471613380e"/>
    <w:p>
      <w:pPr>
        <w:pStyle w:val="Heading2"/>
      </w:pPr>
      <w:r>
        <w:t xml:space="preserve">19 step2-conclusion · Step 2 결론 + Step 3 예고 (약 40초)</w:t>
      </w:r>
    </w:p>
    <w:bookmarkStart w:id="33" w:name="슬라이드-핵심-8"/>
    <w:p>
      <w:pPr>
        <w:pStyle w:val="Heading3"/>
      </w:pPr>
      <w:r>
        <w:t xml:space="preserve">슬라이드 핵심</w:t>
      </w:r>
    </w:p>
    <w:p>
      <w:pPr>
        <w:pStyle w:val="Compact"/>
        <w:numPr>
          <w:ilvl w:val="0"/>
          <w:numId w:val="1013"/>
        </w:numPr>
      </w:pPr>
      <w:r>
        <w:t xml:space="preserve">Step 2 회수: 목적 명확 → 거버넌스 확립 → Make/Buy → A안 선택 → 타당성 검증 → 통합형 컨버전</w:t>
      </w:r>
    </w:p>
    <w:p>
      <w:pPr>
        <w:pStyle w:val="Compact"/>
        <w:numPr>
          <w:ilvl w:val="0"/>
          <w:numId w:val="1013"/>
        </w:numPr>
      </w:pPr>
      <w:r>
        <w:t xml:space="preserve">다음 질문:</w:t>
      </w:r>
      <w:r>
        <w:t xml:space="preserve"> </w:t>
      </w:r>
      <w:r>
        <w:t xml:space="preserve">“선택은 끝났다. 이제 어떻게</w:t>
      </w:r>
      <w:r>
        <w:t xml:space="preserve"> </w:t>
      </w:r>
      <w:r>
        <w:rPr>
          <w:b/>
          <w:bCs/>
        </w:rPr>
        <w:t xml:space="preserve">멈추지 않고</w:t>
      </w:r>
      <w:r>
        <w:t xml:space="preserve"> </w:t>
      </w:r>
      <w:r>
        <w:t xml:space="preserve">통합할 것인가?”</w:t>
      </w:r>
    </w:p>
    <w:bookmarkEnd w:id="33"/>
    <w:bookmarkStart w:id="34" w:name="발표-대본-8"/>
    <w:p>
      <w:pPr>
        <w:pStyle w:val="Heading3"/>
      </w:pPr>
      <w:r>
        <w:t xml:space="preserve">발표 대본</w:t>
      </w:r>
    </w:p>
    <w:p>
      <w:pPr>
        <w:pStyle w:val="BlockText"/>
      </w:pPr>
      <w:r>
        <w:t xml:space="preserve">Step 2를 정리하면 — 4대 목적 명확, 거버넌스 3축 확립, Make/Buy 결정, A안 선택, 5대 타당성 검증, 통합형 컨버전 정의 — 모든 의사결정이 끝났습니다.</w:t>
      </w:r>
    </w:p>
    <w:p>
      <w:pPr>
        <w:pStyle w:val="BlockText"/>
      </w:pPr>
      <w:r>
        <w:t xml:space="preserve">이제 다음 질문은 —</w:t>
      </w:r>
      <w:r>
        <w:t xml:space="preserve"> </w:t>
      </w:r>
      <w:r>
        <w:rPr>
          <w:b/>
          <w:bCs/>
        </w:rPr>
        <w:t xml:space="preserve">“선택은 끝났다. 이제 어떻게 멈추지 않고 통합할 것인가?”</w:t>
      </w:r>
      <w:r>
        <w:t xml:space="preserve"> </w:t>
      </w:r>
      <w:r>
        <w:t xml:space="preserve">입니다.</w:t>
      </w:r>
    </w:p>
    <w:p>
      <w:pPr>
        <w:pStyle w:val="BlockText"/>
      </w:pPr>
      <w:r>
        <w:t xml:space="preserve">24시간 연속 가동되는 화학 공장을 멈추지 않으면서, 7개월 안에 3사를 통합하는 방법 — 이게 Step 3의 핵심 도전입니다. Step 3 발표는 김민아 학우에게 넘기겠습니다.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발표-팁"/>
    <w:p>
      <w:pPr>
        <w:pStyle w:val="Heading2"/>
      </w:pPr>
      <w:r>
        <w:t xml:space="preserve">발표 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A안 선택 강조</w:t>
      </w:r>
      <w:r>
        <w:t xml:space="preserve">: 4대 대안 중 A안 선택 부분은 화면 가리키며 천천히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거버넌스 3축</w:t>
      </w:r>
      <w:r>
        <w:t xml:space="preserve">: 3축 도식을 손으로 1·2·3 짚어주기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Brownfield 신중</w:t>
      </w:r>
      <w:r>
        <w:t xml:space="preserve">:</w:t>
      </w:r>
      <w:r>
        <w:t xml:space="preserve"> </w:t>
      </w:r>
      <w:r>
        <w:t xml:space="preserve">“공식 분류로 단정하지 않는다”</w:t>
      </w:r>
      <w:r>
        <w:t xml:space="preserve">는 점을 강조 — 학술적 신중함 보여주기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연결 흐름</w:t>
      </w:r>
      <w:r>
        <w:t xml:space="preserve">: 12 의사결정 → 13 거버넌스 → 14 Make/Buy → 15 4대 대안 → 16 타당성 → 17 통합형 컨버전 — 순서 자체가 의사결정 흐름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시간 관리</w:t>
      </w:r>
      <w:r>
        <w:t xml:space="preserve">: Step 2 전체 약 7분·각 페이지 평균 50~70초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3 예고</w:t>
      </w:r>
      <w:r>
        <w:t xml:space="preserve">: 발표자 교체 시 자연스럽게 연결 멘트 활용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2026-05-27T07:30:24Z</dcterms:created>
  <dcterms:modified xsi:type="dcterms:W3CDTF">2026-05-27T07:30:24Z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