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tep-5-발표-대본-무엇을-배우는가-최종-결론"/>
    <w:p>
      <w:pPr>
        <w:pStyle w:val="Heading1"/>
      </w:pPr>
      <w:r>
        <w:t xml:space="preserve">Step 5 발표 대본 — 무엇을 배우는가 · 최종 결론</w:t>
      </w:r>
    </w:p>
    <w:p>
      <w:pPr>
        <w:pStyle w:val="FirstParagraph"/>
      </w:pPr>
      <w:r>
        <w:rPr>
          <w:b/>
          <w:bCs/>
        </w:rPr>
        <w:t xml:space="preserve">발표자</w:t>
      </w:r>
      <w:r>
        <w:t xml:space="preserve">: 김동현 (Step 4·5)</w:t>
      </w:r>
      <w:r>
        <w:t xml:space="preserve"> </w:t>
      </w:r>
      <w:r>
        <w:rPr>
          <w:b/>
          <w:bCs/>
        </w:rPr>
        <w:t xml:space="preserve">페이지</w:t>
      </w:r>
      <w:r>
        <w:t xml:space="preserve">: 44~53 (총 10장·약 9분)</w:t>
      </w:r>
      <w:r>
        <w:t xml:space="preserve"> </w:t>
      </w:r>
      <w:r>
        <w:rPr>
          <w:b/>
          <w:bCs/>
        </w:rPr>
        <w:t xml:space="preserve">Step 5 본질</w:t>
      </w:r>
      <w:r>
        <w:t xml:space="preserve">: 성공 요인에서 최종 결론까지 — 본 사례 ERP 도입을</w:t>
      </w:r>
      <w:r>
        <w:t xml:space="preserve"> </w:t>
      </w:r>
      <w:r>
        <w:t xml:space="preserve">“통합 경영 플랫폼 선택”</w:t>
      </w:r>
      <w:r>
        <w:t xml:space="preserve">으로 재해석</w:t>
      </w:r>
      <w:r>
        <w:t xml:space="preserve"> </w:t>
      </w:r>
      <w:r>
        <w:rPr>
          <w:b/>
          <w:bCs/>
        </w:rPr>
        <w:t xml:space="preserve">핵심 메시지</w:t>
      </w:r>
      <w:r>
        <w:t xml:space="preserve">: 롯데케미칼은 시스템을 교체한 것이 아니라,</w:t>
      </w:r>
      <w:r>
        <w:t xml:space="preserve"> </w:t>
      </w:r>
      <w:r>
        <w:rPr>
          <w:b/>
          <w:bCs/>
        </w:rPr>
        <w:t xml:space="preserve">통합 운영 기준을 다시 설계했다</w:t>
      </w:r>
    </w:p>
    <w:p>
      <w:r>
        <w:pict>
          <v:rect style="width:0;height:1.5pt" o:hralign="center" o:hrstd="t" o:hr="t"/>
        </w:pict>
      </w:r>
    </w:p>
    <w:bookmarkStart w:id="11" w:name="step5-intro-overview-step-5-안내-약-50초"/>
    <w:p>
      <w:pPr>
        <w:pStyle w:val="Heading2"/>
      </w:pPr>
      <w:r>
        <w:t xml:space="preserve">44 step5-intro-overview · Step 5 안내 (약 50초)</w:t>
      </w:r>
    </w:p>
    <w:bookmarkStart w:id="9" w:name="슬라이드-핵심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1"/>
        </w:numPr>
      </w:pPr>
      <w:r>
        <w:t xml:space="preserve">큰 히어로:</w:t>
      </w:r>
      <w:r>
        <w:t xml:space="preserve"> </w:t>
      </w:r>
      <w:r>
        <w:t xml:space="preserve">“그래서 /</w:t>
      </w:r>
      <w:r>
        <w:t xml:space="preserve"> </w:t>
      </w:r>
      <w:r>
        <w:rPr>
          <w:b/>
          <w:bCs/>
        </w:rPr>
        <w:t xml:space="preserve">최종 결론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부 미리보기 6장: 핵심 성공 요인 5 → 발표 압축 3 → 한계 4 → 시사점 3 → 본질 통찰 3 → 향후 + 최종 결론</w:t>
      </w:r>
    </w:p>
    <w:p>
      <w:pPr>
        <w:pStyle w:val="Compact"/>
        <w:numPr>
          <w:ilvl w:val="0"/>
          <w:numId w:val="1001"/>
        </w:numPr>
      </w:pPr>
      <w:r>
        <w:t xml:space="preserve">핵심: ERP 도입을</w:t>
      </w:r>
      <w:r>
        <w:t xml:space="preserve"> </w:t>
      </w:r>
      <w:r>
        <w:rPr>
          <w:b/>
          <w:bCs/>
        </w:rPr>
        <w:t xml:space="preserve">’통합 경영 플랫폼 선택’으로 재해석</w:t>
      </w:r>
    </w:p>
    <w:bookmarkEnd w:id="9"/>
    <w:bookmarkStart w:id="10" w:name="발표-대본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Step 5 시작합니다.</w:t>
      </w:r>
      <w:r>
        <w:t xml:space="preserve"> </w:t>
      </w:r>
      <w:r>
        <w:rPr>
          <w:b/>
          <w:bCs/>
        </w:rPr>
        <w:t xml:space="preserve">무엇을 배우는가</w:t>
      </w:r>
      <w:r>
        <w:t xml:space="preserve"> </w:t>
      </w:r>
      <w:r>
        <w:t xml:space="preserve">— 다섯 부 중 마지막입니다.</w:t>
      </w:r>
    </w:p>
    <w:p>
      <w:pPr>
        <w:pStyle w:val="BlockText"/>
      </w:pPr>
      <w:r>
        <w:t xml:space="preserve">Step 4에서 PIR 검증이 끝났습니다. 5영역 모두 ○, 강의 PIR 3대 기준도 정합. 이제 남은 질문은 —</w:t>
      </w:r>
      <w:r>
        <w:t xml:space="preserve"> </w:t>
      </w:r>
      <w:r>
        <w:rPr>
          <w:i/>
          <w:iCs/>
        </w:rPr>
        <w:t xml:space="preserve">“이 성공을 만든 조건은 무엇이고, 우리는 무엇을 배우는가”</w:t>
      </w:r>
      <w:r>
        <w:t xml:space="preserve"> </w:t>
      </w:r>
      <w:r>
        <w:t xml:space="preserve">입니다.</w:t>
      </w:r>
    </w:p>
    <w:p>
      <w:pPr>
        <w:pStyle w:val="BlockText"/>
      </w:pPr>
      <w:r>
        <w:t xml:space="preserve">Step 5는 핵심 성공 요인 5가지부터 시작해서, 발표 압축 3개·한계 4개·시사점 3개·본질 통찰 3개·디지털 로드맵·그리고</w:t>
      </w:r>
      <w:r>
        <w:t xml:space="preserve"> </w:t>
      </w:r>
      <w:r>
        <w:rPr>
          <w:b/>
          <w:bCs/>
        </w:rPr>
        <w:t xml:space="preserve">최종 결론</w:t>
      </w:r>
      <w:r>
        <w:t xml:space="preserve">까지 회수합니다.</w:t>
      </w:r>
    </w:p>
    <w:p>
      <w:pPr>
        <w:pStyle w:val="BlockText"/>
      </w:pPr>
      <w:r>
        <w:t xml:space="preserve">Step 5의 핵심은 — 본 사례 ERP 도입을</w:t>
      </w:r>
      <w:r>
        <w:t xml:space="preserve"> </w:t>
      </w:r>
      <w:r>
        <w:rPr>
          <w:b/>
          <w:bCs/>
        </w:rPr>
        <w:t xml:space="preserve">“통합 경영 플랫폼 선택”</w:t>
      </w:r>
      <w:r>
        <w:rPr>
          <w:b/>
          <w:bCs/>
        </w:rPr>
        <w:t xml:space="preserve">으로 재해석</w:t>
      </w:r>
      <w:r>
        <w:t xml:space="preserve">하는 것입니다.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csf-frame-강의-5대-차이-본-사례-적용-약-60초"/>
    <w:p>
      <w:pPr>
        <w:pStyle w:val="Heading2"/>
      </w:pPr>
      <w:r>
        <w:t xml:space="preserve">45 csf-frame · 강의 5대 차이 + 본 사례 적용 (약 60초)</w:t>
      </w:r>
    </w:p>
    <w:bookmarkStart w:id="12" w:name="슬라이드-핵심-1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2"/>
        </w:numPr>
      </w:pPr>
      <w:r>
        <w:t xml:space="preserve">Step 1~4 종합 → 일관된 의사결정 패턴 → 강의 5대 차이 적용</w:t>
      </w:r>
    </w:p>
    <w:p>
      <w:pPr>
        <w:pStyle w:val="Compact"/>
        <w:numPr>
          <w:ilvl w:val="0"/>
          <w:numId w:val="1002"/>
        </w:numPr>
      </w:pPr>
      <w:r>
        <w:t xml:space="preserve">강의 자료 31p 정합: 개발 vs 구매 — 핵심 역량 + 접근 방식 근본 차이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13년 누적 SAP 자산</w:t>
      </w:r>
      <w:r>
        <w:t xml:space="preserve">이 5대 차이 모두를 바꾼 의사결정 차별화 핵심</w:t>
      </w:r>
    </w:p>
    <w:bookmarkEnd w:id="12"/>
    <w:bookmarkStart w:id="13" w:name="발표-대본-1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Step 1부터 4까지를 종합하면 —</w:t>
      </w:r>
      <w:r>
        <w:t xml:space="preserve"> </w:t>
      </w:r>
      <w:r>
        <w:rPr>
          <w:b/>
          <w:bCs/>
        </w:rPr>
        <w:t xml:space="preserve">일관된 의사결정 패턴</w:t>
      </w:r>
      <w:r>
        <w:t xml:space="preserve">이 드러납니다. 그 패턴이 강의 5대 차이와 정합합니다.</w:t>
      </w:r>
    </w:p>
    <w:p>
      <w:pPr>
        <w:pStyle w:val="BlockText"/>
      </w:pPr>
      <w:r>
        <w:t xml:space="preserve">강의 자료 31p의 핵심은 — 개발 vs 구매가 같은 목적지를 향하지만, 각 단계의 핵심 역량과 접근 방식이 근본적으로 다르다는 점입니다.</w:t>
      </w:r>
    </w:p>
    <w:p>
      <w:pPr>
        <w:pStyle w:val="BlockText"/>
      </w:pPr>
      <w:r>
        <w:t xml:space="preserve">본 사례는 5대 차이 모두에서 일반 패키지 구매와 차별화됩니다. 그 차별화의 핵심은 —</w:t>
      </w:r>
      <w:r>
        <w:t xml:space="preserve"> </w:t>
      </w:r>
      <w:r>
        <w:rPr>
          <w:b/>
          <w:bCs/>
        </w:rPr>
        <w:t xml:space="preserve">13년 누적 SAP 자산</w:t>
      </w:r>
      <w:r>
        <w:t xml:space="preserve">입니다. 이 자산이 의사결정의 5대 차이 모두를 바꿨습니다.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csf-5values-핵심-성공-요인-5가지-약-70초"/>
    <w:p>
      <w:pPr>
        <w:pStyle w:val="Heading2"/>
      </w:pPr>
      <w:r>
        <w:t xml:space="preserve">46 csf-5values · 핵심 성공 요인 5가지 (약 70초)</w:t>
      </w:r>
    </w:p>
    <w:bookmarkStart w:id="15" w:name="슬라이드-핵심-2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3"/>
        </w:numPr>
      </w:pPr>
      <w:r>
        <w:t xml:space="preserve">CSF 5가지:</w:t>
      </w:r>
    </w:p>
    <w:p>
      <w:pPr>
        <w:pStyle w:val="Compact"/>
        <w:numPr>
          <w:ilvl w:val="1"/>
          <w:numId w:val="1004"/>
        </w:numPr>
      </w:pPr>
      <w:r>
        <w:t xml:space="preserve">① 기존 SAP 자산 활용 (Brownfield·통합형 컨버전)</w:t>
      </w:r>
    </w:p>
    <w:p>
      <w:pPr>
        <w:pStyle w:val="Compact"/>
        <w:numPr>
          <w:ilvl w:val="1"/>
          <w:numId w:val="1004"/>
        </w:numPr>
      </w:pPr>
      <w:r>
        <w:t xml:space="preserve">② 명확한 비즈니스 목표 (4대 사전 설정)</w:t>
      </w:r>
    </w:p>
    <w:p>
      <w:pPr>
        <w:pStyle w:val="Compact"/>
        <w:numPr>
          <w:ilvl w:val="1"/>
          <w:numId w:val="1004"/>
        </w:numPr>
      </w:pPr>
      <w:r>
        <w:t xml:space="preserve">③ SAP Value Assurance (구조화 리스크 사전 통제)</w:t>
      </w:r>
    </w:p>
    <w:p>
      <w:pPr>
        <w:pStyle w:val="Compact"/>
        <w:numPr>
          <w:ilvl w:val="1"/>
          <w:numId w:val="1004"/>
        </w:numPr>
      </w:pPr>
      <w:r>
        <w:t xml:space="preserve">④ 그룹 SI 장기 통제권 (롯데정보통신)</w:t>
      </w:r>
    </w:p>
    <w:p>
      <w:pPr>
        <w:pStyle w:val="Compact"/>
        <w:numPr>
          <w:ilvl w:val="1"/>
          <w:numId w:val="1004"/>
        </w:numPr>
      </w:pPr>
      <w:r>
        <w:t xml:space="preserve">⑤ 표준화·차별화 능동적 균형 (3트랙)</w:t>
      </w:r>
    </w:p>
    <w:p>
      <w:pPr>
        <w:pStyle w:val="Compact"/>
        <w:numPr>
          <w:ilvl w:val="0"/>
          <w:numId w:val="1003"/>
        </w:numPr>
      </w:pPr>
      <w:r>
        <w:t xml:space="preserve">5가지 모두</w:t>
      </w:r>
      <w:r>
        <w:t xml:space="preserve"> </w:t>
      </w:r>
      <w:r>
        <w:rPr>
          <w:b/>
          <w:bCs/>
        </w:rPr>
        <w:t xml:space="preserve">하나의 의사결정 철학의 5측면 표현</w:t>
      </w:r>
    </w:p>
    <w:bookmarkEnd w:id="15"/>
    <w:bookmarkStart w:id="16" w:name="발표-대본-2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핵심 성공 요인은 5가지입니다.</w:t>
      </w:r>
    </w:p>
    <w:p>
      <w:pPr>
        <w:pStyle w:val="BlockText"/>
      </w:pPr>
      <w:r>
        <w:t xml:space="preserve">첫째,</w:t>
      </w:r>
      <w:r>
        <w:t xml:space="preserve"> </w:t>
      </w:r>
      <w:r>
        <w:rPr>
          <w:b/>
          <w:bCs/>
        </w:rPr>
        <w:t xml:space="preserve">기존 SAP 자산 활용</w:t>
      </w:r>
      <w:r>
        <w:t xml:space="preserve"> </w:t>
      </w:r>
      <w:r>
        <w:t xml:space="preserve">— 2003 SMART, 2010 GEMS, 13년 누적 자산이 7개월 압축의 직접 기반입니다.</w:t>
      </w:r>
      <w:r>
        <w:t xml:space="preserve"> </w:t>
      </w:r>
      <w:r>
        <w:t xml:space="preserve">둘째,</w:t>
      </w:r>
      <w:r>
        <w:t xml:space="preserve"> </w:t>
      </w:r>
      <w:r>
        <w:rPr>
          <w:b/>
          <w:bCs/>
        </w:rPr>
        <w:t xml:space="preserve">명확한 비즈니스 목표</w:t>
      </w:r>
      <w:r>
        <w:t xml:space="preserve"> </w:t>
      </w:r>
      <w:r>
        <w:t xml:space="preserve">— Step 2에서 4대 목표를 사전 설정했고, Step 4에서 모두 달성됐습니다.</w:t>
      </w:r>
      <w:r>
        <w:t xml:space="preserve"> </w:t>
      </w:r>
      <w:r>
        <w:t xml:space="preserve">셋째,</w:t>
      </w:r>
      <w:r>
        <w:t xml:space="preserve"> </w:t>
      </w:r>
      <w:r>
        <w:rPr>
          <w:b/>
          <w:bCs/>
        </w:rPr>
        <w:t xml:space="preserve">SAP Value Assurance</w:t>
      </w:r>
      <w:r>
        <w:t xml:space="preserve"> </w:t>
      </w:r>
      <w:r>
        <w:t xml:space="preserve">— 진단 114h → 52h 단축. 사후 대응이 아닌 사전 통제가 결정적 분기점이었습니다.</w:t>
      </w:r>
      <w:r>
        <w:t xml:space="preserve"> </w:t>
      </w:r>
      <w:r>
        <w:t xml:space="preserve">넷째,</w:t>
      </w:r>
      <w:r>
        <w:t xml:space="preserve"> </w:t>
      </w:r>
      <w:r>
        <w:rPr>
          <w:b/>
          <w:bCs/>
        </w:rPr>
        <w:t xml:space="preserve">그룹 SI 장기 통제권</w:t>
      </w:r>
      <w:r>
        <w:t xml:space="preserve"> </w:t>
      </w:r>
      <w:r>
        <w:t xml:space="preserve">— 외부 글로벌 SI에 일임하지 않고, 롯데정보통신이 운영체계를 내부에 축적했습니다.</w:t>
      </w:r>
      <w:r>
        <w:t xml:space="preserve"> </w:t>
      </w:r>
      <w:r>
        <w:t xml:space="preserve">다섯째,</w:t>
      </w:r>
      <w:r>
        <w:t xml:space="preserve"> </w:t>
      </w:r>
      <w:r>
        <w:rPr>
          <w:b/>
          <w:bCs/>
        </w:rPr>
        <w:t xml:space="preserve">표준화·차별화 능동적 균형</w:t>
      </w:r>
      <w:r>
        <w:t xml:space="preserve"> </w:t>
      </w:r>
      <w:r>
        <w:t xml:space="preserve">— BPR + Customizing + Add-on 3트랙. 강제 통일도 아니고 방치도 아닙니다.</w:t>
      </w:r>
    </w:p>
    <w:p>
      <w:pPr>
        <w:pStyle w:val="BlockText"/>
      </w:pPr>
      <w:r>
        <w:t xml:space="preserve">5가지가 독립 항목이 아니라 —</w:t>
      </w:r>
      <w:r>
        <w:t xml:space="preserve"> </w:t>
      </w:r>
      <w:r>
        <w:rPr>
          <w:b/>
          <w:bCs/>
        </w:rPr>
        <w:t xml:space="preserve">하나의 의사결정 철학의 5측면 표현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csf-3-pres-발표용-csf-3개-약-60초"/>
    <w:p>
      <w:pPr>
        <w:pStyle w:val="Heading2"/>
      </w:pPr>
      <w:r>
        <w:t xml:space="preserve">47 csf-3-pres · 발표용 CSF 3개 (약 60초)</w:t>
      </w:r>
    </w:p>
    <w:bookmarkStart w:id="18" w:name="슬라이드-핵심-3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5"/>
        </w:numPr>
      </w:pPr>
      <w:r>
        <w:t xml:space="preserve">5대 CSF를 3 발표축으로 압축:</w:t>
      </w:r>
    </w:p>
    <w:p>
      <w:pPr>
        <w:pStyle w:val="Compact"/>
        <w:numPr>
          <w:ilvl w:val="1"/>
          <w:numId w:val="1006"/>
        </w:numPr>
      </w:pPr>
      <w:r>
        <w:t xml:space="preserve">①</w:t>
      </w:r>
      <w:r>
        <w:t xml:space="preserve"> </w:t>
      </w:r>
      <w:r>
        <w:rPr>
          <w:b/>
          <w:bCs/>
        </w:rPr>
        <w:t xml:space="preserve">기존 자산</w:t>
      </w:r>
      <w:r>
        <w:t xml:space="preserve"> </w:t>
      </w:r>
      <w:r>
        <w:t xml:space="preserve">(Step 1·3) — Brownfield 컨버전</w:t>
      </w:r>
    </w:p>
    <w:p>
      <w:pPr>
        <w:pStyle w:val="Compact"/>
        <w:numPr>
          <w:ilvl w:val="1"/>
          <w:numId w:val="1006"/>
        </w:numPr>
      </w:pPr>
      <w:r>
        <w:t xml:space="preserve">②</w:t>
      </w:r>
      <w:r>
        <w:t xml:space="preserve"> </w:t>
      </w:r>
      <w:r>
        <w:rPr>
          <w:b/>
          <w:bCs/>
        </w:rPr>
        <w:t xml:space="preserve">사전 통제</w:t>
      </w:r>
      <w:r>
        <w:t xml:space="preserve"> </w:t>
      </w:r>
      <w:r>
        <w:t xml:space="preserve">(Step 3·4) — SAP VAS</w:t>
      </w:r>
    </w:p>
    <w:p>
      <w:pPr>
        <w:pStyle w:val="Compact"/>
        <w:numPr>
          <w:ilvl w:val="1"/>
          <w:numId w:val="1006"/>
        </w:numPr>
      </w:pPr>
      <w:r>
        <w:t xml:space="preserve">③</w:t>
      </w:r>
      <w:r>
        <w:t xml:space="preserve"> </w:t>
      </w:r>
      <w:r>
        <w:rPr>
          <w:b/>
          <w:bCs/>
        </w:rPr>
        <w:t xml:space="preserve">표준화·차별화 균형</w:t>
      </w:r>
      <w:r>
        <w:t xml:space="preserve"> </w:t>
      </w:r>
      <w:r>
        <w:t xml:space="preserve">(Step 2·3) — 3트랙</w:t>
      </w:r>
    </w:p>
    <w:p>
      <w:pPr>
        <w:pStyle w:val="Compact"/>
        <w:numPr>
          <w:ilvl w:val="0"/>
          <w:numId w:val="1005"/>
        </w:numPr>
      </w:pPr>
      <w:r>
        <w:t xml:space="preserve">흡수: 비즈니스 목표 (배경 조건)·그룹 SI (배경 조건)</w:t>
      </w:r>
    </w:p>
    <w:bookmarkEnd w:id="18"/>
    <w:bookmarkStart w:id="19" w:name="발표-대본-3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5가지를 발표 본문에서는 3개의 축으로 압축합니다.</w:t>
      </w:r>
    </w:p>
    <w:p>
      <w:pPr>
        <w:pStyle w:val="BlockText"/>
      </w:pPr>
      <w:r>
        <w:t xml:space="preserve">①</w:t>
      </w:r>
      <w:r>
        <w:t xml:space="preserve"> </w:t>
      </w:r>
      <w:r>
        <w:rPr>
          <w:b/>
          <w:bCs/>
        </w:rPr>
        <w:t xml:space="preserve">기존 자산</w:t>
      </w:r>
      <w:r>
        <w:t xml:space="preserve"> </w:t>
      </w:r>
      <w:r>
        <w:t xml:space="preserve">— 13년 누적 SAP 자산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사전 통제</w:t>
      </w:r>
      <w:r>
        <w:t xml:space="preserve"> </w:t>
      </w:r>
      <w:r>
        <w:t xml:space="preserve">— SAP VAS 기반 리스크 사전 차단</w:t>
      </w:r>
      <w:r>
        <w:t xml:space="preserve"> </w:t>
      </w:r>
      <w:r>
        <w:t xml:space="preserve">③</w:t>
      </w:r>
      <w:r>
        <w:t xml:space="preserve"> </w:t>
      </w:r>
      <w:r>
        <w:rPr>
          <w:b/>
          <w:bCs/>
        </w:rPr>
        <w:t xml:space="preserve">표준화·차별화 균형</w:t>
      </w:r>
      <w:r>
        <w:t xml:space="preserve"> </w:t>
      </w:r>
      <w:r>
        <w:t xml:space="preserve">— 3트랙 능동 관리</w:t>
      </w:r>
    </w:p>
    <w:p>
      <w:pPr>
        <w:pStyle w:val="BlockText"/>
      </w:pPr>
      <w:r>
        <w:t xml:space="preserve">흡수 처리한 두 가지는 — 명확한 비즈니스 목표와 그룹 SI 장기 통제권입니다. 이 둘은 ①·③의 배경 조건으로 흡수됩니다.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limits-4-한계-4-약-50초"/>
    <w:p>
      <w:pPr>
        <w:pStyle w:val="Heading2"/>
      </w:pPr>
      <w:r>
        <w:t xml:space="preserve">48 limits-4 · 한계 4 (약 50초)</w:t>
      </w:r>
    </w:p>
    <w:bookmarkStart w:id="21" w:name="슬라이드-핵심-4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7"/>
        </w:numPr>
      </w:pPr>
      <w:r>
        <w:t xml:space="preserve">본 사례의 한계 (의도된 트레이드오프):</w:t>
      </w:r>
    </w:p>
    <w:p>
      <w:pPr>
        <w:pStyle w:val="Compact"/>
        <w:numPr>
          <w:ilvl w:val="1"/>
          <w:numId w:val="1008"/>
        </w:numPr>
      </w:pPr>
      <w:r>
        <w:t xml:space="preserve">① 단기 변경관리 부담 (회계부서 박수 영역에도 일부 영역)</w:t>
      </w:r>
    </w:p>
    <w:p>
      <w:pPr>
        <w:pStyle w:val="Compact"/>
        <w:numPr>
          <w:ilvl w:val="1"/>
          <w:numId w:val="1008"/>
        </w:numPr>
      </w:pPr>
      <w:r>
        <w:t xml:space="preserve">② 부정 효과 자료 부재</w:t>
      </w:r>
    </w:p>
    <w:p>
      <w:pPr>
        <w:pStyle w:val="Compact"/>
        <w:numPr>
          <w:ilvl w:val="1"/>
          <w:numId w:val="1008"/>
        </w:numPr>
      </w:pPr>
      <w:r>
        <w:t xml:space="preserve">③ ROI 비공개</w:t>
      </w:r>
    </w:p>
    <w:p>
      <w:pPr>
        <w:pStyle w:val="Compact"/>
        <w:numPr>
          <w:ilvl w:val="1"/>
          <w:numId w:val="1008"/>
        </w:numPr>
      </w:pPr>
      <w:r>
        <w:t xml:space="preserve">④ 독립 PIR 부재</w:t>
      </w:r>
    </w:p>
    <w:bookmarkEnd w:id="21"/>
    <w:bookmarkStart w:id="22" w:name="발표-대본-4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본 사례에도 한계는 있습니다. 다만 이건</w:t>
      </w:r>
      <w:r>
        <w:t xml:space="preserve"> </w:t>
      </w:r>
      <w:r>
        <w:rPr>
          <w:b/>
          <w:bCs/>
        </w:rPr>
        <w:t xml:space="preserve">의도된 트레이드오프</w:t>
      </w:r>
      <w:r>
        <w:t xml:space="preserve">라는 점을 인식해야 합니다.</w:t>
      </w:r>
    </w:p>
    <w:p>
      <w:pPr>
        <w:pStyle w:val="BlockText"/>
      </w:pPr>
      <w:r>
        <w:t xml:space="preserve">첫째, 단기 변경관리 부담. 둘째, 부정 효과 자료 부재. 셋째, ROI 투자 규모 비공개. 넷째, 외부 독립 PIR 결과 부재.</w:t>
      </w:r>
    </w:p>
    <w:p>
      <w:pPr>
        <w:pStyle w:val="BlockText"/>
      </w:pPr>
      <w:r>
        <w:t xml:space="preserve">이 4가지는 한계이지만, Step 4에서 확인한 것처럼 —</w:t>
      </w:r>
      <w:r>
        <w:t xml:space="preserve"> </w:t>
      </w:r>
      <w:r>
        <w:rPr>
          <w:b/>
          <w:bCs/>
        </w:rPr>
        <w:t xml:space="preserve">정량·정성·후속을 함께 보면 성과는 명확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mplications-3-시사점-3-약-70초"/>
    <w:p>
      <w:pPr>
        <w:pStyle w:val="Heading2"/>
      </w:pPr>
      <w:r>
        <w:t xml:space="preserve">49 implications-3 · 시사점 3 (약 70초)</w:t>
      </w:r>
    </w:p>
    <w:bookmarkStart w:id="24" w:name="슬라이드-핵심-5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9"/>
        </w:numPr>
      </w:pPr>
      <w:r>
        <w:t xml:space="preserve">3 시사점 (타 기업·후속 학습):</w:t>
      </w:r>
    </w:p>
    <w:p>
      <w:pPr>
        <w:pStyle w:val="Compact"/>
        <w:numPr>
          <w:ilvl w:val="1"/>
          <w:numId w:val="1010"/>
        </w:numPr>
      </w:pPr>
      <w:r>
        <w:t xml:space="preserve">①</w:t>
      </w:r>
      <w:r>
        <w:t xml:space="preserve"> </w:t>
      </w:r>
      <w:r>
        <w:rPr>
          <w:b/>
          <w:bCs/>
        </w:rPr>
        <w:t xml:space="preserve">M&amp;A 통합 ERP</w:t>
      </w:r>
      <w:r>
        <w:t xml:space="preserve"> </w:t>
      </w:r>
      <w:r>
        <w:t xml:space="preserve">— 자산 이전·운영 기준 동기화</w:t>
      </w:r>
    </w:p>
    <w:p>
      <w:pPr>
        <w:pStyle w:val="Compact"/>
        <w:numPr>
          <w:ilvl w:val="1"/>
          <w:numId w:val="1010"/>
        </w:numPr>
      </w:pPr>
      <w:r>
        <w:t xml:space="preserve">②</w:t>
      </w:r>
      <w:r>
        <w:t xml:space="preserve"> </w:t>
      </w:r>
      <w:r>
        <w:rPr>
          <w:b/>
          <w:bCs/>
        </w:rPr>
        <w:t xml:space="preserve">장치산업 ERP</w:t>
      </w:r>
      <w:r>
        <w:t xml:space="preserve"> </w:t>
      </w:r>
      <w:r>
        <w:t xml:space="preserve">— 24h 무중단·EHS·실시간 가시성</w:t>
      </w:r>
    </w:p>
    <w:p>
      <w:pPr>
        <w:pStyle w:val="Compact"/>
        <w:numPr>
          <w:ilvl w:val="1"/>
          <w:numId w:val="1010"/>
        </w:numPr>
      </w:pPr>
      <w:r>
        <w:t xml:space="preserve">③</w:t>
      </w:r>
      <w:r>
        <w:t xml:space="preserve"> </w:t>
      </w:r>
      <w:r>
        <w:rPr>
          <w:b/>
          <w:bCs/>
        </w:rPr>
        <w:t xml:space="preserve">2027 ECC EOS 대응</w:t>
      </w:r>
      <w:r>
        <w:t xml:space="preserve"> </w:t>
      </w:r>
      <w:r>
        <w:t xml:space="preserve">— S/4HANA 전환 의사결정 사례</w:t>
      </w:r>
    </w:p>
    <w:bookmarkEnd w:id="24"/>
    <w:bookmarkStart w:id="25" w:name="발표-대본-5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본 사례에서 타 기업·실무진이 배울 수 있는 시사점은 3가지입니다.</w:t>
      </w:r>
    </w:p>
    <w:p>
      <w:pPr>
        <w:pStyle w:val="BlockText"/>
      </w:pPr>
      <w:r>
        <w:t xml:space="preserve">첫째,</w:t>
      </w:r>
      <w:r>
        <w:t xml:space="preserve"> </w:t>
      </w:r>
      <w:r>
        <w:rPr>
          <w:b/>
          <w:bCs/>
        </w:rPr>
        <w:t xml:space="preserve">M&amp;A 통합 ERP</w:t>
      </w:r>
      <w:r>
        <w:t xml:space="preserve"> </w:t>
      </w:r>
      <w:r>
        <w:t xml:space="preserve">영역. 자산 이전과 운영 기준 동기화를 어떻게 동시에 진행했는가의 사례입니다.</w:t>
      </w:r>
    </w:p>
    <w:p>
      <w:pPr>
        <w:pStyle w:val="BlockText"/>
      </w:pPr>
      <w:r>
        <w:t xml:space="preserve">둘째,</w:t>
      </w:r>
      <w:r>
        <w:t xml:space="preserve"> </w:t>
      </w:r>
      <w:r>
        <w:rPr>
          <w:b/>
          <w:bCs/>
        </w:rPr>
        <w:t xml:space="preserve">장치산업 ERP</w:t>
      </w:r>
      <w:r>
        <w:t xml:space="preserve"> </w:t>
      </w:r>
      <w:r>
        <w:t xml:space="preserve">영역. 24시간 무중단·EHS 규제·실시간 가시성을 어떻게 통합했는가의 사례입니다.</w:t>
      </w:r>
    </w:p>
    <w:p>
      <w:pPr>
        <w:pStyle w:val="BlockText"/>
      </w:pPr>
      <w:r>
        <w:t xml:space="preserve">셋째,</w:t>
      </w:r>
      <w:r>
        <w:t xml:space="preserve"> </w:t>
      </w:r>
      <w:r>
        <w:rPr>
          <w:b/>
          <w:bCs/>
        </w:rPr>
        <w:t xml:space="preserve">2027 ECC EOS 대응</w:t>
      </w:r>
      <w:r>
        <w:t xml:space="preserve">. SAP ECC가 2027년 End of Support 예정인데, 본 사례는 그 대응의 선구적 모델입니다.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essential-insights-3-본질-통찰-3-수렴형-약-80초"/>
    <w:p>
      <w:pPr>
        <w:pStyle w:val="Heading2"/>
      </w:pPr>
      <w:r>
        <w:t xml:space="preserve">50 essential-insights-3 · 본질 통찰 3 (수렴형) (약 80초)</w:t>
      </w:r>
    </w:p>
    <w:bookmarkStart w:id="27" w:name="슬라이드-핵심-6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1"/>
        </w:numPr>
      </w:pPr>
      <w:r>
        <w:t xml:space="preserve">3 본질 통찰 →</w:t>
      </w:r>
      <w:r>
        <w:t xml:space="preserve"> </w:t>
      </w:r>
      <w:r>
        <w:rPr>
          <w:b/>
          <w:bCs/>
        </w:rPr>
        <w:t xml:space="preserve">단일 디지털 코어로 수렴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①</w:t>
      </w:r>
      <w:r>
        <w:t xml:space="preserve"> </w:t>
      </w:r>
      <w:r>
        <w:rPr>
          <w:b/>
          <w:bCs/>
        </w:rPr>
        <w:t xml:space="preserve">운영 기준 통합</w:t>
      </w:r>
      <w:r>
        <w:t xml:space="preserve"> </w:t>
      </w:r>
      <w:r>
        <w:t xml:space="preserve">— 시스템 교체 X·하나의 운영 기준</w:t>
      </w:r>
    </w:p>
    <w:p>
      <w:pPr>
        <w:pStyle w:val="Compact"/>
        <w:numPr>
          <w:ilvl w:val="1"/>
          <w:numId w:val="1012"/>
        </w:numPr>
      </w:pPr>
      <w:r>
        <w:t xml:space="preserve">②</w:t>
      </w:r>
      <w:r>
        <w:t xml:space="preserve"> </w:t>
      </w:r>
      <w:r>
        <w:rPr>
          <w:b/>
          <w:bCs/>
        </w:rPr>
        <w:t xml:space="preserve">누적 진화</w:t>
      </w:r>
      <w:r>
        <w:t xml:space="preserve"> </w:t>
      </w:r>
      <w:r>
        <w:t xml:space="preserve">— 2003 SMART → 2010 GEMS → 2017 S/4HANA → 2018 DT (단계적 진화)</w:t>
      </w:r>
    </w:p>
    <w:p>
      <w:pPr>
        <w:pStyle w:val="Compact"/>
        <w:numPr>
          <w:ilvl w:val="1"/>
          <w:numId w:val="1012"/>
        </w:numPr>
      </w:pPr>
      <w:r>
        <w:t xml:space="preserve">③</w:t>
      </w:r>
      <w:r>
        <w:t xml:space="preserve"> </w:t>
      </w:r>
      <w:r>
        <w:rPr>
          <w:b/>
          <w:bCs/>
        </w:rPr>
        <w:t xml:space="preserve">트레이드오프 관리</w:t>
      </w:r>
      <w:r>
        <w:t xml:space="preserve"> </w:t>
      </w:r>
      <w:r>
        <w:t xml:space="preserve">— Big Bang vs Roll-out / 표준화 vs 차별화 / 외부 SI vs 그룹 SI</w:t>
      </w:r>
    </w:p>
    <w:p>
      <w:pPr>
        <w:pStyle w:val="Compact"/>
        <w:numPr>
          <w:ilvl w:val="0"/>
          <w:numId w:val="1011"/>
        </w:numPr>
      </w:pPr>
      <w:r>
        <w:t xml:space="preserve">수렴 지점:</w:t>
      </w:r>
      <w:r>
        <w:t xml:space="preserve"> </w:t>
      </w:r>
      <w:r>
        <w:rPr>
          <w:b/>
          <w:bCs/>
        </w:rPr>
        <w:t xml:space="preserve">단일 디지털 코어</w:t>
      </w:r>
      <w:r>
        <w:t xml:space="preserve"> </w:t>
      </w:r>
      <w:r>
        <w:t xml:space="preserve">— SAP S/4HANA 중심 플랫폼</w:t>
      </w:r>
    </w:p>
    <w:bookmarkEnd w:id="27"/>
    <w:bookmarkStart w:id="28" w:name="발표-대본-6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본 사례의 본질 통찰은 3가지입니다.</w:t>
      </w:r>
    </w:p>
    <w:p>
      <w:pPr>
        <w:pStyle w:val="BlockText"/>
      </w:pPr>
      <w:r>
        <w:t xml:space="preserve">첫째,</w:t>
      </w:r>
      <w:r>
        <w:t xml:space="preserve"> </w:t>
      </w:r>
      <w:r>
        <w:rPr>
          <w:b/>
          <w:bCs/>
        </w:rPr>
        <w:t xml:space="preserve">운영 기준 통합</w:t>
      </w:r>
      <w:r>
        <w:t xml:space="preserve">. 본 사례는 시스템 교체가 아니라 — 3사의 운영 기준을 하나로 통합하는 선택이었습니다.</w:t>
      </w:r>
    </w:p>
    <w:p>
      <w:pPr>
        <w:pStyle w:val="BlockText"/>
      </w:pPr>
      <w:r>
        <w:t xml:space="preserve">둘째,</w:t>
      </w:r>
      <w:r>
        <w:t xml:space="preserve"> </w:t>
      </w:r>
      <w:r>
        <w:rPr>
          <w:b/>
          <w:bCs/>
        </w:rPr>
        <w:t xml:space="preserve">누적 진화</w:t>
      </w:r>
      <w:r>
        <w:t xml:space="preserve">. 2003 SMART, 2010 GEMS, 2017 S/4HANA, 2018 DT — 단계적으로 진화한 결과입니다.</w:t>
      </w:r>
    </w:p>
    <w:p>
      <w:pPr>
        <w:pStyle w:val="BlockText"/>
      </w:pPr>
      <w:r>
        <w:t xml:space="preserve">셋째,</w:t>
      </w:r>
      <w:r>
        <w:t xml:space="preserve"> </w:t>
      </w:r>
      <w:r>
        <w:rPr>
          <w:b/>
          <w:bCs/>
        </w:rPr>
        <w:t xml:space="preserve">트레이드오프 관리</w:t>
      </w:r>
      <w:r>
        <w:t xml:space="preserve">. Big Bang과 Roll-out, 표준화와 차별화, 외부 SI와 그룹 SI — 3쌍의 대비를 능동적으로 관리했습니다.</w:t>
      </w:r>
    </w:p>
    <w:p>
      <w:pPr>
        <w:pStyle w:val="BlockText"/>
      </w:pPr>
      <w:r>
        <w:t xml:space="preserve">이 3 통찰이</w:t>
      </w:r>
      <w:r>
        <w:t xml:space="preserve"> </w:t>
      </w:r>
      <w:r>
        <w:rPr>
          <w:b/>
          <w:bCs/>
        </w:rPr>
        <w:t xml:space="preserve">하나의 디지털 코어로 수렴</w:t>
      </w:r>
      <w:r>
        <w:t xml:space="preserve">합니다. 그 수렴 지점이 바로 SAP S/4HANA 중심 플랫폼입니다.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uture-4-디지털-로드맵-4단계-확장형-약-70초"/>
    <w:p>
      <w:pPr>
        <w:pStyle w:val="Heading2"/>
      </w:pPr>
      <w:r>
        <w:t xml:space="preserve">51 future-4 · 디지털 로드맵 4단계 (확장형) (약 70초)</w:t>
      </w:r>
    </w:p>
    <w:bookmarkStart w:id="30" w:name="슬라이드-핵심-7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3"/>
        </w:numPr>
      </w:pPr>
      <w:r>
        <w:t xml:space="preserve">4단계 디지털 로드맵 — S/4HANA는 종착점이 아니라</w:t>
      </w:r>
      <w:r>
        <w:t xml:space="preserve"> </w:t>
      </w:r>
      <w:r>
        <w:rPr>
          <w:b/>
          <w:bCs/>
        </w:rPr>
        <w:t xml:space="preserve">출발점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Step 1</w:t>
      </w:r>
      <w:r>
        <w:t xml:space="preserve"> </w:t>
      </w:r>
      <w:r>
        <w:t xml:space="preserve">— 클라우드 전환 (Cloud-First 재검토) → 인프라 유연성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Step 2</w:t>
      </w:r>
      <w:r>
        <w:t xml:space="preserve"> </w:t>
      </w:r>
      <w:r>
        <w:t xml:space="preserve">— AI·빅데이터 (분석·예측 의사결정) → 예측 의사결정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Step 3</w:t>
      </w:r>
      <w:r>
        <w:t xml:space="preserve"> </w:t>
      </w:r>
      <w:r>
        <w:t xml:space="preserve">— 디지털 트윈·IoT (실시간 운영 최적화) → 실시간 최적화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Step 4 (목표)</w:t>
      </w:r>
      <w:r>
        <w:t xml:space="preserve"> </w:t>
      </w:r>
      <w:r>
        <w:t xml:space="preserve">— 2030 글로벌 톱7 (디지털 기반 확장) → 글로벌 확장 지원</w:t>
      </w:r>
    </w:p>
    <w:bookmarkEnd w:id="30"/>
    <w:bookmarkStart w:id="31" w:name="발표-대본-7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S/4HANA는 종착점이 아니라</w:t>
      </w:r>
      <w:r>
        <w:t xml:space="preserve"> </w:t>
      </w:r>
      <w:r>
        <w:rPr>
          <w:b/>
          <w:bCs/>
        </w:rPr>
        <w:t xml:space="preserve">디지털 확장의 출발점</w:t>
      </w:r>
      <w:r>
        <w:t xml:space="preserve">입니다. 단일 디지털 코어 위에 4단계 확장이 이어집니다.</w:t>
      </w:r>
    </w:p>
    <w:p>
      <w:pPr>
        <w:pStyle w:val="BlockText"/>
      </w:pPr>
      <w:r>
        <w:t xml:space="preserve">Step 1 —</w:t>
      </w:r>
      <w:r>
        <w:t xml:space="preserve"> </w:t>
      </w:r>
      <w:r>
        <w:rPr>
          <w:b/>
          <w:bCs/>
        </w:rPr>
        <w:t xml:space="preserve">클라우드 전환</w:t>
      </w:r>
      <w:r>
        <w:t xml:space="preserve">. Cloud-First 재검토로 인프라 유연성 확보.</w:t>
      </w:r>
      <w:r>
        <w:t xml:space="preserve"> </w:t>
      </w:r>
      <w:r>
        <w:t xml:space="preserve">Step 2 —</w:t>
      </w:r>
      <w:r>
        <w:t xml:space="preserve"> </w:t>
      </w:r>
      <w:r>
        <w:rPr>
          <w:b/>
          <w:bCs/>
        </w:rPr>
        <w:t xml:space="preserve">AI·빅데이터</w:t>
      </w:r>
      <w:r>
        <w:t xml:space="preserve">. 분석·예측 의사결정 영역.</w:t>
      </w:r>
      <w:r>
        <w:t xml:space="preserve"> </w:t>
      </w:r>
      <w:r>
        <w:t xml:space="preserve">Step 3 —</w:t>
      </w:r>
      <w:r>
        <w:t xml:space="preserve"> </w:t>
      </w:r>
      <w:r>
        <w:rPr>
          <w:b/>
          <w:bCs/>
        </w:rPr>
        <w:t xml:space="preserve">디지털 트윈·IoT</w:t>
      </w:r>
      <w:r>
        <w:t xml:space="preserve">. 실시간 운영 최적화 영역.</w:t>
      </w:r>
      <w:r>
        <w:t xml:space="preserve"> </w:t>
      </w:r>
      <w:r>
        <w:t xml:space="preserve">Step 4 —</w:t>
      </w:r>
      <w:r>
        <w:t xml:space="preserve"> </w:t>
      </w:r>
      <w:r>
        <w:rPr>
          <w:b/>
          <w:bCs/>
        </w:rPr>
        <w:t xml:space="preserve">2030 글로벌 톱7</w:t>
      </w:r>
      <w:r>
        <w:t xml:space="preserve">. 디지털 기반 확장이 최종 목표입니다.</w:t>
      </w:r>
    </w:p>
    <w:p>
      <w:pPr>
        <w:pStyle w:val="BlockText"/>
      </w:pPr>
      <w:r>
        <w:t xml:space="preserve">50번 슬라이드의</w:t>
      </w:r>
      <w:r>
        <w:t xml:space="preserve"> </w:t>
      </w:r>
      <w:r>
        <w:rPr>
          <w:b/>
          <w:bCs/>
        </w:rPr>
        <w:t xml:space="preserve">수렴형</w:t>
      </w:r>
      <w:r>
        <w:t xml:space="preserve"> </w:t>
      </w:r>
      <w:r>
        <w:t xml:space="preserve">통찰이 51번에서</w:t>
      </w:r>
      <w:r>
        <w:t xml:space="preserve"> </w:t>
      </w:r>
      <w:r>
        <w:rPr>
          <w:b/>
          <w:bCs/>
        </w:rPr>
        <w:t xml:space="preserve">확장형</w:t>
      </w:r>
      <w:r>
        <w:t xml:space="preserve"> </w:t>
      </w:r>
      <w:r>
        <w:t xml:space="preserve">로드맵으로 이어집니다.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inal-conclusion-최종-결론-약-70초"/>
    <w:p>
      <w:pPr>
        <w:pStyle w:val="Heading2"/>
      </w:pPr>
      <w:r>
        <w:t xml:space="preserve">52 final-conclusion · 최종 결론 (약 70초)</w:t>
      </w:r>
    </w:p>
    <w:bookmarkStart w:id="33" w:name="슬라이드-핵심-8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5"/>
        </w:numPr>
      </w:pPr>
      <w:r>
        <w:t xml:space="preserve">큰 히어로:</w:t>
      </w:r>
      <w:r>
        <w:t xml:space="preserve"> </w:t>
      </w:r>
      <w:r>
        <w:rPr>
          <w:b/>
          <w:bCs/>
        </w:rPr>
        <w:t xml:space="preserve">“롯데케미칼은 시스템을 교체한 것이 아니라, 통합 운영 기준을 다시 설계했다”</w:t>
      </w:r>
    </w:p>
    <w:p>
      <w:pPr>
        <w:pStyle w:val="Compact"/>
        <w:numPr>
          <w:ilvl w:val="0"/>
          <w:numId w:val="1015"/>
        </w:numPr>
      </w:pPr>
      <w:r>
        <w:t xml:space="preserve">사례 결론 (ERP 일반론 X·롯데케미칼 사례 결론)</w:t>
      </w:r>
    </w:p>
    <w:p>
      <w:pPr>
        <w:pStyle w:val="Compact"/>
        <w:numPr>
          <w:ilvl w:val="0"/>
          <w:numId w:val="1015"/>
        </w:numPr>
      </w:pPr>
      <w:r>
        <w:t xml:space="preserve">3 근거 stamp:</w:t>
      </w:r>
    </w:p>
    <w:p>
      <w:pPr>
        <w:pStyle w:val="Compact"/>
        <w:numPr>
          <w:ilvl w:val="1"/>
          <w:numId w:val="1016"/>
        </w:numPr>
      </w:pPr>
      <w:r>
        <w:t xml:space="preserve">①</w:t>
      </w:r>
      <w:r>
        <w:t xml:space="preserve"> </w:t>
      </w:r>
      <w:r>
        <w:rPr>
          <w:b/>
          <w:bCs/>
        </w:rPr>
        <w:t xml:space="preserve">기존 자산을 버리지 않았다</w:t>
      </w:r>
      <w:r>
        <w:t xml:space="preserve"> </w:t>
      </w:r>
      <w:r>
        <w:t xml:space="preserve">— 7개월 압축 가능</w:t>
      </w:r>
    </w:p>
    <w:p>
      <w:pPr>
        <w:pStyle w:val="Compact"/>
        <w:numPr>
          <w:ilvl w:val="1"/>
          <w:numId w:val="1016"/>
        </w:numPr>
      </w:pPr>
      <w:r>
        <w:t xml:space="preserve">②</w:t>
      </w:r>
      <w:r>
        <w:t xml:space="preserve"> </w:t>
      </w:r>
      <w:r>
        <w:rPr>
          <w:b/>
          <w:bCs/>
        </w:rPr>
        <w:t xml:space="preserve">표준화와 차별성을 동시에 관리했다</w:t>
      </w:r>
      <w:r>
        <w:t xml:space="preserve"> </w:t>
      </w:r>
      <w:r>
        <w:t xml:space="preserve">— 표준화 + 본연 경쟁력</w:t>
      </w:r>
    </w:p>
    <w:p>
      <w:pPr>
        <w:pStyle w:val="Compact"/>
        <w:numPr>
          <w:ilvl w:val="1"/>
          <w:numId w:val="1016"/>
        </w:numPr>
      </w:pPr>
      <w:r>
        <w:t xml:space="preserve">③</w:t>
      </w:r>
      <w:r>
        <w:t xml:space="preserve"> </w:t>
      </w:r>
      <w:r>
        <w:rPr>
          <w:b/>
          <w:bCs/>
        </w:rPr>
        <w:t xml:space="preserve">하나의 디지털 코어로 수렴했다</w:t>
      </w:r>
      <w:r>
        <w:t xml:space="preserve"> </w:t>
      </w:r>
      <w:r>
        <w:t xml:space="preserve">— 운영 기준 재설계</w:t>
      </w:r>
    </w:p>
    <w:p>
      <w:pPr>
        <w:pStyle w:val="Compact"/>
        <w:numPr>
          <w:ilvl w:val="0"/>
          <w:numId w:val="1015"/>
        </w:numPr>
      </w:pPr>
      <w:r>
        <w:t xml:space="preserve">학습 가치: 강의 6단계 모두에서 1차 자료·사후 검증 가능한 드문 모범 사례</w:t>
      </w:r>
    </w:p>
    <w:bookmarkEnd w:id="33"/>
    <w:bookmarkStart w:id="34" w:name="발표-대본-8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마지막 슬라이드 — 본 사례의</w:t>
      </w:r>
      <w:r>
        <w:t xml:space="preserve"> </w:t>
      </w:r>
      <w:r>
        <w:rPr>
          <w:b/>
          <w:bCs/>
        </w:rPr>
        <w:t xml:space="preserve">최종 결론</w:t>
      </w:r>
      <w:r>
        <w:t xml:space="preserve">입니다.</w:t>
      </w:r>
    </w:p>
    <w:p>
      <w:pPr>
        <w:pStyle w:val="BlockText"/>
      </w:pPr>
      <w:r>
        <w:rPr>
          <w:i/>
          <w:iCs/>
        </w:rPr>
        <w:t xml:space="preserve">“롯데케미칼은 시스템을 교체한 것이 아니라,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통합 운영 기준을 다시 설계했다.</w:t>
      </w:r>
      <w:r>
        <w:rPr>
          <w:i/>
          <w:iCs/>
        </w:rPr>
        <w:t xml:space="preserve">”</w:t>
      </w:r>
    </w:p>
    <w:p>
      <w:pPr>
        <w:pStyle w:val="BlockText"/>
      </w:pPr>
      <w:r>
        <w:t xml:space="preserve">이게 본 사례의 결론입니다. ERP 일반론이 아니라, 롯데케미칼이라는 한 기업의 구체적 결론입니다.</w:t>
      </w:r>
    </w:p>
    <w:p>
      <w:pPr>
        <w:pStyle w:val="BlockText"/>
      </w:pPr>
      <w:r>
        <w:t xml:space="preserve">3가지 근거가 이를 뒷받침합니다.</w:t>
      </w:r>
    </w:p>
    <w:p>
      <w:pPr>
        <w:pStyle w:val="BlockText"/>
      </w:pPr>
      <w:r>
        <w:t xml:space="preserve">첫째,</w:t>
      </w:r>
      <w:r>
        <w:t xml:space="preserve"> </w:t>
      </w:r>
      <w:r>
        <w:rPr>
          <w:b/>
          <w:bCs/>
        </w:rPr>
        <w:t xml:space="preserve">기존 자산을 버리지 않았다</w:t>
      </w:r>
      <w:r>
        <w:t xml:space="preserve"> </w:t>
      </w:r>
      <w:r>
        <w:t xml:space="preserve">— 13년 SAP 자산을 통합형 컨버전으로 이전 → 7개월 압축 가능.</w:t>
      </w:r>
      <w:r>
        <w:t xml:space="preserve"> </w:t>
      </w:r>
      <w:r>
        <w:t xml:space="preserve">둘째,</w:t>
      </w:r>
      <w:r>
        <w:t xml:space="preserve"> </w:t>
      </w:r>
      <w:r>
        <w:rPr>
          <w:b/>
          <w:bCs/>
        </w:rPr>
        <w:t xml:space="preserve">표준화와 차별성을 동시에 관리했다</w:t>
      </w:r>
      <w:r>
        <w:t xml:space="preserve"> </w:t>
      </w:r>
      <w:r>
        <w:t xml:space="preserve">— BPR + Customizing + Add-on 3트랙 균형 → 표준화와 본연 경쟁력 동시 확보.</w:t>
      </w:r>
      <w:r>
        <w:t xml:space="preserve"> </w:t>
      </w:r>
      <w:r>
        <w:t xml:space="preserve">셋째,</w:t>
      </w:r>
      <w:r>
        <w:t xml:space="preserve"> </w:t>
      </w:r>
      <w:r>
        <w:rPr>
          <w:b/>
          <w:bCs/>
        </w:rPr>
        <w:t xml:space="preserve">하나의 디지털 코어로 수렴했다</w:t>
      </w:r>
      <w:r>
        <w:t xml:space="preserve"> </w:t>
      </w:r>
      <w:r>
        <w:t xml:space="preserve">— S/4HANA + 비SAP EAI 연계 → 운영 기준 재설계.</w:t>
      </w:r>
    </w:p>
    <w:p>
      <w:pPr>
        <w:pStyle w:val="BlockText"/>
      </w:pPr>
      <w:r>
        <w:t xml:space="preserve">본 사례의 학습 가치는 — 강의 6단계 (타당성·요구사항·설계·구축·구현·PIR)</w:t>
      </w:r>
      <w:r>
        <w:t xml:space="preserve"> </w:t>
      </w:r>
      <w:r>
        <w:rPr>
          <w:b/>
          <w:bCs/>
        </w:rPr>
        <w:t xml:space="preserve">모두에서 1차 자료와 사후 검증이 가능한 드문 모범 사례</w:t>
      </w:r>
      <w:r>
        <w:t xml:space="preserve">라는 점입니다.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hanks-qna-감사합니다-qa-약-30초"/>
    <w:p>
      <w:pPr>
        <w:pStyle w:val="Heading2"/>
      </w:pPr>
      <w:r>
        <w:t xml:space="preserve">53 thanks-qna · 감사합니다 · Q&amp;A (약 30초)</w:t>
      </w:r>
    </w:p>
    <w:bookmarkStart w:id="36" w:name="슬라이드-핵심-9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7"/>
        </w:numPr>
      </w:pPr>
      <w:r>
        <w:t xml:space="preserve">큰</w:t>
      </w:r>
      <w:r>
        <w:t xml:space="preserve"> </w:t>
      </w:r>
      <w:r>
        <w:t xml:space="preserve">“감사합니다”</w:t>
      </w:r>
      <w:r>
        <w:t xml:space="preserve"> </w:t>
      </w:r>
      <w:r>
        <w:t xml:space="preserve">+</w:t>
      </w:r>
      <w:r>
        <w:t xml:space="preserve"> </w:t>
      </w:r>
      <w:r>
        <w:t xml:space="preserve">“Q&amp;A”</w:t>
      </w:r>
    </w:p>
    <w:p>
      <w:pPr>
        <w:pStyle w:val="Compact"/>
        <w:numPr>
          <w:ilvl w:val="0"/>
          <w:numId w:val="1017"/>
        </w:numPr>
      </w:pPr>
      <w:r>
        <w:t xml:space="preserve">조원 역할: Step 1·2 성슬기 / Step 3 김민아 / Step 4·5 김동현 / 발표자료 제작 신해원</w:t>
      </w:r>
    </w:p>
    <w:p>
      <w:pPr>
        <w:pStyle w:val="Compact"/>
        <w:numPr>
          <w:ilvl w:val="0"/>
          <w:numId w:val="1017"/>
        </w:numPr>
      </w:pPr>
      <w:r>
        <w:t xml:space="preserve">출처: 박제성 상무 인터뷰 · 사업보고서 · SAP VAS 자료 · 2020 보도자료 · 강의 자료</w:t>
      </w:r>
    </w:p>
    <w:bookmarkEnd w:id="36"/>
    <w:bookmarkStart w:id="37" w:name="발표-대본-9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이상으로 발표를 마치겠습니다.</w:t>
      </w:r>
    </w:p>
    <w:p>
      <w:pPr>
        <w:pStyle w:val="BlockText"/>
      </w:pPr>
      <w:r>
        <w:t xml:space="preserve">Step 1·2는 성슬기, Step 3는 김민아, Step 4·5는 제가 김동현이 발표했고, 발표자료 제작은 신해원이 담당했습니다.</w:t>
      </w:r>
    </w:p>
    <w:p>
      <w:pPr>
        <w:pStyle w:val="BlockText"/>
      </w:pPr>
      <w:r>
        <w:t xml:space="preserve">출처는 박제성 상무 인터뷰, 롯데케미칼 사업보고서, 2018 정정 사업보고서, SAP Value Assurance 공식 자료, 2020 보도자료, 강의 자료입니다.</w:t>
      </w:r>
    </w:p>
    <w:p>
      <w:pPr>
        <w:pStyle w:val="BlockText"/>
      </w:pPr>
      <w:r>
        <w:t xml:space="preserve">질문 받겠습니다. 감사합니다.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발표-팁"/>
    <w:p>
      <w:pPr>
        <w:pStyle w:val="Heading2"/>
      </w:pPr>
      <w:r>
        <w:t xml:space="preserve">발표 팁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수렴 vs 확장</w:t>
      </w:r>
      <w:r>
        <w:t xml:space="preserve">: 50번은</w:t>
      </w:r>
      <w:r>
        <w:t xml:space="preserve"> </w:t>
      </w:r>
      <w:r>
        <w:rPr>
          <w:b/>
          <w:bCs/>
        </w:rPr>
        <w:t xml:space="preserve">수렴형</w:t>
      </w:r>
      <w:r>
        <w:t xml:space="preserve"> </w:t>
      </w:r>
      <w:r>
        <w:t xml:space="preserve">(3 → 1 코어), 51번은</w:t>
      </w:r>
      <w:r>
        <w:t xml:space="preserve"> </w:t>
      </w:r>
      <w:r>
        <w:rPr>
          <w:b/>
          <w:bCs/>
        </w:rPr>
        <w:t xml:space="preserve">확장형</w:t>
      </w:r>
      <w:r>
        <w:t xml:space="preserve"> </w:t>
      </w:r>
      <w:r>
        <w:t xml:space="preserve">(1 → 4단계). 시각적 대비를 말로 강조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결론 강조</w:t>
      </w:r>
      <w:r>
        <w:t xml:space="preserve">: 52번 메인 메시지</w:t>
      </w:r>
      <w:r>
        <w:t xml:space="preserve"> </w:t>
      </w:r>
      <w:r>
        <w:rPr>
          <w:i/>
          <w:iCs/>
        </w:rPr>
        <w:t xml:space="preserve">“시스템을 교체한 것이 아니라, 통합 운영 기준을 다시 설계했다”</w:t>
      </w:r>
      <w:r>
        <w:t xml:space="preserve"> </w:t>
      </w:r>
      <w:r>
        <w:t xml:space="preserve">— 천천히·강하게·잠깐 멈추기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 stamp 회수</w:t>
      </w:r>
      <w:r>
        <w:t xml:space="preserve">: 52번 3 근거를</w:t>
      </w:r>
      <w:r>
        <w:t xml:space="preserve"> </w:t>
      </w:r>
      <w:r>
        <w:t xml:space="preserve">“첫째·둘째·셋째”</w:t>
      </w:r>
      <w:r>
        <w:t xml:space="preserve">로 명확히 짚기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사례 결론 강조</w:t>
      </w:r>
      <w:r>
        <w:t xml:space="preserve">: ERP 일반론이 아니라</w:t>
      </w:r>
      <w:r>
        <w:t xml:space="preserve"> </w:t>
      </w:r>
      <w:r>
        <w:rPr>
          <w:b/>
          <w:bCs/>
        </w:rPr>
        <w:t xml:space="preserve">롯데케미칼</w:t>
      </w:r>
      <w:r>
        <w:t xml:space="preserve">이라는 점·</w:t>
      </w:r>
      <w:r>
        <w:t xml:space="preserve">“사례 결론”</w:t>
      </w:r>
      <w:r>
        <w:t xml:space="preserve">이라는 단어를 명확히 사용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학습 가치</w:t>
      </w:r>
      <w:r>
        <w:t xml:space="preserve">: 강의 6단계 모두에서 검증 가능한 모범 사례 — 학술적 가치 강조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Q&amp;A 백업</w:t>
      </w:r>
      <w:r>
        <w:t xml:space="preserve">: 5대 CSF (46) + 흡수된 2개 (47) — 질문 시 백업 활용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시간 관리</w:t>
      </w:r>
      <w:r>
        <w:t xml:space="preserve">: Step 5 전체 약 9분·10장·페이지 평균 50초·52번 최종 결론 70초 비중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2026-05-27T07:30:37Z</dcterms:created>
  <dcterms:modified xsi:type="dcterms:W3CDTF">2026-05-27T07:30:37Z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