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line="320"/>
        <w:jc w:val="center"/>
      </w:pPr>
      <w:r>
        <w:rPr>
          <w:rFonts w:ascii="맑은 고딕" w:cs="맑은 고딕" w:eastAsia="맑은 고딕" w:hAnsi="맑은 고딕"/>
          <w:b/>
          <w:bCs/>
          <w:sz w:val="40"/>
          <w:szCs w:val="40"/>
        </w:rPr>
        <w:t xml:space="preserve">ERP개론 팀 프로젝트</w:t>
      </w:r>
    </w:p>
    <w:p>
      <w:pPr>
        <w:spacing w:after="80" w:before="200" w:line="320"/>
        <w:jc w:val="center"/>
      </w:pPr>
      <w:r>
        <w:rPr>
          <w:rFonts w:ascii="맑은 고딕" w:cs="맑은 고딕" w:eastAsia="맑은 고딕" w:hAnsi="맑은 고딕"/>
          <w:b/>
          <w:bCs/>
          <w:sz w:val="32"/>
          <w:szCs w:val="32"/>
        </w:rPr>
        <w:t xml:space="preserve">Step 1. 기업 선정 및 산업 특성 분석</w:t>
      </w:r>
    </w:p>
    <w:p>
      <w:pPr>
        <w:spacing w:after="60" w:before="60" w:line="320"/>
        <w:jc w:val="center"/>
      </w:pPr>
      <w:r>
        <w:rPr>
          <w:rFonts w:ascii="맑은 고딕" w:cs="맑은 고딕" w:eastAsia="맑은 고딕" w:hAnsi="맑은 고딕"/>
          <w:b w:val="false"/>
          <w:bCs w:val="false"/>
          <w:i w:val="false"/>
          <w:iCs w:val="false"/>
          <w:color w:val="000000"/>
          <w:sz w:val="20"/>
          <w:szCs w:val="20"/>
        </w:rPr>
        <w:t xml:space="preserve">1조 | 롯데케미칼 사례 (v3)</w:t>
      </w:r>
    </w:p>
    <w:p>
      <w:pPr>
        <w:spacing w:after="120" w:before="120"/>
      </w:pPr>
      <w:r>
        <w:rPr>
          <w:rFonts w:ascii="맑은 고딕" w:cs="맑은 고딕" w:eastAsia="맑은 고딕" w:hAnsi="맑은 고딕"/>
        </w:rPr>
        <w:t xml:space="preserve"/>
      </w:r>
    </w:p>
    <w:p>
      <w:pPr>
        <w:spacing w:after="60" w:before="60" w:line="320"/>
        <w:jc w:val="both"/>
      </w:pPr>
      <w:r>
        <w:rPr>
          <w:rFonts w:ascii="맑은 고딕" w:cs="맑은 고딕" w:eastAsia="맑은 고딕" w:hAnsi="맑은 고딕"/>
          <w:sz w:val="20"/>
          <w:szCs w:val="20"/>
        </w:rPr>
        <w:t xml:space="preserve">선정 기업: 롯데케미칼(주)</w:t>
      </w:r>
    </w:p>
    <w:p>
      <w:pPr>
        <w:spacing w:after="60" w:before="60" w:line="320"/>
        <w:jc w:val="both"/>
      </w:pPr>
      <w:r>
        <w:rPr>
          <w:rFonts w:ascii="맑은 고딕" w:cs="맑은 고딕" w:eastAsia="맑은 고딕" w:hAnsi="맑은 고딕"/>
          <w:sz w:val="20"/>
          <w:szCs w:val="20"/>
        </w:rPr>
        <w:t xml:space="preserve">분석 사례: SAP S/4HANA 기반 글로벌 통합 ERP 고도화</w:t>
      </w:r>
    </w:p>
    <w:p>
      <w:pPr>
        <w:spacing w:after="60" w:before="60" w:line="320"/>
        <w:jc w:val="both"/>
      </w:pPr>
      <w:r>
        <w:rPr>
          <w:rFonts w:ascii="맑은 고딕" w:cs="맑은 고딕" w:eastAsia="맑은 고딕" w:hAnsi="맑은 고딕"/>
          <w:sz w:val="20"/>
          <w:szCs w:val="20"/>
        </w:rPr>
        <w:t xml:space="preserve">분석 대상 기간: 2017.04 ~ 2017.11</w:t>
      </w:r>
    </w:p>
    <w:p>
      <w:pPr>
        <w:spacing w:after="60" w:before="60" w:line="320"/>
        <w:jc w:val="both"/>
      </w:pPr>
      <w:r>
        <w:rPr>
          <w:rFonts w:ascii="맑은 고딕" w:cs="맑은 고딕" w:eastAsia="맑은 고딕" w:hAnsi="맑은 고딕"/>
          <w:sz w:val="20"/>
          <w:szCs w:val="20"/>
        </w:rPr>
        <w:t xml:space="preserve">분석 기준 시점: 2026년 5월 현재 공개자료 기준</w:t>
      </w:r>
    </w:p>
    <w:p>
      <w:pPr>
        <w:spacing w:after="60" w:before="60"/>
      </w:pPr>
      <w:r>
        <w:rPr>
          <w:rFonts w:ascii="맑은 고딕" w:cs="맑은 고딕" w:eastAsia="맑은 고딕" w:hAnsi="맑은 고딕"/>
        </w:rPr>
        <w:t xml:space="preserve"/>
      </w:r>
    </w:p>
    <w:p>
      <w:pPr>
        <w:spacing w:after="60" w:before="60" w:line="320"/>
        <w:jc w:val="both"/>
      </w:pPr>
      <w:r>
        <w:rPr>
          <w:rFonts w:ascii="맑은 고딕" w:cs="맑은 고딕" w:eastAsia="맑은 고딕" w:hAnsi="맑은 고딕"/>
          <w:b w:val="false"/>
          <w:bCs w:val="false"/>
          <w:i/>
          <w:iCs/>
          <w:color w:val="595959"/>
          <w:sz w:val="20"/>
          <w:szCs w:val="20"/>
        </w:rPr>
        <w:t xml:space="preserve">본 보고서는 강의 자료(#2 ERP 도입 및 시스템 구축 단계별 관리 프로세스)의 ERP 도입 라이프사이클 — 타당성 조사·요구사항 정의·설계·구축·구현·구현 후 검토(PIR) — 프레임에 따라 5단계로 구성된다. 강의 자료(4p)가 정의하듯, 본 ERP 구축은 2017.04~11의 일시적 노력(프로젝트)이며 그 결과 만들어진 통합 운영체계는 13년 이상 항구적으로 작동 중인 점에서 강의의 ‘프로젝트 vs 운영’ 개념이 본 사례에 명확히 적용된다. Step 1은 타당성 조사 단계의 사전 분석에 해당하며, 산업·기업의 정보화 제약을 분석하여 ERP 도입의 필연성을 확인한다.</w:t>
      </w:r>
    </w:p>
    <w:p>
      <w:pPr>
        <w:spacing w:after="120" w:before="120"/>
      </w:pPr>
      <w:r>
        <w:rPr>
          <w:rFonts w:ascii="맑은 고딕" w:cs="맑은 고딕" w:eastAsia="맑은 고딕" w:hAnsi="맑은 고딕"/>
        </w:rPr>
        <w:t xml:space="preserve"/>
      </w:r>
    </w:p>
    <w:p>
      <w:pPr>
        <w:spacing w:after="120" w:before="280" w:line="320"/>
      </w:pPr>
      <w:r>
        <w:rPr>
          <w:rFonts w:ascii="맑은 고딕" w:cs="맑은 고딕" w:eastAsia="맑은 고딕" w:hAnsi="맑은 고딕"/>
          <w:b/>
          <w:bCs/>
          <w:sz w:val="26"/>
          <w:szCs w:val="26"/>
        </w:rPr>
        <w:t xml:space="preserve">1. 분석 대상 및 범위</w:t>
      </w:r>
    </w:p>
    <w:p>
      <w:pPr>
        <w:spacing w:after="60" w:before="60" w:line="320"/>
        <w:jc w:val="both"/>
      </w:pPr>
      <w:r>
        <w:rPr>
          <w:rFonts w:ascii="맑은 고딕" w:cs="맑은 고딕" w:eastAsia="맑은 고딕" w:hAnsi="맑은 고딕"/>
          <w:sz w:val="20"/>
          <w:szCs w:val="20"/>
        </w:rPr>
        <w:t xml:space="preserve">롯데케미칼은 1976년 설립된 국내 대표 종합화학기업으로, 여수·대산·울산 등 국내 주요 석유화학단지에 생산시설을 보유하고 있다. 주요 사업은 합성수지, 화성, 화섬, 기초유분 등 올레핀 및 방향족 계열 석유화학 제품의 제조·판매이며, 2017년 사업보고서 기준 6개국 해외 거점에 생산법인을 두고 110여 개 국가로 제품을 수출하고 있었다.[8]</w:t>
      </w:r>
    </w:p>
    <w:p>
      <w:pPr>
        <w:spacing w:after="60" w:before="60" w:line="320"/>
        <w:jc w:val="both"/>
      </w:pPr>
      <w:r>
        <w:rPr>
          <w:rFonts w:ascii="맑은 고딕" w:cs="맑은 고딕" w:eastAsia="맑은 고딕" w:hAnsi="맑은 고딕"/>
          <w:sz w:val="20"/>
          <w:szCs w:val="20"/>
        </w:rPr>
        <w:t xml:space="preserve">본 보고서는 롯데케미칼이 2017년 진행한 SAP S/4HANA 기반 글로벌 통합 ERP 고도화 프로젝트를 중심으로 분석한다. 이 사례는 ERP를 최초로 도입한 사례는 아니지만, ERP 도입 프로세스의 핵심 단계인 도입 의사결정, 구축, 운영 및 성과 평가를 모두 분석할 수 있는 확장형 ERP 도입 사례이다. 특히 기존 ERP 운영 자산을 보유한 대기업이 M&amp;A 통합과 글로벌 운영 압력 하에서 차세대 ERP로 전환한 전형적 사례라는 점에서 학습 가치가 높다.</w:t>
      </w:r>
    </w:p>
    <w:p>
      <w:pPr>
        <w:spacing w:after="60" w:before="60" w:line="320"/>
        <w:jc w:val="both"/>
      </w:pPr>
      <w:r>
        <w:rPr>
          <w:rFonts w:ascii="맑은 고딕" w:cs="맑은 고딕" w:eastAsia="맑은 고딕" w:hAnsi="맑은 고딕"/>
          <w:sz w:val="20"/>
          <w:szCs w:val="20"/>
        </w:rPr>
        <w:t xml:space="preserve">분석 범위는 아래와 같다.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3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구분</w:t>
            </w:r>
          </w:p>
        </w:tc>
        <w:tc>
          <w:tcPr>
            <w:tcW w:type="dxa" w:w="23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분석 내용</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메인 분석</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2017년 SAP S/4HANA 기반 3사 시스템 통합 및 글로벌 ERP 고도화 프로젝트</w:t>
            </w:r>
          </w:p>
        </w:tc>
      </w:tr>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배경 분석</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2003-04년 SAP ERP 'SMART' 도입 → 2010년 SAP 기반 GEMS 구축 → 2017년 S/4HANA 전환으로 이어지는 13년 누적 SAP 운영 자산[8][10]</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보조 분석</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2016년 삼성 화학부문 인수(롯데정밀화학 + 롯데첨단소재) 이후 M&amp;A 통합과 글로벌 운영 필요성</w:t>
            </w:r>
          </w:p>
        </w:tc>
      </w:tr>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성과 분석 연계</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본 사례는 시스템 성능, 다운타임, 대용량 데이터 조회 시간 등 구현 후 성과를 정량적으로 확인할 수 있으며, 2018년 이후 그룹 디지털혁신협의체·DT 전략 수립으로 이어진 후속 효과까지 추적 가능하여 Step 4의 PIR 분석 대상으로 적합하다.[1][9][13]</w:t>
            </w:r>
          </w:p>
        </w:tc>
      </w:tr>
    </w:tbl>
    <w:p>
      <w:pPr>
        <w:spacing w:after="120" w:before="280" w:line="320"/>
      </w:pPr>
      <w:r>
        <w:rPr>
          <w:rFonts w:ascii="맑은 고딕" w:cs="맑은 고딕" w:eastAsia="맑은 고딕" w:hAnsi="맑은 고딕"/>
          <w:b/>
          <w:bCs/>
          <w:sz w:val="26"/>
          <w:szCs w:val="26"/>
        </w:rPr>
        <w:t xml:space="preserve">2. 회사 개요와 재무 현황 (2017년 기준)</w:t>
      </w:r>
    </w:p>
    <w:p>
      <w:pPr>
        <w:spacing w:after="60" w:before="60" w:line="320"/>
        <w:jc w:val="both"/>
      </w:pPr>
      <w:r>
        <w:rPr>
          <w:rFonts w:ascii="맑은 고딕" w:cs="맑은 고딕" w:eastAsia="맑은 고딕" w:hAnsi="맑은 고딕"/>
          <w:sz w:val="20"/>
          <w:szCs w:val="20"/>
        </w:rPr>
        <w:t xml:space="preserve">본 ERP 프로젝트가 진행된 2017년의 롯데케미칼 재무·조직 현황은 다음과 같다. 이는 분석 대상 시점의 기업 규모와 의사결정 환경을 이해하기 위한 기준 데이터이다.[8]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3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항목</w:t>
            </w:r>
          </w:p>
        </w:tc>
        <w:tc>
          <w:tcPr>
            <w:tcW w:type="dxa" w:w="23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내용</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대표이사</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김교현 (2017년 취임)</w:t>
            </w:r>
          </w:p>
        </w:tc>
      </w:tr>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정보전략담당</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박제성 상무보 (미등기임원, 전남대 화학공학 출신)</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2017년 연결 매출</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15조 8,745억원 (전년 대비 +20.0%)</w:t>
            </w:r>
          </w:p>
        </w:tc>
      </w:tr>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2017년 연결 영업이익</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2조 9,297억원 (사상 최대 실적, 전년 대비 +15.2%)</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2017년 연결 순이익</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2조 2,846억원</w:t>
            </w:r>
          </w:p>
        </w:tc>
      </w:tr>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신용등급</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AA+ (한국기업평가·한국신용평가·NICE신용평가 일관 유지)</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R&amp;D 비용 (2017)</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917억원 (매출 대비 0.58%)</w:t>
            </w:r>
          </w:p>
        </w:tc>
      </w:tr>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주요 사업부문</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폴리머(64.5%) / 모노머(27.3%) / 기초유분(14.1%)</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연결 종속회사</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15개사 (해외법인 포함)</w:t>
            </w:r>
          </w:p>
        </w:tc>
      </w:tr>
    </w:tbl>
    <w:p>
      <w:pPr>
        <w:spacing w:after="60" w:before="60" w:line="320"/>
        <w:jc w:val="both"/>
      </w:pPr>
      <w:r>
        <w:rPr>
          <w:rFonts w:ascii="맑은 고딕" w:cs="맑은 고딕" w:eastAsia="맑은 고딕" w:hAnsi="맑은 고딕"/>
          <w:sz w:val="20"/>
          <w:szCs w:val="20"/>
        </w:rPr>
        <w:t xml:space="preserve">사상 최대 영업이익을 달성한 가장 호황기에 대규모 ERP 통합 프로젝트를 단행했다는 점은, 본 의사결정이 위기 대응형이 아닌 미래 성장 기반 구축형이었음을 시사한다. 이는 Step 2의 의사결정 분석에서 다시 다루어진다.</w:t>
      </w:r>
    </w:p>
    <w:p>
      <w:pPr>
        <w:spacing w:after="120" w:before="280" w:line="320"/>
      </w:pPr>
      <w:r>
        <w:rPr>
          <w:rFonts w:ascii="맑은 고딕" w:cs="맑은 고딕" w:eastAsia="맑은 고딕" w:hAnsi="맑은 고딕"/>
          <w:b/>
          <w:bCs/>
          <w:sz w:val="26"/>
          <w:szCs w:val="26"/>
        </w:rPr>
        <w:t xml:space="preserve">3. 주요 시점</w:t>
      </w:r>
    </w:p>
    <w:p>
      <w:pPr>
        <w:spacing w:after="60" w:before="60" w:line="320"/>
        <w:jc w:val="both"/>
      </w:pPr>
      <w:r>
        <w:rPr>
          <w:rFonts w:ascii="맑은 고딕" w:cs="맑은 고딕" w:eastAsia="맑은 고딕" w:hAnsi="맑은 고딕"/>
          <w:sz w:val="20"/>
          <w:szCs w:val="20"/>
        </w:rPr>
        <w:t xml:space="preserve">롯데케미칼의 ERP 자산 형성과 M&amp;A 통합의 흐름은 다음과 같다. 본 사례 분석에 직접 관련된 시점들을 정리한다.[8][9][10]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3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시점</w:t>
            </w:r>
          </w:p>
        </w:tc>
        <w:tc>
          <w:tcPr>
            <w:tcW w:type="dxa" w:w="23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주요 내용</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2003~2004</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호남석유화학 시기 SAP ERP 'SMART' 구축 및 가동 (Big Bang 방식, 10개월)[10]</w:t>
            </w:r>
          </w:p>
        </w:tc>
      </w:tr>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2010</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**석유화학업계 최초** SAP 기반 GEMS(Greenhouse Gas &amp; Energy Management) 구축[8]</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2012.12</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케이피케미칼 흡수합병 후 롯데케미칼로 사명 변경</w:t>
            </w:r>
          </w:p>
        </w:tc>
      </w:tr>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2015.10</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삼성 석유화학부문 인수계약 체결</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2016.02</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삼성정밀화학 인수 완료 → 롯데정밀화학 (인수금액 4,650억원)[8]</w:t>
            </w:r>
          </w:p>
        </w:tc>
      </w:tr>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2016.04</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삼성SDI 케미칼 사업부문 인수 완료 → 롯데첨단소재 (인수금액 2조 3,265억원)[8]</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2017.04 ~ 11</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SAP S/4HANA 기반 글로벌 통합 ERP 고도화 프로젝트 진행 (분석 대상)</w:t>
            </w:r>
          </w:p>
        </w:tc>
      </w:tr>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2018.02.08</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이사회 의결 — 그룹공통시스템 사용 계약 + 디지털혁신협의체 공통 업무 추진 협약[9]</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2018.12.19</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이사회 의결 — IT 시스템 10건 동시 의결 (SAP 라이선스 추가 구매 포함)[9]</w:t>
            </w:r>
          </w:p>
        </w:tc>
      </w:tr>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2018~2020</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DT 전략 선제적 수립 → 실행과제 우선순위 개발 → DT 가속화[13]</w:t>
            </w:r>
          </w:p>
        </w:tc>
      </w:tr>
    </w:tbl>
    <w:p>
      <w:pPr>
        <w:spacing w:after="60" w:before="60" w:line="320"/>
        <w:jc w:val="both"/>
      </w:pPr>
      <w:r>
        <w:rPr>
          <w:rFonts w:ascii="맑은 고딕" w:cs="맑은 고딕" w:eastAsia="맑은 고딕" w:hAnsi="맑은 고딕"/>
          <w:sz w:val="20"/>
          <w:szCs w:val="20"/>
        </w:rPr>
        <w:t xml:space="preserve">이 시간표가 보여주는 핵심 패턴은 ERP 도입이 단발성 이벤트가 아니라 17년 이상에 걸친 디지털 자산 누적의 한 지점이라는 것이다. 특히 2010년 석유화학업계 최초의 GEMS 구축은 롯데케미칼이 SAP 기반 시스템을 환경관리 영역까지 확장 운영해 온 깊이를 보여주는 fact이며, 2017년 S/4HANA 도입이 갑작스러운 선택이 아닌 13년 누적 자산 위의 진화임을 입증한다.</w:t>
      </w:r>
    </w:p>
    <w:p>
      <w:pPr>
        <w:spacing w:after="60" w:before="60" w:line="320"/>
        <w:jc w:val="both"/>
      </w:pPr>
      <w:r>
        <w:rPr>
          <w:rFonts w:ascii="맑은 고딕" w:cs="맑은 고딕" w:eastAsia="맑은 고딕" w:hAnsi="맑은 고딕"/>
          <w:sz w:val="20"/>
          <w:szCs w:val="20"/>
        </w:rPr>
        <w:t xml:space="preserve">또한 2016년 M&amp;A 인수금액(롯데정밀화학 4,650억 + 롯데첨단소재 2조 3,265억 = 약 2조 7,915억원)의 규모는 본 ERP 통합 프로젝트의 비즈니스적 무게를 보여준다. 약 2조 8천억원의 자산이 한 그룹으로 편입되면서 발생한 통합 압력이 본 ERP 프로젝트의 가장 직접적 동인이었다.</w:t>
      </w:r>
    </w:p>
    <w:p>
      <w:pPr>
        <w:spacing w:after="120" w:before="280" w:line="320"/>
      </w:pPr>
      <w:r>
        <w:rPr>
          <w:rFonts w:ascii="맑은 고딕" w:cs="맑은 고딕" w:eastAsia="맑은 고딕" w:hAnsi="맑은 고딕"/>
          <w:b/>
          <w:bCs/>
          <w:sz w:val="26"/>
          <w:szCs w:val="26"/>
        </w:rPr>
        <w:t xml:space="preserve">4. 산업 특성 — 왜 석유화학 산업은 ERP에 의존적인가</w:t>
      </w:r>
    </w:p>
    <w:p>
      <w:pPr>
        <w:spacing w:after="60" w:before="60" w:line="320"/>
        <w:jc w:val="both"/>
      </w:pPr>
      <w:r>
        <w:rPr>
          <w:rFonts w:ascii="맑은 고딕" w:cs="맑은 고딕" w:eastAsia="맑은 고딕" w:hAnsi="맑은 고딕"/>
          <w:sz w:val="20"/>
          <w:szCs w:val="20"/>
        </w:rPr>
        <w:t xml:space="preserve">석유화학 산업의 특성을 학술적으로 정리하면 5가지로 구분된다(김근옥, 2019). 본 보고서는 이 5대 특성을 토대로 롯데케미칼의 ERP 필요성을 분석한다.[11]</w:t>
      </w:r>
    </w:p>
    <w:p>
      <w:pPr>
        <w:spacing w:after="60" w:before="60" w:line="320"/>
        <w:jc w:val="both"/>
      </w:pPr>
      <w:r>
        <w:rPr>
          <w:rFonts w:ascii="맑은 고딕" w:cs="맑은 고딕" w:eastAsia="맑은 고딕" w:hAnsi="맑은 고딕"/>
          <w:b/>
          <w:bCs/>
          <w:i w:val="false"/>
          <w:iCs w:val="false"/>
          <w:color w:val="000000"/>
          <w:sz w:val="20"/>
          <w:szCs w:val="20"/>
        </w:rPr>
        <w:t xml:space="preserve">(1) 자본집약적 장치산업</w:t>
      </w:r>
    </w:p>
    <w:p>
      <w:pPr>
        <w:spacing w:after="60" w:before="60" w:line="320"/>
        <w:jc w:val="both"/>
      </w:pPr>
      <w:r>
        <w:rPr>
          <w:rFonts w:ascii="맑은 고딕" w:cs="맑은 고딕" w:eastAsia="맑은 고딕" w:hAnsi="맑은 고딕"/>
          <w:sz w:val="20"/>
          <w:szCs w:val="20"/>
        </w:rPr>
        <w:t xml:space="preserve">석유화학산업은 대규모 생산설비를 기반으로 원료를 투입하여 기초유분, 합성수지, 합섬원료 등을 생산하는 장치산업이다. 산업화 초기에 엄청난 설비투자가 집행되며, 생산설비·설비보전·품질관리·안전관리·출하관리 정보가 서로 연결되기 때문에 단일 부서 시스템만으로는 전체 운영 흐름을 관리하기 어렵다. 박제성 정보전략담당 상무 인터뷰에서도 석유화학산업은 대표적인 자본집약적 대규모 장치산업으로 설명된다.[1]</w:t>
      </w:r>
    </w:p>
    <w:p>
      <w:pPr>
        <w:spacing w:after="60" w:before="60" w:line="320"/>
        <w:jc w:val="both"/>
      </w:pPr>
      <w:r>
        <w:rPr>
          <w:rFonts w:ascii="맑은 고딕" w:cs="맑은 고딕" w:eastAsia="맑은 고딕" w:hAnsi="맑은 고딕"/>
          <w:b/>
          <w:bCs/>
          <w:i w:val="false"/>
          <w:iCs w:val="false"/>
          <w:color w:val="000000"/>
          <w:sz w:val="20"/>
          <w:szCs w:val="20"/>
        </w:rPr>
        <w:t xml:space="preserve">(2) 경기순환형 산업과 원료 가격 변동성</w:t>
      </w:r>
    </w:p>
    <w:p>
      <w:pPr>
        <w:spacing w:after="60" w:before="60" w:line="320"/>
        <w:jc w:val="both"/>
      </w:pPr>
      <w:r>
        <w:rPr>
          <w:rFonts w:ascii="맑은 고딕" w:cs="맑은 고딕" w:eastAsia="맑은 고딕" w:hAnsi="맑은 고딕"/>
          <w:sz w:val="20"/>
          <w:szCs w:val="20"/>
        </w:rPr>
        <w:t xml:space="preserve">석유화학산업은 글로벌 경기와 유가 변동에 따라 통상 수년 주기로 호황과 불황이 반복되는 경기순환형 산업이다(김근옥, 2019; 학자별 견해는 5~10년 범위로 다양).[11] 롯데케미칼 역시 나프타와 천연가스 등 원료 가격 변동의 영향을 크게 받는다. 원료 가격이 변하면 구매 단가, 생산원가, 재고평가, 판매가격, 수익성이 동시에 영향을 받는다. 따라서 원가·재고·매출·손익 데이터를 실시간에 가깝게 연결할 수 있는 ERP 기반 관리 체계가 중요하다.</w:t>
      </w:r>
    </w:p>
    <w:p>
      <w:pPr>
        <w:spacing w:after="60" w:before="60" w:line="320"/>
        <w:jc w:val="both"/>
      </w:pPr>
      <w:r>
        <w:rPr>
          <w:rFonts w:ascii="맑은 고딕" w:cs="맑은 고딕" w:eastAsia="맑은 고딕" w:hAnsi="맑은 고딕"/>
          <w:b/>
          <w:bCs/>
          <w:i w:val="false"/>
          <w:iCs w:val="false"/>
          <w:color w:val="000000"/>
          <w:sz w:val="20"/>
          <w:szCs w:val="20"/>
        </w:rPr>
        <w:t xml:space="preserve">(3) 산업의 쌀로서 전후방 연계성</w:t>
      </w:r>
    </w:p>
    <w:p>
      <w:pPr>
        <w:spacing w:after="60" w:before="60" w:line="320"/>
        <w:jc w:val="both"/>
      </w:pPr>
      <w:r>
        <w:rPr>
          <w:rFonts w:ascii="맑은 고딕" w:cs="맑은 고딕" w:eastAsia="맑은 고딕" w:hAnsi="맑은 고딕"/>
          <w:sz w:val="20"/>
          <w:szCs w:val="20"/>
        </w:rPr>
        <w:t xml:space="preserve">에틸렌으로 대표되는 석유화학 제품은 '산업의 쌀'이라 불릴 정도로 전후방 모든 산업과 연계성이 높다.[11] 자동차·반도체·건설·의류·신발·소비재·조선 등 거의 모든 산업이 석유화학 제품의 영향을 받는다. 이는 곧 다양한 고객 산업의 요구·규제·품질 기준에 동시 대응해야 한다는 의미이며, 표준화된 ERP 기반 운영의 필요성을 높인다.</w:t>
      </w:r>
    </w:p>
    <w:p>
      <w:pPr>
        <w:spacing w:after="60" w:before="60" w:line="320"/>
        <w:jc w:val="both"/>
      </w:pPr>
      <w:r>
        <w:rPr>
          <w:rFonts w:ascii="맑은 고딕" w:cs="맑은 고딕" w:eastAsia="맑은 고딕" w:hAnsi="맑은 고딕"/>
          <w:b/>
          <w:bCs/>
          <w:i w:val="false"/>
          <w:iCs w:val="false"/>
          <w:color w:val="000000"/>
          <w:sz w:val="20"/>
          <w:szCs w:val="20"/>
        </w:rPr>
        <w:t xml:space="preserve">(4) 글로벌 다거점 운영</w:t>
      </w:r>
    </w:p>
    <w:p>
      <w:pPr>
        <w:spacing w:after="60" w:before="60" w:line="320"/>
        <w:jc w:val="both"/>
      </w:pPr>
      <w:r>
        <w:rPr>
          <w:rFonts w:ascii="맑은 고딕" w:cs="맑은 고딕" w:eastAsia="맑은 고딕" w:hAnsi="맑은 고딕"/>
          <w:sz w:val="20"/>
          <w:szCs w:val="20"/>
        </w:rPr>
        <w:t xml:space="preserve">롯데케미칼은 국내 공장뿐 아니라 중국, 말레이시아, 영국, 우즈베키스탄, 파키스탄, 미국 등 해외 거점도 운영하고 있었으며, 제품은 110개국으로 수출되고 있었다.[8] 글로벌 운영 구조에서는 다국가 회계, 외화, 수출입, 물류, 이전가격, 법인별 손익 정보를 통합적으로 관리해야 한다.</w:t>
      </w:r>
    </w:p>
    <w:p>
      <w:pPr>
        <w:spacing w:after="60" w:before="60" w:line="320"/>
        <w:jc w:val="both"/>
      </w:pPr>
      <w:r>
        <w:rPr>
          <w:rFonts w:ascii="맑은 고딕" w:cs="맑은 고딕" w:eastAsia="맑은 고딕" w:hAnsi="맑은 고딕"/>
          <w:b/>
          <w:bCs/>
          <w:i w:val="false"/>
          <w:iCs w:val="false"/>
          <w:color w:val="000000"/>
          <w:sz w:val="20"/>
          <w:szCs w:val="20"/>
        </w:rPr>
        <w:t xml:space="preserve">(5) M&amp;A 이후 사업 포트폴리오 확대</w:t>
      </w:r>
    </w:p>
    <w:p>
      <w:pPr>
        <w:spacing w:after="60" w:before="60" w:line="320"/>
        <w:jc w:val="both"/>
      </w:pPr>
      <w:r>
        <w:rPr>
          <w:rFonts w:ascii="맑은 고딕" w:cs="맑은 고딕" w:eastAsia="맑은 고딕" w:hAnsi="맑은 고딕"/>
          <w:sz w:val="20"/>
          <w:szCs w:val="20"/>
        </w:rPr>
        <w:t xml:space="preserve">롯데케미칼은 삼성정밀화학과 삼성SDI 케미칼 사업부문 인수를 통해 약 2조 8천억원 규모로 정밀화학과 스페셜티 제품 포트폴리오를 확대했다.[8] 이로 인해 기존 기초화학 중심의 업무 체계에 새로운 제품군, 생산 방식, 회계·원가 구조, 품질관리 체계가 추가되었다.</w:t>
      </w:r>
    </w:p>
    <w:p>
      <w:pPr>
        <w:spacing w:after="60" w:before="60" w:line="320"/>
        <w:jc w:val="both"/>
      </w:pPr>
      <w:r>
        <w:rPr>
          <w:rFonts w:ascii="맑은 고딕" w:cs="맑은 고딕" w:eastAsia="맑은 고딕" w:hAnsi="맑은 고딕"/>
          <w:b/>
          <w:bCs/>
          <w:i w:val="false"/>
          <w:iCs w:val="false"/>
          <w:color w:val="000000"/>
          <w:sz w:val="20"/>
          <w:szCs w:val="20"/>
        </w:rPr>
        <w:t xml:space="preserve">(6) 규제·품질·안전관리 필요성</w:t>
      </w:r>
    </w:p>
    <w:p>
      <w:pPr>
        <w:spacing w:after="60" w:before="60" w:line="320"/>
        <w:jc w:val="both"/>
      </w:pPr>
      <w:r>
        <w:rPr>
          <w:rFonts w:ascii="맑은 고딕" w:cs="맑은 고딕" w:eastAsia="맑은 고딕" w:hAnsi="맑은 고딕"/>
          <w:sz w:val="20"/>
          <w:szCs w:val="20"/>
        </w:rPr>
        <w:t xml:space="preserve">화학산업은 일반 제조업보다 환경, 안전, 품질, 화학물질관리의 중요성이 높다. 실제 2017년 SAP S/4HANA 프로젝트도 구매, 생산, 설비, 품질, 영업, 회계, 재무, 인사, GRC, 화학물질관리 등 10개 핵심 업무를 통합 대상으로 설정해야 했다.[1] 특히 EU의 REACH, 미국 TSCA, 한국 화평법 등 다국가 규제에 동시 대응해야 하는 글로벌 화학기업에게 GRC(거버넌스·리스크·컴플라이언스)는 가장 복잡한 운영 영역이다.</w:t>
      </w:r>
    </w:p>
    <w:p>
      <w:pPr>
        <w:spacing w:after="60" w:before="60" w:line="320"/>
        <w:jc w:val="both"/>
      </w:pPr>
      <w:r>
        <w:rPr>
          <w:rFonts w:ascii="맑은 고딕" w:cs="맑은 고딕" w:eastAsia="맑은 고딕" w:hAnsi="맑은 고딕"/>
          <w:sz w:val="20"/>
          <w:szCs w:val="20"/>
        </w:rPr>
        <w:t xml:space="preserve">※ 본 인수에는 삼성BP화학(→ 롯데BP화학)도 포함되었으나, 합작법인 성격으로 별도 운영되어 본 분석의 ERP 통합 범위에서는 제외된다.</w:t>
      </w:r>
    </w:p>
    <w:p>
      <w:pPr>
        <w:spacing w:after="120" w:before="280" w:line="320"/>
      </w:pPr>
      <w:r>
        <w:rPr>
          <w:rFonts w:ascii="맑은 고딕" w:cs="맑은 고딕" w:eastAsia="맑은 고딕" w:hAnsi="맑은 고딕"/>
          <w:b/>
          <w:bCs/>
          <w:sz w:val="26"/>
          <w:szCs w:val="26"/>
        </w:rPr>
        <w:t xml:space="preserve">5. 산업 특성에 따른 정보화 제약과 ERP 필요성</w:t>
      </w:r>
    </w:p>
    <w:p>
      <w:pPr>
        <w:spacing w:after="60" w:before="60" w:line="320"/>
        <w:jc w:val="both"/>
      </w:pPr>
      <w:r>
        <w:rPr>
          <w:rFonts w:ascii="맑은 고딕" w:cs="맑은 고딕" w:eastAsia="맑은 고딕" w:hAnsi="맑은 고딕"/>
          <w:sz w:val="20"/>
          <w:szCs w:val="20"/>
        </w:rPr>
        <w:t xml:space="preserve">위 산업 특성은 정보화 측면에서 다음의 구조적 제약을 발생시킨다.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3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산업 특성</w:t>
            </w:r>
          </w:p>
        </w:tc>
        <w:tc>
          <w:tcPr>
            <w:tcW w:type="dxa" w:w="23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정보화 제약</w:t>
            </w:r>
          </w:p>
        </w:tc>
        <w:tc>
          <w:tcPr>
            <w:tcW w:type="dxa" w:w="23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ERP 필요성</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24시간 가동되는 장치산업</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시스템 중단 시 생산·출하·정산 전반에 영향</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다운타임 최소화와 안정적 전환 필요</w:t>
            </w:r>
          </w:p>
        </w:tc>
      </w:tr>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원료가 변동성</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구매가, 재고평가, 원가, 수익성이 동시에 변동</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실시간 원가·재고·손익 통합 관리 필요</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글로벌 다거점 운영</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다통화, 수출입, 이전가격, 법인별 회계 처리 복잡</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글로벌 표준 프로세스와 통합 회계 필요</w:t>
            </w:r>
          </w:p>
        </w:tc>
      </w:tr>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M&amp;A 이후 3사 병존</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자재, 거래처, 계정, 품목 코드 충돌 가능</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기준정보 통합과 단일 운영체계 필요</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화학물질·품질·안전 규제</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EHS, GRC, 화학물질관리 시스템 연계 필요</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ERP와 주변 시스템 간 통합 필요</w:t>
            </w:r>
          </w:p>
        </w:tc>
      </w:tr>
    </w:tbl>
    <w:p>
      <w:pPr>
        <w:spacing w:after="60" w:before="60" w:line="320"/>
        <w:jc w:val="both"/>
      </w:pPr>
      <w:r>
        <w:rPr>
          <w:rFonts w:ascii="맑은 고딕" w:cs="맑은 고딕" w:eastAsia="맑은 고딕" w:hAnsi="맑은 고딕"/>
          <w:sz w:val="20"/>
          <w:szCs w:val="20"/>
        </w:rPr>
        <w:t xml:space="preserve">이 표에서 보듯 롯데케미칼의 ERP 고도화 필요성은 단순한 시스템 노후화 문제가 아니었다. 석유화학산업의 운영 특성은 부서별 개별 시스템으로 관리하기 어렵고, M&amp;A 이후 3사 기준정보와 업무 프로세스가 병존하면서 통합 정보 인프라의 필요성이 더욱 커졌다.</w:t>
      </w:r>
    </w:p>
    <w:p>
      <w:pPr>
        <w:spacing w:after="60" w:before="60" w:line="320"/>
        <w:jc w:val="both"/>
      </w:pPr>
      <w:r>
        <w:rPr>
          <w:rFonts w:ascii="맑은 고딕" w:cs="맑은 고딕" w:eastAsia="맑은 고딕" w:hAnsi="맑은 고딕"/>
          <w:sz w:val="20"/>
          <w:szCs w:val="20"/>
        </w:rPr>
        <w:t xml:space="preserve">이러한 구조적 제약은 학술적으로도 뒷받침된다. 이상신(2020) 박사논문은 석유화학 기업의 IT 시스템 특성을 ① 폐쇄성(전통적 On-premise 환경), ② 접근성(외부 접속 환경 취약), ③ 데이터 활용도(공정용 대량 데이터가 SCADA·PIS에만 존재), ④ 투자비 과다(MIS-공정 데이터 이원화), ⑤ 경영진 인식(MIS를 Transaction 처리 시스템으로만 인식)의 5가지로 정의하며, 특히 "MIS 분야 투자가 취약"한 산업으로 분석했다.[11]</w:t>
      </w:r>
    </w:p>
    <w:p>
      <w:pPr>
        <w:spacing w:after="60" w:before="60" w:line="320"/>
        <w:jc w:val="both"/>
      </w:pPr>
      <w:r>
        <w:rPr>
          <w:rFonts w:ascii="맑은 고딕" w:cs="맑은 고딕" w:eastAsia="맑은 고딕" w:hAnsi="맑은 고딕"/>
          <w:sz w:val="20"/>
          <w:szCs w:val="20"/>
        </w:rPr>
        <w:t xml:space="preserve">또한 박주황(2014)은 제조업의 5대 동향(글로벌 경기침체, 글로벌 M&amp;A 확대, 고부가 전환, 제조-IT 융합, 모바일 시대)으로부터 5대 시사점(시장 예측력, 글로벌 비즈니스-IT 통합, 원가 절감, IT Convergence, 모바일·클라우드 인프라)을 도출했는데, 이는 롯데케미칼의 2017년 ERP 통합 의사결정 배경과 1:1로 매칭된다.[11]</w:t>
      </w:r>
    </w:p>
    <w:p>
      <w:pPr>
        <w:spacing w:after="120" w:before="280" w:line="320"/>
      </w:pPr>
      <w:r>
        <w:rPr>
          <w:rFonts w:ascii="맑은 고딕" w:cs="맑은 고딕" w:eastAsia="맑은 고딕" w:hAnsi="맑은 고딕"/>
          <w:b/>
          <w:bCs/>
          <w:sz w:val="26"/>
          <w:szCs w:val="26"/>
        </w:rPr>
        <w:t xml:space="preserve">6. 롯데케미칼 사례의 특수성과 ERP 도입의 중요성</w:t>
      </w:r>
    </w:p>
    <w:p>
      <w:pPr>
        <w:spacing w:after="60" w:before="60" w:line="320"/>
        <w:jc w:val="both"/>
      </w:pPr>
      <w:r>
        <w:rPr>
          <w:rFonts w:ascii="맑은 고딕" w:cs="맑은 고딕" w:eastAsia="맑은 고딕" w:hAnsi="맑은 고딕"/>
          <w:sz w:val="20"/>
          <w:szCs w:val="20"/>
        </w:rPr>
        <w:t xml:space="preserve">본 사례의 특수성은 롯데케미칼이 단순히 노후 ERP를 교체한 기업이 아니라는 점에 있다. 롯데케미칼은 2003-04년부터 SAP ERP를 운영하며 장기간 업무 프로세스와 기준정보, 사용자 경험, 커스터마이징 자산을 축적해 왔다.[10] 더 나아가 2010년에는 석유화학업계 최초로 SAP 기반 GEMS(환경·에너지 관리 시스템)를 구축하여 SAP 자산을 환경관리 영역까지 확장했다.[8] 동시에 2015~2016년 삼성 화학부문 인수를 통해 롯데정밀화학과 롯데첨단소재를 편입하면서 3사 시스템을 하나의 운영체계로 통합해야 하는 통합 압력이 발생했다.</w:t>
      </w:r>
    </w:p>
    <w:p>
      <w:pPr>
        <w:spacing w:after="60" w:before="60" w:line="320"/>
        <w:jc w:val="both"/>
      </w:pPr>
      <w:r>
        <w:rPr>
          <w:rFonts w:ascii="맑은 고딕" w:cs="맑은 고딕" w:eastAsia="맑은 고딕" w:hAnsi="맑은 고딕"/>
          <w:sz w:val="20"/>
          <w:szCs w:val="20"/>
        </w:rPr>
        <w:t xml:space="preserve">이러한 13년 누적 SAP 자산과 M&amp;A 통합 압력이라는 두 조건이 결합된 환경은, 본 사례를 일반적인 'ERP 신규 도입 케이스'와 본질적으로 다른 의사결정 환경으로 만든다. 이는 Step 2의 의사결정 분석에서 'Make vs Buy' 단순 비교를 넘어 'Brownfield(컨버전) vs Greenfield(신규 구축)' 차원의 의사결정으로 확장되는 배경이다.</w:t>
      </w:r>
    </w:p>
    <w:p>
      <w:pPr>
        <w:spacing w:after="60" w:before="60" w:line="320"/>
        <w:jc w:val="both"/>
      </w:pPr>
      <w:r>
        <w:rPr>
          <w:rFonts w:ascii="맑은 고딕" w:cs="맑은 고딕" w:eastAsia="맑은 고딕" w:hAnsi="맑은 고딕"/>
          <w:sz w:val="20"/>
          <w:szCs w:val="20"/>
        </w:rPr>
        <w:t xml:space="preserve">따라서 롯데케미칼에게 ERP는 단순한 회계·재고 시스템이 아니라, M&amp;A 이후 하나의 회사처럼 운영하기 위한 통합 경영 플랫폼이었다. SAP S/4HANA 기반 ERP 고도화는 분산된 시스템과 기준정보를 하나의 디지털 코어로 묶고, 글로벌 종합화학기업으로 성장하기 위한 운영 기반을 확보하기 위한 선택이었다. 박제성 정보전략담당 상무는 인터뷰에서 "유가에 흔들리지 않고 지속성장하기 위해 디지털 코어를 탄탄히 해 디지털 트랜스포메이션, 인텔리전트 엔터프라이즈로 가야 한다"고 발언했으며[1], 이는 본 ERP 도입이 DT의 기반 인프라 구축이었음을 명확히 보여준다.</w:t>
      </w:r>
    </w:p>
    <w:p>
      <w:pPr>
        <w:spacing w:after="120" w:before="280" w:line="320"/>
      </w:pPr>
      <w:r>
        <w:rPr>
          <w:rFonts w:ascii="맑은 고딕" w:cs="맑은 고딕" w:eastAsia="맑은 고딕" w:hAnsi="맑은 고딕"/>
          <w:b/>
          <w:bCs/>
          <w:sz w:val="26"/>
          <w:szCs w:val="26"/>
        </w:rPr>
        <w:t xml:space="preserve">출 처</w:t>
      </w:r>
    </w:p>
    <w:p>
      <w:pPr>
        <w:spacing w:after="60" w:before="60" w:line="320"/>
        <w:jc w:val="both"/>
      </w:pPr>
      <w:r>
        <w:rPr>
          <w:rFonts w:ascii="맑은 고딕" w:cs="맑은 고딕" w:eastAsia="맑은 고딕" w:hAnsi="맑은 고딕"/>
          <w:b/>
          <w:bCs/>
          <w:i w:val="false"/>
          <w:iCs w:val="false"/>
          <w:color w:val="0070C0"/>
          <w:sz w:val="20"/>
          <w:szCs w:val="20"/>
        </w:rPr>
        <w:t xml:space="preserve">[1] </w:t>
      </w:r>
      <w:r>
        <w:rPr>
          <w:rFonts w:ascii="맑은 고딕" w:cs="맑은 고딕" w:eastAsia="맑은 고딕" w:hAnsi="맑은 고딕"/>
          <w:b w:val="false"/>
          <w:bCs w:val="false"/>
          <w:i w:val="false"/>
          <w:iCs w:val="false"/>
          <w:color w:val="000000"/>
          <w:sz w:val="18"/>
          <w:szCs w:val="18"/>
        </w:rPr>
        <w:t xml:space="preserve">테크수다 (2019.09.11), 「ERP는 글로벌 톱 10 회사 성장의 중추 — 롯데케미칼 박제성 상무」. https://www.techsuda.com/erpneun-geulrobeol-tob-10-hoesa-seongjangyi-jungcu-rosdekemikal-bagjeseong-sangmu/</w:t>
      </w:r>
    </w:p>
    <w:p>
      <w:pPr>
        <w:spacing w:after="60" w:before="60" w:line="320"/>
        <w:jc w:val="both"/>
      </w:pPr>
      <w:r>
        <w:rPr>
          <w:rFonts w:ascii="맑은 고딕" w:cs="맑은 고딕" w:eastAsia="맑은 고딕" w:hAnsi="맑은 고딕"/>
          <w:b/>
          <w:bCs/>
          <w:i w:val="false"/>
          <w:iCs w:val="false"/>
          <w:color w:val="0070C0"/>
          <w:sz w:val="20"/>
          <w:szCs w:val="20"/>
        </w:rPr>
        <w:t xml:space="preserve">[2] </w:t>
      </w:r>
      <w:r>
        <w:rPr>
          <w:rFonts w:ascii="맑은 고딕" w:cs="맑은 고딕" w:eastAsia="맑은 고딕" w:hAnsi="맑은 고딕"/>
          <w:b w:val="false"/>
          <w:bCs w:val="false"/>
          <w:i w:val="false"/>
          <w:iCs w:val="false"/>
          <w:color w:val="000000"/>
          <w:sz w:val="18"/>
          <w:szCs w:val="18"/>
        </w:rPr>
        <w:t xml:space="preserve">롯데케미칼 공식 회사사 — 「SAP ERP 시스템과 e-Collaboration 시스템 구축」. https://www.lottechem.com/history/contentsid/645/index.do</w:t>
      </w:r>
    </w:p>
    <w:p>
      <w:pPr>
        <w:spacing w:after="60" w:before="60" w:line="320"/>
        <w:jc w:val="both"/>
      </w:pPr>
      <w:r>
        <w:rPr>
          <w:rFonts w:ascii="맑은 고딕" w:cs="맑은 고딕" w:eastAsia="맑은 고딕" w:hAnsi="맑은 고딕"/>
          <w:b/>
          <w:bCs/>
          <w:i w:val="false"/>
          <w:iCs w:val="false"/>
          <w:color w:val="0070C0"/>
          <w:sz w:val="20"/>
          <w:szCs w:val="20"/>
        </w:rPr>
        <w:t xml:space="preserve">[3] </w:t>
      </w:r>
      <w:r>
        <w:rPr>
          <w:rFonts w:ascii="맑은 고딕" w:cs="맑은 고딕" w:eastAsia="맑은 고딕" w:hAnsi="맑은 고딕"/>
          <w:b w:val="false"/>
          <w:bCs w:val="false"/>
          <w:i w:val="false"/>
          <w:iCs w:val="false"/>
          <w:color w:val="000000"/>
          <w:sz w:val="18"/>
          <w:szCs w:val="18"/>
        </w:rPr>
        <w:t xml:space="preserve">롯데케미칼 공식 회사사 — 「'SMART' ERP시스템 구축」. https://www.lottechem.com/history/contentsid/619/index.do</w:t>
      </w:r>
    </w:p>
    <w:p>
      <w:pPr>
        <w:spacing w:after="60" w:before="60" w:line="320"/>
        <w:jc w:val="both"/>
      </w:pPr>
      <w:r>
        <w:rPr>
          <w:rFonts w:ascii="맑은 고딕" w:cs="맑은 고딕" w:eastAsia="맑은 고딕" w:hAnsi="맑은 고딕"/>
          <w:b/>
          <w:bCs/>
          <w:i w:val="false"/>
          <w:iCs w:val="false"/>
          <w:color w:val="0070C0"/>
          <w:sz w:val="20"/>
          <w:szCs w:val="20"/>
        </w:rPr>
        <w:t xml:space="preserve">[4] </w:t>
      </w:r>
      <w:r>
        <w:rPr>
          <w:rFonts w:ascii="맑은 고딕" w:cs="맑은 고딕" w:eastAsia="맑은 고딕" w:hAnsi="맑은 고딕"/>
          <w:b w:val="false"/>
          <w:bCs w:val="false"/>
          <w:i w:val="false"/>
          <w:iCs w:val="false"/>
          <w:color w:val="000000"/>
          <w:sz w:val="18"/>
          <w:szCs w:val="18"/>
        </w:rPr>
        <w:t xml:space="preserve">롯데케미칼 공식 회사사 — 「지속가능한 '글로벌 Top 10 종합화학기업'을 향하여」. https://www.lottechem.com/history/contentsid/687/index.do</w:t>
      </w:r>
    </w:p>
    <w:p>
      <w:pPr>
        <w:spacing w:after="60" w:before="60" w:line="320"/>
        <w:jc w:val="both"/>
      </w:pPr>
      <w:r>
        <w:rPr>
          <w:rFonts w:ascii="맑은 고딕" w:cs="맑은 고딕" w:eastAsia="맑은 고딕" w:hAnsi="맑은 고딕"/>
          <w:b/>
          <w:bCs/>
          <w:i w:val="false"/>
          <w:iCs w:val="false"/>
          <w:color w:val="0070C0"/>
          <w:sz w:val="20"/>
          <w:szCs w:val="20"/>
        </w:rPr>
        <w:t xml:space="preserve">[5] </w:t>
      </w:r>
      <w:r>
        <w:rPr>
          <w:rFonts w:ascii="맑은 고딕" w:cs="맑은 고딕" w:eastAsia="맑은 고딕" w:hAnsi="맑은 고딕"/>
          <w:b w:val="false"/>
          <w:bCs w:val="false"/>
          <w:i w:val="false"/>
          <w:iCs w:val="false"/>
          <w:color w:val="000000"/>
          <w:sz w:val="18"/>
          <w:szCs w:val="18"/>
        </w:rPr>
        <w:t xml:space="preserve">SAP 공식 홈페이지 — 「What is SAP HANA?」. https://www.sap.com/products/data-cloud/hana.html</w:t>
      </w:r>
    </w:p>
    <w:p>
      <w:pPr>
        <w:spacing w:after="60" w:before="60" w:line="320"/>
        <w:jc w:val="both"/>
      </w:pPr>
      <w:r>
        <w:rPr>
          <w:rFonts w:ascii="맑은 고딕" w:cs="맑은 고딕" w:eastAsia="맑은 고딕" w:hAnsi="맑은 고딕"/>
          <w:b/>
          <w:bCs/>
          <w:i w:val="false"/>
          <w:iCs w:val="false"/>
          <w:color w:val="0070C0"/>
          <w:sz w:val="20"/>
          <w:szCs w:val="20"/>
        </w:rPr>
        <w:t xml:space="preserve">[6] </w:t>
      </w:r>
      <w:r>
        <w:rPr>
          <w:rFonts w:ascii="맑은 고딕" w:cs="맑은 고딕" w:eastAsia="맑은 고딕" w:hAnsi="맑은 고딕"/>
          <w:b w:val="false"/>
          <w:bCs w:val="false"/>
          <w:i w:val="false"/>
          <w:iCs w:val="false"/>
          <w:color w:val="000000"/>
          <w:sz w:val="18"/>
          <w:szCs w:val="18"/>
        </w:rPr>
        <w:t xml:space="preserve">SAP 공식 홈페이지 — 「SAP S/4HANA」. https://learning.sap.com/courses/business-processes-in-sap-s-4hana-portfolio-and-project-management/introduction-to-sap-s-4hana</w:t>
      </w:r>
    </w:p>
    <w:p>
      <w:pPr>
        <w:spacing w:after="60" w:before="60" w:line="320"/>
        <w:jc w:val="both"/>
      </w:pPr>
      <w:r>
        <w:rPr>
          <w:rFonts w:ascii="맑은 고딕" w:cs="맑은 고딕" w:eastAsia="맑은 고딕" w:hAnsi="맑은 고딕"/>
          <w:b/>
          <w:bCs/>
          <w:i w:val="false"/>
          <w:iCs w:val="false"/>
          <w:color w:val="0070C0"/>
          <w:sz w:val="20"/>
          <w:szCs w:val="20"/>
        </w:rPr>
        <w:t xml:space="preserve">[7] </w:t>
      </w:r>
      <w:r>
        <w:rPr>
          <w:rFonts w:ascii="맑은 고딕" w:cs="맑은 고딕" w:eastAsia="맑은 고딕" w:hAnsi="맑은 고딕"/>
          <w:b w:val="false"/>
          <w:bCs w:val="false"/>
          <w:i w:val="false"/>
          <w:iCs w:val="false"/>
          <w:color w:val="000000"/>
          <w:sz w:val="18"/>
          <w:szCs w:val="18"/>
        </w:rPr>
        <w:t xml:space="preserve">SAP 공식 자료 — 「Selective Data Transition Engagement」. https://support.sap.com/en/offerings-programs/support-services/data-management-landscape-transformation/selective-data-transition-engagement</w:t>
      </w:r>
    </w:p>
    <w:p>
      <w:pPr>
        <w:spacing w:after="60" w:before="60" w:line="320"/>
        <w:jc w:val="both"/>
      </w:pPr>
      <w:r>
        <w:rPr>
          <w:rFonts w:ascii="맑은 고딕" w:cs="맑은 고딕" w:eastAsia="맑은 고딕" w:hAnsi="맑은 고딕"/>
          <w:b/>
          <w:bCs/>
          <w:i w:val="false"/>
          <w:iCs w:val="false"/>
          <w:color w:val="0070C0"/>
          <w:sz w:val="20"/>
          <w:szCs w:val="20"/>
        </w:rPr>
        <w:t xml:space="preserve">[8] </w:t>
      </w:r>
      <w:r>
        <w:rPr>
          <w:rFonts w:ascii="맑은 고딕" w:cs="맑은 고딕" w:eastAsia="맑은 고딕" w:hAnsi="맑은 고딕"/>
          <w:b w:val="false"/>
          <w:bCs w:val="false"/>
          <w:i w:val="false"/>
          <w:iCs w:val="false"/>
          <w:color w:val="000000"/>
          <w:sz w:val="18"/>
          <w:szCs w:val="18"/>
        </w:rPr>
        <w:t xml:space="preserve">롯데케미칼(주), 「제42기 사업보고서」(2017년 사업연도), 2018.04.02 제출. 금융감독원 전자공시시스템 DART (https://dart.fss.or.kr) — 박제성 정보전략담당 상무보 신원, 2010년 GEMS 구축, 2016년 M&amp;A 인수금액, 2017년 연결 매출 15조 8,745억원·영업이익 2조 9,297억원 등</w:t>
      </w:r>
    </w:p>
    <w:p>
      <w:pPr>
        <w:spacing w:after="60" w:before="60" w:line="320"/>
        <w:jc w:val="both"/>
      </w:pPr>
      <w:r>
        <w:rPr>
          <w:rFonts w:ascii="맑은 고딕" w:cs="맑은 고딕" w:eastAsia="맑은 고딕" w:hAnsi="맑은 고딕"/>
          <w:b/>
          <w:bCs/>
          <w:i w:val="false"/>
          <w:iCs w:val="false"/>
          <w:color w:val="0070C0"/>
          <w:sz w:val="20"/>
          <w:szCs w:val="20"/>
        </w:rPr>
        <w:t xml:space="preserve">[9] </w:t>
      </w:r>
      <w:r>
        <w:rPr>
          <w:rFonts w:ascii="맑은 고딕" w:cs="맑은 고딕" w:eastAsia="맑은 고딕" w:hAnsi="맑은 고딕"/>
          <w:b w:val="false"/>
          <w:bCs w:val="false"/>
          <w:i w:val="false"/>
          <w:iCs w:val="false"/>
          <w:color w:val="000000"/>
          <w:sz w:val="18"/>
          <w:szCs w:val="18"/>
        </w:rPr>
        <w:t xml:space="preserve">롯데케미칼(주), 「제43기 정정 사업보고서」(2018년 사업연도), 2019.07.26 제출. 금융감독원 DART — 2018년 이사회 의결사항 (그룹공통시스템·디지털혁신협의체·SAP 라이선스 추가 구매 등)</w:t>
      </w:r>
    </w:p>
    <w:p>
      <w:pPr>
        <w:spacing w:after="60" w:before="60" w:line="320"/>
        <w:jc w:val="both"/>
      </w:pPr>
      <w:r>
        <w:rPr>
          <w:rFonts w:ascii="맑은 고딕" w:cs="맑은 고딕" w:eastAsia="맑은 고딕" w:hAnsi="맑은 고딕"/>
          <w:b/>
          <w:bCs/>
          <w:i w:val="false"/>
          <w:iCs w:val="false"/>
          <w:color w:val="0070C0"/>
          <w:sz w:val="20"/>
          <w:szCs w:val="20"/>
        </w:rPr>
        <w:t xml:space="preserve">[10] </w:t>
      </w:r>
      <w:r>
        <w:rPr>
          <w:rFonts w:ascii="맑은 고딕" w:cs="맑은 고딕" w:eastAsia="맑은 고딕" w:hAnsi="맑은 고딕"/>
          <w:b w:val="false"/>
          <w:bCs w:val="false"/>
          <w:i w:val="false"/>
          <w:iCs w:val="false"/>
          <w:color w:val="000000"/>
          <w:sz w:val="18"/>
          <w:szCs w:val="18"/>
        </w:rPr>
        <w:t xml:space="preserve">롯데케미칼 공식 회사사 — 2003-04 호남석유화학 SMART ERP 구축 (Big Bang 방식, 10개월). https://www.lottechem.com/history/contentsid/645/index.do</w:t>
      </w:r>
    </w:p>
    <w:p>
      <w:pPr>
        <w:spacing w:after="60" w:before="60" w:line="320"/>
        <w:jc w:val="both"/>
      </w:pPr>
      <w:r>
        <w:rPr>
          <w:rFonts w:ascii="맑은 고딕" w:cs="맑은 고딕" w:eastAsia="맑은 고딕" w:hAnsi="맑은 고딕"/>
          <w:b/>
          <w:bCs/>
          <w:i w:val="false"/>
          <w:iCs w:val="false"/>
          <w:color w:val="0070C0"/>
          <w:sz w:val="20"/>
          <w:szCs w:val="20"/>
        </w:rPr>
        <w:t xml:space="preserve">[11] </w:t>
      </w:r>
      <w:r>
        <w:rPr>
          <w:rFonts w:ascii="맑은 고딕" w:cs="맑은 고딕" w:eastAsia="맑은 고딕" w:hAnsi="맑은 고딕"/>
          <w:b w:val="false"/>
          <w:bCs w:val="false"/>
          <w:i w:val="false"/>
          <w:iCs w:val="false"/>
          <w:color w:val="000000"/>
          <w:sz w:val="18"/>
          <w:szCs w:val="18"/>
        </w:rPr>
        <w:t xml:space="preserve">이상신 (2020.12), 「석유화학기업 IT서비스의 클라우드 서비스 전환의도에 영향을 미치는 요인에 관한 연구」, 박사학위논문, 숭실대학교 대학원 IT정책경영학과. (석유화학 산업 5대 특성 — 김근옥(2019) 재인용, 제조업 5대 동향·시사점 — 박주황(2014) 재인용, 석유화학 IT 시스템 5대 특성)</w:t>
      </w:r>
    </w:p>
    <w:p>
      <w:pPr>
        <w:spacing w:after="60" w:before="60" w:line="320"/>
        <w:jc w:val="both"/>
      </w:pPr>
      <w:r>
        <w:rPr>
          <w:rFonts w:ascii="맑은 고딕" w:cs="맑은 고딕" w:eastAsia="맑은 고딕" w:hAnsi="맑은 고딕"/>
          <w:b/>
          <w:bCs/>
          <w:i w:val="false"/>
          <w:iCs w:val="false"/>
          <w:color w:val="0070C0"/>
          <w:sz w:val="20"/>
          <w:szCs w:val="20"/>
        </w:rPr>
        <w:t xml:space="preserve">[12] </w:t>
      </w:r>
      <w:r>
        <w:rPr>
          <w:rFonts w:ascii="맑은 고딕" w:cs="맑은 고딕" w:eastAsia="맑은 고딕" w:hAnsi="맑은 고딕"/>
          <w:b w:val="false"/>
          <w:bCs w:val="false"/>
          <w:i w:val="false"/>
          <w:iCs w:val="false"/>
          <w:color w:val="000000"/>
          <w:sz w:val="18"/>
          <w:szCs w:val="18"/>
        </w:rPr>
        <w:t xml:space="preserve">SAP 공식 자료 — 「SAP Value Assurance Service for S/4HANA」 컴포넌트 구성 자료</w:t>
      </w:r>
    </w:p>
    <w:p>
      <w:pPr>
        <w:spacing w:after="60" w:before="60" w:line="320"/>
        <w:jc w:val="both"/>
      </w:pPr>
      <w:r>
        <w:rPr>
          <w:rFonts w:ascii="맑은 고딕" w:cs="맑은 고딕" w:eastAsia="맑은 고딕" w:hAnsi="맑은 고딕"/>
          <w:b/>
          <w:bCs/>
          <w:i w:val="false"/>
          <w:iCs w:val="false"/>
          <w:color w:val="0070C0"/>
          <w:sz w:val="20"/>
          <w:szCs w:val="20"/>
        </w:rPr>
        <w:t xml:space="preserve">[13] </w:t>
      </w:r>
      <w:r>
        <w:rPr>
          <w:rFonts w:ascii="맑은 고딕" w:cs="맑은 고딕" w:eastAsia="맑은 고딕" w:hAnsi="맑은 고딕"/>
          <w:b w:val="false"/>
          <w:bCs w:val="false"/>
          <w:i w:val="false"/>
          <w:iCs w:val="false"/>
          <w:color w:val="000000"/>
          <w:sz w:val="18"/>
          <w:szCs w:val="18"/>
        </w:rPr>
        <w:t xml:space="preserve">롯데케미칼 보도자료 (2020.08.12), 「롯데케미칼, DT(Digital Transformation) 전략 추진」. https://www.lottechem.com/ko/media/news/253/view.do</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ERP개론 팀프로젝트 Step1 v3</dc:title>
  <dc:creator>Hoony - Kwangwoon Univ ERP Team Project</dc:creator>
  <cp:lastModifiedBy>Un-named</cp:lastModifiedBy>
  <cp:revision>1</cp:revision>
  <dcterms:created xsi:type="dcterms:W3CDTF">2026-05-21T07:04:59.979Z</dcterms:created>
  <dcterms:modified xsi:type="dcterms:W3CDTF">2026-05-21T07:04:59.991Z</dcterms:modified>
</cp:coreProperties>
</file>

<file path=docProps/custom.xml><?xml version="1.0" encoding="utf-8"?>
<Properties xmlns="http://schemas.openxmlformats.org/officeDocument/2006/custom-properties" xmlns:vt="http://schemas.openxmlformats.org/officeDocument/2006/docPropsVTypes"/>
</file>