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320"/>
        <w:jc w:val="center"/>
      </w:pPr>
      <w:r>
        <w:rPr>
          <w:rFonts w:ascii="맑은 고딕" w:cs="맑은 고딕" w:eastAsia="맑은 고딕" w:hAnsi="맑은 고딕"/>
          <w:b/>
          <w:bCs/>
          <w:sz w:val="40"/>
          <w:szCs w:val="40"/>
        </w:rPr>
        <w:t xml:space="preserve">ERP개론 팀 프로젝트</w:t>
      </w:r>
    </w:p>
    <w:p>
      <w:pPr>
        <w:spacing w:after="80" w:before="200" w:line="320"/>
        <w:jc w:val="center"/>
      </w:pPr>
      <w:r>
        <w:rPr>
          <w:rFonts w:ascii="맑은 고딕" w:cs="맑은 고딕" w:eastAsia="맑은 고딕" w:hAnsi="맑은 고딕"/>
          <w:b/>
          <w:bCs/>
          <w:sz w:val="32"/>
          <w:szCs w:val="32"/>
        </w:rPr>
        <w:t xml:space="preserve">Step 2. 솔루션 선정 및 타당성 분석</w:t>
      </w:r>
    </w:p>
    <w:p>
      <w:pPr>
        <w:spacing w:after="60" w:before="60" w:line="320"/>
        <w:jc w:val="center"/>
      </w:pPr>
      <w:r>
        <w:rPr>
          <w:rFonts w:ascii="맑은 고딕" w:cs="맑은 고딕" w:eastAsia="맑은 고딕" w:hAnsi="맑은 고딕"/>
          <w:b w:val="false"/>
          <w:bCs w:val="false"/>
          <w:i w:val="false"/>
          <w:iCs w:val="false"/>
          <w:color w:val="000000"/>
          <w:sz w:val="20"/>
          <w:szCs w:val="20"/>
        </w:rPr>
        <w:t xml:space="preserve">1조 | 롯데케미칼 사례 (v3)</w:t>
      </w:r>
    </w:p>
    <w:p>
      <w:pPr>
        <w:spacing w:after="120" w:before="120"/>
      </w:pPr>
      <w:r>
        <w:rPr>
          <w:rFonts w:ascii="맑은 고딕" w:cs="맑은 고딕" w:eastAsia="맑은 고딕" w:hAnsi="맑은 고딕"/>
        </w:rPr>
        <w:t xml:space="preserve"/>
      </w:r>
    </w:p>
    <w:p>
      <w:pPr>
        <w:spacing w:after="60" w:before="60" w:line="320"/>
        <w:jc w:val="both"/>
      </w:pPr>
      <w:r>
        <w:rPr>
          <w:rFonts w:ascii="맑은 고딕" w:cs="맑은 고딕" w:eastAsia="맑은 고딕" w:hAnsi="맑은 고딕"/>
          <w:sz w:val="20"/>
          <w:szCs w:val="20"/>
        </w:rPr>
        <w:t xml:space="preserve">선정 솔루션: SAP S/4HANA</w:t>
      </w:r>
    </w:p>
    <w:p>
      <w:pPr>
        <w:spacing w:after="60" w:before="60" w:line="320"/>
        <w:jc w:val="both"/>
      </w:pPr>
      <w:r>
        <w:rPr>
          <w:rFonts w:ascii="맑은 고딕" w:cs="맑은 고딕" w:eastAsia="맑은 고딕" w:hAnsi="맑은 고딕"/>
          <w:sz w:val="20"/>
          <w:szCs w:val="20"/>
        </w:rPr>
        <w:t xml:space="preserve">도입 방식: 기존 SAP ERP 기반 컨버전 및 글로벌 통합 고도화</w:t>
      </w:r>
    </w:p>
    <w:p>
      <w:pPr>
        <w:spacing w:after="60" w:before="60" w:line="320"/>
        <w:jc w:val="both"/>
      </w:pPr>
      <w:r>
        <w:rPr>
          <w:rFonts w:ascii="맑은 고딕" w:cs="맑은 고딕" w:eastAsia="맑은 고딕" w:hAnsi="맑은 고딕"/>
          <w:sz w:val="20"/>
          <w:szCs w:val="20"/>
        </w:rPr>
        <w:t xml:space="preserve">구축 기간: 2017.04 ~ 2017.11, 총 7개월</w:t>
      </w:r>
    </w:p>
    <w:p>
      <w:pPr>
        <w:spacing w:after="60" w:before="60"/>
      </w:pPr>
      <w:r>
        <w:rPr>
          <w:rFonts w:ascii="맑은 고딕" w:cs="맑은 고딕" w:eastAsia="맑은 고딕" w:hAnsi="맑은 고딕"/>
        </w:rPr>
        <w:t xml:space="preserve"/>
      </w:r>
    </w:p>
    <w:p>
      <w:pPr>
        <w:spacing w:after="60" w:before="60" w:line="320"/>
        <w:jc w:val="both"/>
      </w:pPr>
      <w:r>
        <w:rPr>
          <w:rFonts w:ascii="맑은 고딕" w:cs="맑은 고딕" w:eastAsia="맑은 고딕" w:hAnsi="맑은 고딕"/>
          <w:b w:val="false"/>
          <w:bCs w:val="false"/>
          <w:i/>
          <w:iCs/>
          <w:color w:val="595959"/>
          <w:sz w:val="20"/>
          <w:szCs w:val="20"/>
        </w:rPr>
        <w:t xml:space="preserve">본 단계는 강의 자료(#2 ERP 도입 및 시스템 구축 단계별 관리 프로세스)의 '타당성 조사 단계'와 '요구사항 정의(분석) 단계'에 해당한다. 강의 자료는 타당성 조사 단계의 핵심을 "시스템을 개발할 것인지 외부에서 패키지 형태로 구입할 것인지를 결정한다 (Make or Buy, 즉 In-house / Package)"로 정의하며[강의 자료 10p], 본 사례는 이 의사결정에서 'Buy(Package)'를 선택한 후, 다시 '어떤 패키지를 어떻게 도입할 것인가'의 2차 의사결정으로 확장된 경우이다.</w:t>
      </w:r>
    </w:p>
    <w:p>
      <w:pPr>
        <w:spacing w:after="120" w:before="120"/>
      </w:pPr>
      <w:r>
        <w:rPr>
          <w:rFonts w:ascii="맑은 고딕" w:cs="맑은 고딕" w:eastAsia="맑은 고딕" w:hAnsi="맑은 고딕"/>
        </w:rPr>
        <w:t xml:space="preserve"/>
      </w:r>
    </w:p>
    <w:p>
      <w:pPr>
        <w:spacing w:after="120" w:before="280" w:line="320"/>
      </w:pPr>
      <w:r>
        <w:rPr>
          <w:rFonts w:ascii="맑은 고딕" w:cs="맑은 고딕" w:eastAsia="맑은 고딕" w:hAnsi="맑은 고딕"/>
          <w:b/>
          <w:bCs/>
          <w:sz w:val="26"/>
          <w:szCs w:val="26"/>
        </w:rPr>
        <w:t xml:space="preserve">1. 도입 의사결정의 핵심</w:t>
      </w:r>
    </w:p>
    <w:p>
      <w:pPr>
        <w:spacing w:after="60" w:before="60" w:line="320"/>
        <w:jc w:val="both"/>
      </w:pPr>
      <w:r>
        <w:rPr>
          <w:rFonts w:ascii="맑은 고딕" w:cs="맑은 고딕" w:eastAsia="맑은 고딕" w:hAnsi="맑은 고딕"/>
          <w:sz w:val="20"/>
          <w:szCs w:val="20"/>
        </w:rPr>
        <w:t xml:space="preserve">롯데케미칼의 2017년 ERP 프로젝트는 "ERP를 새로 도입할 것인가"의 문제가 아니라, "기존 SAP ERP 운영 자산을 유지하면서 M&amp;A 이후 확대된 조직과 글로벌 운영 구조를 어떻게 통합할 것인가"의 문제였다.</w:t>
      </w:r>
    </w:p>
    <w:p>
      <w:pPr>
        <w:spacing w:after="60" w:before="60" w:line="320"/>
        <w:jc w:val="both"/>
      </w:pPr>
      <w:r>
        <w:rPr>
          <w:rFonts w:ascii="맑은 고딕" w:cs="맑은 고딕" w:eastAsia="맑은 고딕" w:hAnsi="맑은 고딕"/>
          <w:sz w:val="20"/>
          <w:szCs w:val="20"/>
        </w:rPr>
        <w:t xml:space="preserve">즉 본 사례의 솔루션 선정 기준은 단순히 가장 유명한 ERP를 고르는 것이 아니라, 기존 SAP 운영 자산을 유지하면서 3사 통합과 글로벌 운영을 가장 낮은 리스크로 달성할 수 있는가에 있었다.</w:t>
      </w:r>
    </w:p>
    <w:p>
      <w:pPr>
        <w:spacing w:after="60" w:before="60" w:line="320"/>
        <w:jc w:val="both"/>
      </w:pPr>
      <w:r>
        <w:rPr>
          <w:rFonts w:ascii="맑은 고딕" w:cs="맑은 고딕" w:eastAsia="맑은 고딕" w:hAnsi="맑은 고딕"/>
          <w:sz w:val="20"/>
          <w:szCs w:val="20"/>
        </w:rPr>
        <w:t xml:space="preserve">롯데케미칼은 이미 2003-04년부터 SAP ERP를 운영해 왔고[10], 2010년에는 석유화학업계 최초로 SAP 기반 GEMS를 구축했으며[8], 이후 해외법인과 피인수 회사에 ERP를 확장한 경험이 있었다. 따라서 완전한 신규 구축이나 타 ERP 전면 교체보다 기존 SAP 기반 업무 지식과 기준정보를 활용하면서 S/4HANA로 고도화하는 방향이 현실적이었다. 2017년 프로젝트의 직접적인 목적은 다음 네 가지로 정리할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목적</w:t>
            </w:r>
          </w:p>
        </w:tc>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의미</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3사 시스템 통합</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롯데케미칼, 롯데정밀화학, 롯데첨단소재 등 약 2조 8천억원 규모로 인수한 회사들의 통합 운영 기반 마련[8]</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글로벌 거점 지원</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국내외 생산·판매 거점과 110개국 수출 구조를 하나의 정보 인프라로 지원</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중복 투자 리스크 축소</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회사별 시스템 병존으로 인한 유지보수, 데이터 관리, 운영 복잡성 감소</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디지털 코어 확보</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향후 DT, 인텔리전트 엔터프라이즈 전환을 위한 기반 구축</w:t>
            </w:r>
          </w:p>
        </w:tc>
      </w:tr>
    </w:tbl>
    <w:p>
      <w:pPr>
        <w:spacing w:after="60" w:before="60" w:line="320"/>
        <w:jc w:val="both"/>
      </w:pPr>
      <w:r>
        <w:rPr>
          <w:rFonts w:ascii="맑은 고딕" w:cs="맑은 고딕" w:eastAsia="맑은 고딕" w:hAnsi="맑은 고딕"/>
          <w:sz w:val="20"/>
          <w:szCs w:val="20"/>
        </w:rPr>
        <w:t xml:space="preserve">박제성 정보전략담당 상무(전남대 화학공학 출신, 미등기임원)는 인터뷰에서 롯데케미칼은 글로벌 거점에서 일어나는 모든 활동을 지원하기 위해 SAP S/4HANA로 3개사의 시스템을 통합하기로 결정했다고 설명한다.[1][8]</w:t>
      </w:r>
    </w:p>
    <w:p>
      <w:pPr>
        <w:spacing w:after="120" w:before="280" w:line="320"/>
      </w:pPr>
      <w:r>
        <w:rPr>
          <w:rFonts w:ascii="맑은 고딕" w:cs="맑은 고딕" w:eastAsia="맑은 고딕" w:hAnsi="맑은 고딕"/>
          <w:b/>
          <w:bCs/>
          <w:sz w:val="26"/>
          <w:szCs w:val="26"/>
        </w:rPr>
        <w:t xml:space="preserve">2. 도입 의사결정의 거버넌스 구조</w:t>
      </w:r>
    </w:p>
    <w:p>
      <w:pPr>
        <w:spacing w:after="60" w:before="60" w:line="320"/>
        <w:jc w:val="both"/>
      </w:pPr>
      <w:r>
        <w:rPr>
          <w:rFonts w:ascii="맑은 고딕" w:cs="맑은 고딕" w:eastAsia="맑은 고딕" w:hAnsi="맑은 고딕"/>
          <w:sz w:val="20"/>
          <w:szCs w:val="20"/>
        </w:rPr>
        <w:t xml:space="preserve">본 프로젝트와 같은 대규모 ERP 통합은 단일 부서의 의사결정이 아닌 다층적 거버넌스 위에서 진행된다. 사업보고서[8][9]와 박제성 인터뷰[1]를 종합하면, 본 의사결정의 거버넌스는 다음 3축으로 구성되었음을 확인할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축</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주체</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역할</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발주·의사결정</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롯데케미칼 (김교현 대표이사 / 박제성 정보전략담당 상무보)</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프로젝트 거버넌스 총괄, 비즈니스 요구사항 정의, 자원 배분 의사결정</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수행·통합</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롯데정보통신(주) (그룹 SI 계열사)</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시스템 통합(SI) 수행, 통합 운영체계 확보, 그룹 차원 디지털 자산 통제권 유지</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기술·방법론</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SAP 본사</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S/4HANA 도입 방법론(SAP Activate) 적용, SAP Value Assurance Service를 통한 표준 컴포넌트 제공[12]</w:t>
            </w:r>
          </w:p>
        </w:tc>
      </w:tr>
    </w:tbl>
    <w:p>
      <w:pPr>
        <w:spacing w:after="60" w:before="60" w:line="320"/>
        <w:jc w:val="both"/>
      </w:pPr>
      <w:r>
        <w:rPr>
          <w:rFonts w:ascii="맑은 고딕" w:cs="맑은 고딕" w:eastAsia="맑은 고딕" w:hAnsi="맑은 고딕"/>
          <w:sz w:val="20"/>
          <w:szCs w:val="20"/>
        </w:rPr>
        <w:t xml:space="preserve">이 거버넌스 구조의 의미는, 본 솔루션 선정이 외부 글로벌 SI(Accenture·IBM·Deloitte 등)에 일임된 결정이 아니라 그룹 차원의 IT 자산 통제권을 유지하기 위한 전략적 판단이었다는 점이다. 이는 후속 효과로 확인된다: S/4HANA 가동 직후인 2018년 2월 8일 이사회는 "그룹공통시스템 사용을 위한 계약 진행"과 "디지털혁신협의체 공통 업무 추진 협약서"를 동시 의결했고[9], 2018년 12월 19일에는 'SAP 라이선스 추가 구매'를 포함한 10건의 IT 안건을 일괄 의결했다.[9] 본 ERP 도입이 그룹 디지털 전환의 의도된 출발점이었음을 사후적으로 입증하는 객관 기록이다.</w:t>
      </w:r>
    </w:p>
    <w:p>
      <w:pPr>
        <w:spacing w:after="120" w:before="280" w:line="320"/>
      </w:pPr>
      <w:r>
        <w:rPr>
          <w:rFonts w:ascii="맑은 고딕" w:cs="맑은 고딕" w:eastAsia="맑은 고딕" w:hAnsi="맑은 고딕"/>
          <w:b/>
          <w:bCs/>
          <w:sz w:val="26"/>
          <w:szCs w:val="26"/>
        </w:rPr>
        <w:t xml:space="preserve">3. Make vs Buy 분석 — 1차 의사결정 (강의 용어: In-house vs Package)</w:t>
      </w:r>
    </w:p>
    <w:p>
      <w:pPr>
        <w:spacing w:after="60" w:before="60" w:line="320"/>
        <w:jc w:val="both"/>
      </w:pPr>
      <w:r>
        <w:rPr>
          <w:rFonts w:ascii="맑은 고딕" w:cs="맑은 고딕" w:eastAsia="맑은 고딕" w:hAnsi="맑은 고딕"/>
          <w:sz w:val="20"/>
          <w:szCs w:val="20"/>
        </w:rPr>
        <w:t xml:space="preserve">강의 자료의 타당성 조사 단계는 Make or Buy 결정을 다음과 같이 정의한다: "시스템을 개발할 것인지 외부에서 패키지 형태로 구입할 것인지를 결정한다 (Make or Buy, 즉 In-house / Package)"[강의 자료 10p]. 이 결정은 기술적 타당성과 경제적 타당성의 두 축으로 평가된다. 롯데케미칼의 경우, 석유화학기업의 업무 범위(구매·생산·설비·품질·영업·회계·재무·인사·GRC·화학물질관리)와 글로벌 회계·M&amp;A 통합 요구를 자체 개발(In-house)로 구현할 경우 기간·비용·표준화 리스크가 과대하다. 따라서 패키지(Package) 도입이 타당하다.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옵션 (강의 용어)</w:t>
            </w:r>
          </w:p>
        </w:tc>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검토 결과</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Make = In-house (자체 개발)</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글로벌 회계·생산·품질·화학물질관리·M&amp;A 통합을 자체 개발로 구현할 경우 기간·비용·표준화 리스크가 과대하다. 강의의 In-house 핵심 리스크는 'Scope Creep(통제되지 않는 범위 확장)'[강의 자료 31p]</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Buy = Package (패키지 도입)</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기존 SAP 운영 경험과 글로벌 표준 프로세스를 활용할 수 있으며, 대규모 제조기업의 통합 업무 범위에 적합. 강의의 Package 핵심 리스크는 '프로세스 불일치 및 벤더 종속성(Lock-in)'[강의 자료 31p]</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결론</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자체 개발이 아니라 패키지 ERP 기반 고도화가 타당하다. 본 사례는 패키지 도입(Buy)에 해당하며, 강의 자료의 '(구매 지향의) ERP 도입 및 구축' 프레임으로 분석된다.</w:t>
            </w:r>
          </w:p>
        </w:tc>
      </w:tr>
    </w:tbl>
    <w:p>
      <w:pPr>
        <w:spacing w:after="60" w:before="120" w:line="320"/>
        <w:jc w:val="both"/>
      </w:pPr>
      <w:r>
        <w:rPr>
          <w:rFonts w:ascii="맑은 고딕" w:cs="맑은 고딕" w:eastAsia="맑은 고딕" w:hAnsi="맑은 고딕"/>
          <w:sz w:val="20"/>
          <w:szCs w:val="20"/>
        </w:rPr>
        <w:t xml:space="preserve">한편 강의 자료(8p)는 응용시스템 개발 방법론을 전통적 Waterfall 모형(엄격한 순차 진행)과 Agile 모형(반복적 산출 및 변화 수용)으로 구분한다. SAP S/4HANA의 표준 도입 방법론인 SAP Activate는 Discover-Prepare-Explore-Realize-Deploy-Run의 6단계로 구성되며, Realize 단계에서 짧은 스프린트를 반복하는 Hybrid Agile 성격을 갖는다. 본 사례는 7개월 압축 일정 특성상 일부 단계가 병렬화된 형태로 진행된 것으로 추정된다.</w:t>
      </w:r>
    </w:p>
    <w:p>
      <w:pPr>
        <w:spacing w:after="120" w:before="280" w:line="320"/>
      </w:pPr>
      <w:r>
        <w:rPr>
          <w:rFonts w:ascii="맑은 고딕" w:cs="맑은 고딕" w:eastAsia="맑은 고딕" w:hAnsi="맑은 고딕"/>
          <w:b/>
          <w:bCs/>
          <w:sz w:val="26"/>
          <w:szCs w:val="26"/>
        </w:rPr>
        <w:t xml:space="preserve">4. 패키지 ERP 대안 비교 — 2차 의사결정</w:t>
      </w:r>
    </w:p>
    <w:p>
      <w:pPr>
        <w:spacing w:after="60" w:before="60" w:line="320"/>
        <w:jc w:val="both"/>
      </w:pPr>
      <w:r>
        <w:rPr>
          <w:rFonts w:ascii="맑은 고딕" w:cs="맑은 고딕" w:eastAsia="맑은 고딕" w:hAnsi="맑은 고딕"/>
          <w:sz w:val="20"/>
          <w:szCs w:val="20"/>
        </w:rPr>
        <w:t xml:space="preserve">다만 롯데케미칼의 실제 의사결정은 단순한 Make vs Buy를 넘어선다. 이미 SAP ERP를 장기간 운영해 온 기업이었기 때문에 핵심 쟁점은 "패키지 ERP를 살 것인가"가 아니라, 기존 SAP 기반 S/4HANA 전환, SAP Greenfield 신규 구축, 타 ERP 전면 교체, ECC 유지 후 별도 통합 시스템 구축 중 무엇이 가장 현실적인가였다.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72"/>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대안</w:t>
            </w:r>
          </w:p>
        </w:tc>
        <w:tc>
          <w:tcPr>
            <w:tcW w:type="dxa" w:w="1872"/>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기술적</w:t>
            </w:r>
          </w:p>
        </w:tc>
        <w:tc>
          <w:tcPr>
            <w:tcW w:type="dxa" w:w="1872"/>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경제적</w:t>
            </w:r>
          </w:p>
        </w:tc>
        <w:tc>
          <w:tcPr>
            <w:tcW w:type="dxa" w:w="1872"/>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운영적</w:t>
            </w:r>
          </w:p>
        </w:tc>
        <w:tc>
          <w:tcPr>
            <w:tcW w:type="dxa" w:w="1872"/>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평가</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A. 기존 SAP 기반 S/4HANA 전환</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선택. 기존 SAP 자산을 유지하면서 성능 개선, 3사 통합, 글로벌 운영 지원을 동시에 달성할 수 있다.</w:t>
            </w:r>
          </w:p>
        </w:tc>
      </w:tr>
      <w:tr>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B. SAP S/4HANA Greenfield 신규 구축</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가능하지만 기존 기준정보, 사용자 경험, 커스터마이징 자산의 재활용 효과가 약해진다.</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C. Oracle·MS Dynamics 등 타 ERP 전면 교체</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데이터 이관, 사용자 재교육, 인터페이스 재설계 부담이 매우 크다.</w:t>
            </w:r>
          </w:p>
        </w:tc>
      </w:tr>
      <w:tr>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D. 현행 SAP ERP 유지 + 별도 통합 시스템</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단기 비용은 줄일 수 있으나 M&amp;A 통합 효과가 제한되고 차세대 전환이 지연된다.</w:t>
            </w:r>
          </w:p>
        </w:tc>
      </w:tr>
    </w:tbl>
    <w:p>
      <w:pPr>
        <w:spacing w:after="120" w:before="280" w:line="320"/>
      </w:pPr>
      <w:r>
        <w:rPr>
          <w:rFonts w:ascii="맑은 고딕" w:cs="맑은 고딕" w:eastAsia="맑은 고딕" w:hAnsi="맑은 고딕"/>
          <w:b/>
          <w:bCs/>
          <w:sz w:val="26"/>
          <w:szCs w:val="26"/>
        </w:rPr>
        <w:t xml:space="preserve">5. 왜 신규 ERP가 아니라 기존 SAP 기반 S/4HANA 전환인가</w:t>
      </w:r>
    </w:p>
    <w:p>
      <w:pPr>
        <w:spacing w:after="60" w:before="60" w:line="320"/>
        <w:jc w:val="both"/>
      </w:pPr>
      <w:r>
        <w:rPr>
          <w:rFonts w:ascii="맑은 고딕" w:cs="맑은 고딕" w:eastAsia="맑은 고딕" w:hAnsi="맑은 고딕"/>
          <w:sz w:val="20"/>
          <w:szCs w:val="20"/>
        </w:rPr>
        <w:t xml:space="preserve">롯데케미칼이 SAP S/4HANA를 선택한 이유는 단순히 SAP가 대기업에서 많이 쓰이는 ERP이기 때문이 아니다. 강의 자료의 타당성 조사 단계[10p]에서 제시한 두 가지 핵심 평가(기술적 타당성·경제적 타당성)를 본 사례에 적용하면, 13년 누적 SAP 자산[8][10]·M&amp;A 통합 필요성·글로벌 화학기업의 복잡한 업무 구조·실시간 데이터 처리 요구가 동시에 존재했다. 본 보고서는 강의의 2대 타당성에 운영적·전략적·확장성 타당성을 더한 5대 타당성으로 평가한다(타사 사례 검토 시 일반적으로 활용되는 확장 프레임).</w:t>
      </w:r>
    </w:p>
    <w:p>
      <w:pPr>
        <w:spacing w:after="60" w:before="60" w:line="320"/>
        <w:jc w:val="both"/>
      </w:pPr>
      <w:r>
        <w:rPr>
          <w:rFonts w:ascii="맑은 고딕" w:cs="맑은 고딕" w:eastAsia="맑은 고딕" w:hAnsi="맑은 고딕"/>
          <w:sz w:val="20"/>
          <w:szCs w:val="20"/>
        </w:rPr>
        <w:t xml:space="preserve">따라서 솔루션 선정의 기준은 "가장 기능이 많은 ERP"가 아니라 "기존 SAP 기반 업무 자산을 최대한 활용하면서 차세대 인메모리 ERP의 성능 이점을 확보할 수 있는가"였다. 이 기준에 따라 5대 타당성을 검토한 결과가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타당성 항목</w:t>
            </w:r>
          </w:p>
        </w:tc>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선정 사유</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기술적 타당성</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인메모리 기반 S/4HANA를 통해 대용량 업무 데이터 처리와 빠른 조회가 가능하다. 또한 기존 ECC에서 S/4HANA로의 전환 경로가 있어 기존 SAP 자산을 활용할 수 있다.[7]</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운영적 타당성</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구매, 생산, 설비, 품질, 영업, 회계, 재무, 인사, GRC, 화학물질관리 등 10개 핵심 업무를 하나의 디지털 코어에서 통합 운영할 수 있다.[1]</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경제적 타당성</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구체적 투자 규모는 공개자료에서 확인되지 않으나, 기준정보 재활용, 사용자 교육비 절감, 인터페이스 재설계 부담 감소, 중복 운영비 절감이라는 정성적 비용 절감 요인이 확인된다.</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전략적 타당성</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M&amp;A 이후 3사 통합, 글로벌 거점 확대, 디지털 전환 기반 확보라는 경영 목표와 직접 연결된다. 2018+ 그룹 차원 디지털혁신협의체 참여로 후속 효과가 확인된다.[9][13]</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확장성</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SCM, MES, PLM, LIMS, EHS, WMS 등 비SAP 주변 시스템과의 연계 구조를 유지하면서 ERP 중심 통합이 가능하다.[1]</w:t>
            </w:r>
          </w:p>
        </w:tc>
      </w:tr>
    </w:tbl>
    <w:p>
      <w:pPr>
        <w:spacing w:after="120" w:before="280" w:line="320"/>
      </w:pPr>
      <w:r>
        <w:rPr>
          <w:rFonts w:ascii="맑은 고딕" w:cs="맑은 고딕" w:eastAsia="맑은 고딕" w:hAnsi="맑은 고딕"/>
          <w:b/>
          <w:bCs/>
          <w:sz w:val="26"/>
          <w:szCs w:val="26"/>
        </w:rPr>
        <w:t xml:space="preserve">6. 경제적 타당성의 구체화</w:t>
      </w:r>
    </w:p>
    <w:p>
      <w:pPr>
        <w:spacing w:after="60" w:before="60" w:line="320"/>
        <w:jc w:val="both"/>
      </w:pPr>
      <w:r>
        <w:rPr>
          <w:rFonts w:ascii="맑은 고딕" w:cs="맑은 고딕" w:eastAsia="맑은 고딕" w:hAnsi="맑은 고딕"/>
          <w:sz w:val="20"/>
          <w:szCs w:val="20"/>
        </w:rPr>
        <w:t xml:space="preserve">본 프로젝트의 구체적 투자 규모는 공개자료에서 확인되지 않는다. 따라서 경제적 타당성은 단순 투자금액이 아니라 기존 SAP 자산을 활용함으로써 발생하는 비용 절감과 운영 리스크 감소 관점에서 분석한다.[2][3]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경제적 타당성 요소</w:t>
            </w:r>
          </w:p>
        </w:tc>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내용</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기준정보 재활용</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자재, 거래처, 계정, 조직 구조 등 13년 이상 축적된 SAP 기반 데이터 자산을 활용할 수 있다.[10]</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사용자 교육비 절감</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완전히 새로운 ERP보다 기존 SAP 사용자 경험을 유지할 수 있어 재교육 부담을 낮출 수 있다. 신규 ERP 도입 시 통상 전체 비용의 10~15%를 차지하는 교육비 절감 효과 추정.</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인터페이스 재설계 부담 감소</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SCM, MES, PLM, LIMS, EHS 등 기존 SAP 중심 주변 시스템 연계 구조를 일부 유지할 수 있다.</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중복 운영비 절감</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3사 시스템 병존으로 인한 유지보수, 데이터 관리, 운영 복잡성을 축소할 수 있다.[1]</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M&amp;A 자산 통합의 ROI</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2016년 약 2조 8천억원 규모로 인수한 정밀화학·첨단소재의 운영 가치를 단일 플랫폼 위에서 실현하기 위한 인프라 투자.[8]</w:t>
            </w:r>
          </w:p>
        </w:tc>
      </w:tr>
    </w:tbl>
    <w:p>
      <w:pPr>
        <w:spacing w:after="60" w:before="60" w:line="320"/>
        <w:jc w:val="both"/>
      </w:pPr>
      <w:r>
        <w:rPr>
          <w:rFonts w:ascii="맑은 고딕" w:cs="맑은 고딕" w:eastAsia="맑은 고딕" w:hAnsi="맑은 고딕"/>
          <w:sz w:val="20"/>
          <w:szCs w:val="20"/>
        </w:rPr>
        <w:t xml:space="preserve">특히 마지막 항목인 'M&amp;A 자산 통합의 ROI'는 본 프로젝트의 경제적 정당성을 단일 시점의 투자 회수가 아닌 누적된 인수 자산의 운영 가치 극대화 관점에서 보아야 함을 시사한다. 박제성 인터뷰[1]에서 "롯데정보통신이 통합 운영체계를 확보하고 신규 SAP 플랫폼 도입으로 중복투자 리스크를 제거했다"는 발언은 이 관점을 직접 뒷받침한다.</w:t>
      </w:r>
    </w:p>
    <w:p>
      <w:pPr>
        <w:spacing w:after="120" w:before="280" w:line="320"/>
      </w:pPr>
      <w:r>
        <w:rPr>
          <w:rFonts w:ascii="맑은 고딕" w:cs="맑은 고딕" w:eastAsia="맑은 고딕" w:hAnsi="맑은 고딕"/>
          <w:b/>
          <w:bCs/>
          <w:sz w:val="26"/>
          <w:szCs w:val="26"/>
        </w:rPr>
        <w:t xml:space="preserve">7. Fact 기반 선정 사유</w:t>
      </w:r>
    </w:p>
    <w:p>
      <w:pPr>
        <w:spacing w:after="60" w:before="60" w:line="320"/>
        <w:jc w:val="both"/>
      </w:pPr>
      <w:r>
        <w:rPr>
          <w:rFonts w:ascii="맑은 고딕" w:cs="맑은 고딕" w:eastAsia="맑은 고딕" w:hAnsi="맑은 고딕"/>
          <w:b/>
          <w:bCs/>
          <w:i w:val="false"/>
          <w:iCs w:val="false"/>
          <w:color w:val="000000"/>
          <w:sz w:val="20"/>
          <w:szCs w:val="20"/>
        </w:rPr>
        <w:t xml:space="preserve">(1) 13년 누적 SAP ERP 운영 경험</w:t>
      </w:r>
    </w:p>
    <w:p>
      <w:pPr>
        <w:spacing w:after="60" w:before="60" w:line="320"/>
        <w:jc w:val="both"/>
      </w:pPr>
      <w:r>
        <w:rPr>
          <w:rFonts w:ascii="맑은 고딕" w:cs="맑은 고딕" w:eastAsia="맑은 고딕" w:hAnsi="맑은 고딕"/>
          <w:sz w:val="20"/>
          <w:szCs w:val="20"/>
        </w:rPr>
        <w:t xml:space="preserve">롯데케미칼은 2017년 SAP S/4HANA를 처음 도입한 기업이 아니었다. 전신인 호남석유화학은 2003-04년 SAP ERP 'SMART'를 Big Bang 방식 10개월 만에 구축했고[10], 2010년에는 석유화학업계 최초로 SAP 기반 GEMS(Greenhouse Gas &amp; Energy Management)를 구축하여 SAP 자산을 환경관리 영역까지 확장했다.[8] 이후 ERP와 e-Collaboration 시스템을 통해 전사 정보통합 경험을 축적해 왔다.[2] 이력상 롯데케미칼은 ERP를 새로 배우는 단계가 아니라, 이미 SAP 기반 업무 프로세스와 기준정보, 사용자 경험, 커스터마이징 자산을 13년 이상 축적해 온 기업이었다.</w:t>
      </w:r>
    </w:p>
    <w:p>
      <w:pPr>
        <w:spacing w:after="60" w:before="60" w:line="320"/>
        <w:jc w:val="both"/>
      </w:pPr>
      <w:r>
        <w:rPr>
          <w:rFonts w:ascii="맑은 고딕" w:cs="맑은 고딕" w:eastAsia="맑은 고딕" w:hAnsi="맑은 고딕"/>
          <w:b/>
          <w:bCs/>
          <w:i w:val="false"/>
          <w:iCs w:val="false"/>
          <w:color w:val="000000"/>
          <w:sz w:val="20"/>
          <w:szCs w:val="20"/>
        </w:rPr>
        <w:t xml:space="preserve">(2) M&amp;A 이후 3사 시스템 통합 필요성</w:t>
      </w:r>
    </w:p>
    <w:p>
      <w:pPr>
        <w:spacing w:after="60" w:before="60" w:line="320"/>
        <w:jc w:val="both"/>
      </w:pPr>
      <w:r>
        <w:rPr>
          <w:rFonts w:ascii="맑은 고딕" w:cs="맑은 고딕" w:eastAsia="맑은 고딕" w:hAnsi="맑은 고딕"/>
          <w:sz w:val="20"/>
          <w:szCs w:val="20"/>
        </w:rPr>
        <w:t xml:space="preserve">롯데케미칼은 2015년 삼성 석유화학부문 인수계약을 체결하고, 2016년 2월 삼성정밀화학을 4,650억원에 인수해 롯데정밀화학으로 편입했고, 2016년 4월 삼성SDI 케미칼 사업부문을 2조 3,265억원에 인수해 롯데첨단소재로 편입하였다.[8] 총 인수금액은 약 2조 7,915억원에 달한다. 이 M&amp;A 이후 기존 롯데케미칼 시스템, 롯데정밀화학 시스템, 롯데첨단소재 시스템을 하나의 운영 체계로 묶어야 했다. 따라서 SAP S/4HANA 선택은 단순한 IT 의사결정이 아니라, 약 2조 8천억원 규모의 M&amp;A 자산을 실제 운영 시너지로 전환하기 위한 통합 경영 인프라 선택이었다.</w:t>
      </w:r>
    </w:p>
    <w:p>
      <w:pPr>
        <w:spacing w:after="60" w:before="60" w:line="320"/>
        <w:jc w:val="both"/>
      </w:pPr>
      <w:r>
        <w:rPr>
          <w:rFonts w:ascii="맑은 고딕" w:cs="맑은 고딕" w:eastAsia="맑은 고딕" w:hAnsi="맑은 고딕"/>
          <w:b/>
          <w:bCs/>
          <w:i w:val="false"/>
          <w:iCs w:val="false"/>
          <w:color w:val="000000"/>
          <w:sz w:val="20"/>
          <w:szCs w:val="20"/>
        </w:rPr>
        <w:t xml:space="preserve">(3) 10개 핵심 업무를 하나의 디지털 코어에서 운영할 필요</w:t>
      </w:r>
    </w:p>
    <w:p>
      <w:pPr>
        <w:spacing w:after="60" w:before="60" w:line="320"/>
        <w:jc w:val="both"/>
      </w:pPr>
      <w:r>
        <w:rPr>
          <w:rFonts w:ascii="맑은 고딕" w:cs="맑은 고딕" w:eastAsia="맑은 고딕" w:hAnsi="맑은 고딕"/>
          <w:sz w:val="20"/>
          <w:szCs w:val="20"/>
        </w:rPr>
        <w:t xml:space="preserve">공개 자료에 따르면 SAP S/4HANA 플랫폼에서 구매관리, 생산관리, 설비관리, 품질관리, 영업관리, 관리회계, 재무관리·자금관리, 인사관리, GRC, 화학물질관리 등 약 10개 핵심 모듈이 구동되었다.[1] 이는 SAP S/4HANA가 단순 회계 시스템이 아니라, 석유화학기업의 핵심 업무를 연결하는 전사 디지털 코어로 활용되었음을 보여준다. 특히 GRC와 화학물질관리는 글로벌 화학기업의 가장 복잡한 컴플라이언스 영역으로, 이를 단일 플랫폼에서 관리하는 구조는 본 사례의 차별적 강점이다.</w:t>
      </w:r>
    </w:p>
    <w:p>
      <w:pPr>
        <w:spacing w:after="60" w:before="60" w:line="320"/>
        <w:jc w:val="both"/>
      </w:pPr>
      <w:r>
        <w:rPr>
          <w:rFonts w:ascii="맑은 고딕" w:cs="맑은 고딕" w:eastAsia="맑은 고딕" w:hAnsi="맑은 고딕"/>
          <w:b/>
          <w:bCs/>
          <w:i w:val="false"/>
          <w:iCs w:val="false"/>
          <w:color w:val="000000"/>
          <w:sz w:val="20"/>
          <w:szCs w:val="20"/>
        </w:rPr>
        <w:t xml:space="preserve">(4) 기존 주변 시스템과의 연계 가능성</w:t>
      </w:r>
    </w:p>
    <w:p>
      <w:pPr>
        <w:spacing w:after="60" w:before="60" w:line="320"/>
        <w:jc w:val="both"/>
      </w:pPr>
      <w:r>
        <w:rPr>
          <w:rFonts w:ascii="맑은 고딕" w:cs="맑은 고딕" w:eastAsia="맑은 고딕" w:hAnsi="맑은 고딕"/>
          <w:sz w:val="20"/>
          <w:szCs w:val="20"/>
        </w:rPr>
        <w:t xml:space="preserve">공개 자료에 따르면 기존 비SAP 애플리케이션은 EAI를 통해 SAP S/4HANA와 연동되었다.[1] 이는 SAP S/4HANA가 단독 시스템이 아니라 주변 시스템(SCM·MES·PLM·LIMS·EHS·GEMS)을 연결하는 중심 플랫폼으로 채택되었음을 보여준다. 특히 2010년 구축된 GEMS와의 연계는 13년에 걸친 SAP 자산 누적 트랙의 자연스러운 확장이었다.</w:t>
      </w:r>
    </w:p>
    <w:p>
      <w:pPr>
        <w:spacing w:after="60" w:before="60" w:line="320"/>
        <w:jc w:val="both"/>
      </w:pPr>
      <w:r>
        <w:rPr>
          <w:rFonts w:ascii="맑은 고딕" w:cs="맑은 고딕" w:eastAsia="맑은 고딕" w:hAnsi="맑은 고딕"/>
          <w:b/>
          <w:bCs/>
          <w:i w:val="false"/>
          <w:iCs w:val="false"/>
          <w:color w:val="000000"/>
          <w:sz w:val="20"/>
          <w:szCs w:val="20"/>
        </w:rPr>
        <w:t xml:space="preserve">(5) Brownfield 성격의 통합형 컨버전</w:t>
      </w:r>
    </w:p>
    <w:p>
      <w:pPr>
        <w:spacing w:after="60" w:before="60" w:line="320"/>
        <w:jc w:val="both"/>
      </w:pPr>
      <w:r>
        <w:rPr>
          <w:rFonts w:ascii="맑은 고딕" w:cs="맑은 고딕" w:eastAsia="맑은 고딕" w:hAnsi="맑은 고딕"/>
          <w:sz w:val="20"/>
          <w:szCs w:val="20"/>
        </w:rPr>
        <w:t xml:space="preserve">공개 자료에 따르면 롯데케미칼의 프로젝트는 기존 SAP ECC의 데이터를 이관하고 핵심 프로세스를 유지했다는 점에서 Brownfield 성격이 강하다. 다만 본 보고서가 사용하는 'Brownfield'는 SAP 공식 방법론 분류상의 'Brownfield(System Conversion)'가 본 프로젝트의 공식 분류였음을 단정하는 것이 아니다. 공개 자료에서 확인되는 것은 '기존 SAP 운영 자산을 활용한 통합형 컨버전' 사실까지이므로, 본 보고서는 이를 'Brownfield 성격의 통합형 컨버전'으로 해석한다. 이러한 해석상의 신중함은 학술적 정직성 차원에서 필요한 표현이다. 본 사례는 3사 시스템 통합과 기준정보 정비가 함께 이루어졌다는 점에서, 단순 기술적 업그레이드라기보다 통합형 컨버전 프로젝트로 해석된다. SAP의 Selective Data Transition Engagement는 이러한 통합형 컨버전을 지원하는 공식 방법론이다.[7]</w:t>
      </w:r>
    </w:p>
    <w:p>
      <w:pPr>
        <w:spacing w:after="60" w:before="60" w:line="320"/>
        <w:jc w:val="both"/>
      </w:pPr>
      <w:r>
        <w:rPr>
          <w:rFonts w:ascii="맑은 고딕" w:cs="맑은 고딕" w:eastAsia="맑은 고딕" w:hAnsi="맑은 고딕"/>
          <w:b/>
          <w:bCs/>
          <w:i w:val="false"/>
          <w:iCs w:val="false"/>
          <w:color w:val="000000"/>
          <w:sz w:val="20"/>
          <w:szCs w:val="20"/>
        </w:rPr>
        <w:t xml:space="preserve">(6) 학술적 보강 — 본 의사결정의 합리성에 대한 실증 연구</w:t>
      </w:r>
    </w:p>
    <w:p>
      <w:pPr>
        <w:spacing w:after="60" w:before="60" w:line="320"/>
        <w:jc w:val="both"/>
      </w:pPr>
      <w:r>
        <w:rPr>
          <w:rFonts w:ascii="맑은 고딕" w:cs="맑은 고딕" w:eastAsia="맑은 고딕" w:hAnsi="맑은 고딕"/>
          <w:sz w:val="20"/>
          <w:szCs w:val="20"/>
        </w:rPr>
        <w:t xml:space="preserve">이상신(2020) 박사논문[11]은 석유화학 기업의 ERP 전환의도에 영향을 미치는 요인을 PPM(Push-Pull-Mooring) 모델로 실증 분석한 결과, '변화 거부(Loyalty)'와 '전환비용(Switching Cost)'이 ERP 전환의도에 통계적으로 유의한 부(-)의 영향을 미친다고 보고했다. 이는 본 사례에서 'Brownfield + 기존 SAP 자산 활용 + 본연 경쟁력 유지' 의사결정이 학술적으로도 합리적이었음을 뒷받침한다.</w:t>
      </w:r>
    </w:p>
    <w:p>
      <w:pPr>
        <w:spacing w:after="60" w:before="60" w:line="320"/>
        <w:jc w:val="both"/>
      </w:pPr>
      <w:r>
        <w:rPr>
          <w:rFonts w:ascii="맑은 고딕" w:cs="맑은 고딕" w:eastAsia="맑은 고딕" w:hAnsi="맑은 고딕"/>
          <w:sz w:val="20"/>
          <w:szCs w:val="20"/>
        </w:rPr>
        <w:t xml:space="preserve">또한 같은 연구는 "국내 ERP/CRM 클라우드 적용률은 21.5%, 제조/건설 대기업으로 한정하면 10.5%에 불과"하다고 보고했다.[11] 이는 2017년 시점에 차세대 ERP(S/4HANA)를 도입한 롯데케미칼의 결정이 국내 제조업 대기업 중에서도 매우 선구적이었음을 학술적으로 뒷받침한다.</w:t>
      </w:r>
    </w:p>
    <w:p>
      <w:pPr>
        <w:spacing w:after="120" w:before="280" w:line="320"/>
      </w:pPr>
      <w:r>
        <w:rPr>
          <w:rFonts w:ascii="맑은 고딕" w:cs="맑은 고딕" w:eastAsia="맑은 고딕" w:hAnsi="맑은 고딕"/>
          <w:b/>
          <w:bCs/>
          <w:sz w:val="26"/>
          <w:szCs w:val="26"/>
        </w:rPr>
        <w:t xml:space="preserve">8. 강의 이론과의 매핑 — 본 사례는 (구매 지향) ERP 도입의 어느 단계에 해당하는가</w:t>
      </w:r>
    </w:p>
    <w:p>
      <w:pPr>
        <w:spacing w:after="60" w:before="60" w:line="320"/>
        <w:jc w:val="both"/>
      </w:pPr>
      <w:r>
        <w:rPr>
          <w:rFonts w:ascii="맑은 고딕" w:cs="맑은 고딕" w:eastAsia="맑은 고딕" w:hAnsi="맑은 고딕"/>
          <w:sz w:val="20"/>
          <w:szCs w:val="20"/>
        </w:rPr>
        <w:t xml:space="preserve">본 사례를 강의 자료(#2 ERP 도입 및 시스템 구축 단계별 관리 프로세스)의 (구매 지향) 6단계 프레임에 매핑하면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강의 자료 단계</w:t>
            </w:r>
          </w:p>
        </w:tc>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본 사례 적용</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① 타당성 조사 (Make or Buy 결정)</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패키지(Buy) 결정. 다만 기존 SAP 자산이 있어 일반 Make/Buy 판단보다 '기존 자산 활용 컨버전 vs 신규 그린필드'로 의사결정 축이 이동됨. Step 2에서 다룸.</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② 요구사항 정의(분석) — RFP·벤더 서베이·Demo·계약</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본 사례에서는 SAP가 이미 정해진 상태에서 시작되어, 강의의 RFP·벤더 서베이·Long List·Demo 단계는 본질적으로 단축됨. PMO(롯데정보통신)와 Key User(박제성 정보전략담당 상무 등)는 강의의 표준 거버넌스와 일치</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③ 제품 선정(설계) — AS-IS/TO-BE GAP 분석·Baseline 설정</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Step 3에서 다룸. 본 사례는 SAP S/4HANA의 표준 프로세스 위에서 3사 통합 GAP을 BPR·Customizing·Add-on의 3트랙으로 해결</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④ 조정·테스트(구축) — Configuration·Customizing·Add-on·테스트</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Step 3에서 다룸. 본 사례의 가장 큰 강점은 13년 누적 SAP Configuration 자산의 재활용</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⑤ 구현 — Migration(Big Bang/Phased/Parallel)</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Step 3에서 다룸. 본 사례는 'Roll-out 거버넌스 + Big Bang 데이터 이관' 결합 형태로 추정</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⑥ 구현 후 검토 (PIR)</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Step 4에서 다룸. 박제성 인터뷰[1]가 직접적 PIR 자료, 2018+ 이사회 의결[9]이 후속 효과의 객관 입증</w:t>
            </w:r>
          </w:p>
        </w:tc>
      </w:tr>
    </w:tbl>
    <w:p>
      <w:pPr>
        <w:spacing w:after="60" w:before="60" w:line="320"/>
        <w:jc w:val="both"/>
      </w:pPr>
      <w:r>
        <w:rPr>
          <w:rFonts w:ascii="맑은 고딕" w:cs="맑은 고딕" w:eastAsia="맑은 고딕" w:hAnsi="맑은 고딕"/>
          <w:sz w:val="20"/>
          <w:szCs w:val="20"/>
        </w:rPr>
        <w:t xml:space="preserve">이 매핑이 보여주는 것은 본 사례가 강의 자료의 표준 프레임을 충실히 따르되, 기존 SAP 자산 보유라는 특수성으로 인해 ② RFP·벤더 서베이 단계가 본질적으로 단축된 변형 사례라는 점이다. 강의 자료(23p)는 패키지 도입의 본질을 "누구 제품을 사서 어떻게 우리 몸에 맞출까"로 정의하는데, 본 사례는 '누구 제품을 사느냐'가 이미 정해진 상태에서 '어떻게 맞출까'에 모든 의사결정을 집중한 사례로 해석될 수 있다.</w:t>
      </w:r>
    </w:p>
    <w:p>
      <w:pPr>
        <w:spacing w:after="60" w:before="180" w:line="320"/>
        <w:jc w:val="both"/>
      </w:pPr>
      <w:r>
        <w:rPr>
          <w:rFonts w:ascii="맑은 고딕" w:cs="맑은 고딕" w:eastAsia="맑은 고딕" w:hAnsi="맑은 고딕"/>
          <w:b/>
          <w:bCs/>
          <w:sz w:val="22"/>
          <w:szCs w:val="22"/>
        </w:rPr>
        <w:t xml:space="preserve">보충 설명) Escrow 협약과 본 사례의 적용</w:t>
      </w:r>
    </w:p>
    <w:p>
      <w:pPr>
        <w:spacing w:after="60" w:before="60" w:line="320"/>
        <w:jc w:val="both"/>
      </w:pPr>
      <w:r>
        <w:rPr>
          <w:rFonts w:ascii="맑은 고딕" w:cs="맑은 고딕" w:eastAsia="맑은 고딕" w:hAnsi="맑은 고딕"/>
          <w:sz w:val="20"/>
          <w:szCs w:val="20"/>
        </w:rPr>
        <w:t xml:space="preserve">강의 자료(24p)는 패키지 구매 시 소스 코드가 고객에게 제공되지 않는 경우 벤더사의 파산이나 유지보수 불능 사태에 대비하기 위한 Escrow(에스크로) 협약을 필수 안전 장치로 제시한다. 본 사례는 SAP 본사와 그룹 SI인 롯데정보통신이 함께 수행한 구조이므로, 외부 SI 대상의 표준 Escrow 협약 필요성은 일반적인 패키지 도입 대비 낮았다. SAP의 표준 라이선스 약관과 그룹 차원의 디지털 자산 통제권 확보(2018+ 이사회 의결[9])가 Escrow의 기능적 대체 장치로 작동한 것으로 해석된다.</w:t>
      </w:r>
    </w:p>
    <w:p>
      <w:pPr>
        <w:spacing w:after="120" w:before="280" w:line="320"/>
      </w:pPr>
      <w:r>
        <w:rPr>
          <w:rFonts w:ascii="맑은 고딕" w:cs="맑은 고딕" w:eastAsia="맑은 고딕" w:hAnsi="맑은 고딕"/>
          <w:b/>
          <w:bCs/>
          <w:sz w:val="26"/>
          <w:szCs w:val="26"/>
        </w:rPr>
        <w:t xml:space="preserve">9. 출처 및 근거 정리</w:t>
      </w:r>
    </w:p>
    <w:p>
      <w:pPr>
        <w:spacing w:after="60" w:before="60" w:line="320"/>
        <w:jc w:val="both"/>
      </w:pPr>
      <w:r>
        <w:rPr>
          <w:rFonts w:ascii="맑은 고딕" w:cs="맑은 고딕" w:eastAsia="맑은 고딕" w:hAnsi="맑은 고딕"/>
          <w:b/>
          <w:bCs/>
          <w:i w:val="false"/>
          <w:iCs w:val="false"/>
          <w:color w:val="0070C0"/>
          <w:sz w:val="20"/>
          <w:szCs w:val="20"/>
        </w:rPr>
        <w:t xml:space="preserve">[1] </w:t>
      </w:r>
      <w:r>
        <w:rPr>
          <w:rFonts w:ascii="맑은 고딕" w:cs="맑은 고딕" w:eastAsia="맑은 고딕" w:hAnsi="맑은 고딕"/>
          <w:b w:val="false"/>
          <w:bCs w:val="false"/>
          <w:i w:val="false"/>
          <w:iCs w:val="false"/>
          <w:color w:val="000000"/>
          <w:sz w:val="18"/>
          <w:szCs w:val="18"/>
        </w:rPr>
        <w:t xml:space="preserve">테크수다 (2019.09.11), 「ERP는 글로벌 톱 10 회사 성장의 중추 — 롯데케미칼 박제성 상무」. https://www.techsuda.com/erpneun-geulrobeol-tob-10-hoesa-seongjangyi-jungcu-rosdekemikal-bagjeseong-sangmu/</w:t>
      </w:r>
    </w:p>
    <w:p>
      <w:pPr>
        <w:spacing w:after="60" w:before="60" w:line="320"/>
        <w:jc w:val="both"/>
      </w:pPr>
      <w:r>
        <w:rPr>
          <w:rFonts w:ascii="맑은 고딕" w:cs="맑은 고딕" w:eastAsia="맑은 고딕" w:hAnsi="맑은 고딕"/>
          <w:b/>
          <w:bCs/>
          <w:i w:val="false"/>
          <w:iCs w:val="false"/>
          <w:color w:val="0070C0"/>
          <w:sz w:val="20"/>
          <w:szCs w:val="20"/>
        </w:rPr>
        <w:t xml:space="preserve">[2] </w:t>
      </w:r>
      <w:r>
        <w:rPr>
          <w:rFonts w:ascii="맑은 고딕" w:cs="맑은 고딕" w:eastAsia="맑은 고딕" w:hAnsi="맑은 고딕"/>
          <w:b w:val="false"/>
          <w:bCs w:val="false"/>
          <w:i w:val="false"/>
          <w:iCs w:val="false"/>
          <w:color w:val="000000"/>
          <w:sz w:val="18"/>
          <w:szCs w:val="18"/>
        </w:rPr>
        <w:t xml:space="preserve">롯데케미칼 공식 회사사 — 「SAP ERP 시스템과 e-Collaboration 시스템 구축」. https://www.lottechem.com/history/contentsid/645/index.do</w:t>
      </w:r>
    </w:p>
    <w:p>
      <w:pPr>
        <w:spacing w:after="60" w:before="60" w:line="320"/>
        <w:jc w:val="both"/>
      </w:pPr>
      <w:r>
        <w:rPr>
          <w:rFonts w:ascii="맑은 고딕" w:cs="맑은 고딕" w:eastAsia="맑은 고딕" w:hAnsi="맑은 고딕"/>
          <w:b/>
          <w:bCs/>
          <w:i w:val="false"/>
          <w:iCs w:val="false"/>
          <w:color w:val="0070C0"/>
          <w:sz w:val="20"/>
          <w:szCs w:val="20"/>
        </w:rPr>
        <w:t xml:space="preserve">[3] </w:t>
      </w:r>
      <w:r>
        <w:rPr>
          <w:rFonts w:ascii="맑은 고딕" w:cs="맑은 고딕" w:eastAsia="맑은 고딕" w:hAnsi="맑은 고딕"/>
          <w:b w:val="false"/>
          <w:bCs w:val="false"/>
          <w:i w:val="false"/>
          <w:iCs w:val="false"/>
          <w:color w:val="000000"/>
          <w:sz w:val="18"/>
          <w:szCs w:val="18"/>
        </w:rPr>
        <w:t xml:space="preserve">롯데케미칼 공식 회사사 — 「'SMART' ERP시스템 구축」. https://www.lottechem.com/history/contentsid/619/index.do</w:t>
      </w:r>
    </w:p>
    <w:p>
      <w:pPr>
        <w:spacing w:after="60" w:before="60" w:line="320"/>
        <w:jc w:val="both"/>
      </w:pPr>
      <w:r>
        <w:rPr>
          <w:rFonts w:ascii="맑은 고딕" w:cs="맑은 고딕" w:eastAsia="맑은 고딕" w:hAnsi="맑은 고딕"/>
          <w:b/>
          <w:bCs/>
          <w:i w:val="false"/>
          <w:iCs w:val="false"/>
          <w:color w:val="0070C0"/>
          <w:sz w:val="20"/>
          <w:szCs w:val="20"/>
        </w:rPr>
        <w:t xml:space="preserve">[4] </w:t>
      </w:r>
      <w:r>
        <w:rPr>
          <w:rFonts w:ascii="맑은 고딕" w:cs="맑은 고딕" w:eastAsia="맑은 고딕" w:hAnsi="맑은 고딕"/>
          <w:b w:val="false"/>
          <w:bCs w:val="false"/>
          <w:i w:val="false"/>
          <w:iCs w:val="false"/>
          <w:color w:val="000000"/>
          <w:sz w:val="18"/>
          <w:szCs w:val="18"/>
        </w:rPr>
        <w:t xml:space="preserve">롯데케미칼 공식 회사사 — 「지속가능한 '글로벌 Top 10 종합화학기업'을 향하여」. https://www.lottechem.com/history/contentsid/687/index.do</w:t>
      </w:r>
    </w:p>
    <w:p>
      <w:pPr>
        <w:spacing w:after="60" w:before="60" w:line="320"/>
        <w:jc w:val="both"/>
      </w:pPr>
      <w:r>
        <w:rPr>
          <w:rFonts w:ascii="맑은 고딕" w:cs="맑은 고딕" w:eastAsia="맑은 고딕" w:hAnsi="맑은 고딕"/>
          <w:b/>
          <w:bCs/>
          <w:i w:val="false"/>
          <w:iCs w:val="false"/>
          <w:color w:val="0070C0"/>
          <w:sz w:val="20"/>
          <w:szCs w:val="20"/>
        </w:rPr>
        <w:t xml:space="preserve">[5] </w:t>
      </w:r>
      <w:r>
        <w:rPr>
          <w:rFonts w:ascii="맑은 고딕" w:cs="맑은 고딕" w:eastAsia="맑은 고딕" w:hAnsi="맑은 고딕"/>
          <w:b w:val="false"/>
          <w:bCs w:val="false"/>
          <w:i w:val="false"/>
          <w:iCs w:val="false"/>
          <w:color w:val="000000"/>
          <w:sz w:val="18"/>
          <w:szCs w:val="18"/>
        </w:rPr>
        <w:t xml:space="preserve">SAP 공식 홈페이지 — 「What is SAP HANA?」. https://www.sap.com/products/data-cloud/hana.html</w:t>
      </w:r>
    </w:p>
    <w:p>
      <w:pPr>
        <w:spacing w:after="60" w:before="60" w:line="320"/>
        <w:jc w:val="both"/>
      </w:pPr>
      <w:r>
        <w:rPr>
          <w:rFonts w:ascii="맑은 고딕" w:cs="맑은 고딕" w:eastAsia="맑은 고딕" w:hAnsi="맑은 고딕"/>
          <w:b/>
          <w:bCs/>
          <w:i w:val="false"/>
          <w:iCs w:val="false"/>
          <w:color w:val="0070C0"/>
          <w:sz w:val="20"/>
          <w:szCs w:val="20"/>
        </w:rPr>
        <w:t xml:space="preserve">[6] </w:t>
      </w:r>
      <w:r>
        <w:rPr>
          <w:rFonts w:ascii="맑은 고딕" w:cs="맑은 고딕" w:eastAsia="맑은 고딕" w:hAnsi="맑은 고딕"/>
          <w:b w:val="false"/>
          <w:bCs w:val="false"/>
          <w:i w:val="false"/>
          <w:iCs w:val="false"/>
          <w:color w:val="000000"/>
          <w:sz w:val="18"/>
          <w:szCs w:val="18"/>
        </w:rPr>
        <w:t xml:space="preserve">SAP 공식 홈페이지 — 「SAP S/4HANA」. https://learning.sap.com/courses/business-processes-in-sap-s-4hana-portfolio-and-project-management/introduction-to-sap-s-4hana</w:t>
      </w:r>
    </w:p>
    <w:p>
      <w:pPr>
        <w:spacing w:after="60" w:before="60" w:line="320"/>
        <w:jc w:val="both"/>
      </w:pPr>
      <w:r>
        <w:rPr>
          <w:rFonts w:ascii="맑은 고딕" w:cs="맑은 고딕" w:eastAsia="맑은 고딕" w:hAnsi="맑은 고딕"/>
          <w:b/>
          <w:bCs/>
          <w:i w:val="false"/>
          <w:iCs w:val="false"/>
          <w:color w:val="0070C0"/>
          <w:sz w:val="20"/>
          <w:szCs w:val="20"/>
        </w:rPr>
        <w:t xml:space="preserve">[7] </w:t>
      </w:r>
      <w:r>
        <w:rPr>
          <w:rFonts w:ascii="맑은 고딕" w:cs="맑은 고딕" w:eastAsia="맑은 고딕" w:hAnsi="맑은 고딕"/>
          <w:b w:val="false"/>
          <w:bCs w:val="false"/>
          <w:i w:val="false"/>
          <w:iCs w:val="false"/>
          <w:color w:val="000000"/>
          <w:sz w:val="18"/>
          <w:szCs w:val="18"/>
        </w:rPr>
        <w:t xml:space="preserve">SAP 공식 자료 — 「Selective Data Transition Engagement」. https://support.sap.com/en/offerings-programs/support-services/data-management-landscape-transformation/selective-data-transition-engagement</w:t>
      </w:r>
    </w:p>
    <w:p>
      <w:pPr>
        <w:spacing w:after="60" w:before="60" w:line="320"/>
        <w:jc w:val="both"/>
      </w:pPr>
      <w:r>
        <w:rPr>
          <w:rFonts w:ascii="맑은 고딕" w:cs="맑은 고딕" w:eastAsia="맑은 고딕" w:hAnsi="맑은 고딕"/>
          <w:b/>
          <w:bCs/>
          <w:i w:val="false"/>
          <w:iCs w:val="false"/>
          <w:color w:val="0070C0"/>
          <w:sz w:val="20"/>
          <w:szCs w:val="20"/>
        </w:rPr>
        <w:t xml:space="preserve">[8] </w:t>
      </w:r>
      <w:r>
        <w:rPr>
          <w:rFonts w:ascii="맑은 고딕" w:cs="맑은 고딕" w:eastAsia="맑은 고딕" w:hAnsi="맑은 고딕"/>
          <w:b w:val="false"/>
          <w:bCs w:val="false"/>
          <w:i w:val="false"/>
          <w:iCs w:val="false"/>
          <w:color w:val="000000"/>
          <w:sz w:val="18"/>
          <w:szCs w:val="18"/>
        </w:rPr>
        <w:t xml:space="preserve">롯데케미칼(주), 「제42기 사업보고서」(2017년 사업연도), 2018.04.02 제출. 금융감독원 전자공시시스템 DART — 박제성 상무보 신원, 2010년 GEMS 구축, 2016년 M&amp;A 인수금액(4,650억+2조 3,265억), 2017년 연결 매출 15.87조·영업이익 2.93조 등</w:t>
      </w:r>
    </w:p>
    <w:p>
      <w:pPr>
        <w:spacing w:after="60" w:before="60" w:line="320"/>
        <w:jc w:val="both"/>
      </w:pPr>
      <w:r>
        <w:rPr>
          <w:rFonts w:ascii="맑은 고딕" w:cs="맑은 고딕" w:eastAsia="맑은 고딕" w:hAnsi="맑은 고딕"/>
          <w:b/>
          <w:bCs/>
          <w:i w:val="false"/>
          <w:iCs w:val="false"/>
          <w:color w:val="0070C0"/>
          <w:sz w:val="20"/>
          <w:szCs w:val="20"/>
        </w:rPr>
        <w:t xml:space="preserve">[9] </w:t>
      </w:r>
      <w:r>
        <w:rPr>
          <w:rFonts w:ascii="맑은 고딕" w:cs="맑은 고딕" w:eastAsia="맑은 고딕" w:hAnsi="맑은 고딕"/>
          <w:b w:val="false"/>
          <w:bCs w:val="false"/>
          <w:i w:val="false"/>
          <w:iCs w:val="false"/>
          <w:color w:val="000000"/>
          <w:sz w:val="18"/>
          <w:szCs w:val="18"/>
        </w:rPr>
        <w:t xml:space="preserve">롯데케미칼(주), 「제43기 정정 사업보고서」(2018년 사업연도), 2019.07.26 제출. 금융감독원 DART — 2018년 이사회 의결사항 (2018.02.08 그룹공통시스템·디지털혁신협의체, 2018.12.19 SAP 라이선스 추가 구매 등)</w:t>
      </w:r>
    </w:p>
    <w:p>
      <w:pPr>
        <w:spacing w:after="60" w:before="60" w:line="320"/>
        <w:jc w:val="both"/>
      </w:pPr>
      <w:r>
        <w:rPr>
          <w:rFonts w:ascii="맑은 고딕" w:cs="맑은 고딕" w:eastAsia="맑은 고딕" w:hAnsi="맑은 고딕"/>
          <w:b/>
          <w:bCs/>
          <w:i w:val="false"/>
          <w:iCs w:val="false"/>
          <w:color w:val="0070C0"/>
          <w:sz w:val="20"/>
          <w:szCs w:val="20"/>
        </w:rPr>
        <w:t xml:space="preserve">[10] </w:t>
      </w:r>
      <w:r>
        <w:rPr>
          <w:rFonts w:ascii="맑은 고딕" w:cs="맑은 고딕" w:eastAsia="맑은 고딕" w:hAnsi="맑은 고딕"/>
          <w:b w:val="false"/>
          <w:bCs w:val="false"/>
          <w:i w:val="false"/>
          <w:iCs w:val="false"/>
          <w:color w:val="000000"/>
          <w:sz w:val="18"/>
          <w:szCs w:val="18"/>
        </w:rPr>
        <w:t xml:space="preserve">롯데케미칼 공식 회사사 — 2003-04 호남석유화학 SMART ERP 구축 (Big Bang 방식, 10개월). https://www.lottechem.com/history/contentsid/645/index.do</w:t>
      </w:r>
    </w:p>
    <w:p>
      <w:pPr>
        <w:spacing w:after="60" w:before="60" w:line="320"/>
        <w:jc w:val="both"/>
      </w:pPr>
      <w:r>
        <w:rPr>
          <w:rFonts w:ascii="맑은 고딕" w:cs="맑은 고딕" w:eastAsia="맑은 고딕" w:hAnsi="맑은 고딕"/>
          <w:b/>
          <w:bCs/>
          <w:i w:val="false"/>
          <w:iCs w:val="false"/>
          <w:color w:val="0070C0"/>
          <w:sz w:val="20"/>
          <w:szCs w:val="20"/>
        </w:rPr>
        <w:t xml:space="preserve">[11] </w:t>
      </w:r>
      <w:r>
        <w:rPr>
          <w:rFonts w:ascii="맑은 고딕" w:cs="맑은 고딕" w:eastAsia="맑은 고딕" w:hAnsi="맑은 고딕"/>
          <w:b w:val="false"/>
          <w:bCs w:val="false"/>
          <w:i w:val="false"/>
          <w:iCs w:val="false"/>
          <w:color w:val="000000"/>
          <w:sz w:val="18"/>
          <w:szCs w:val="18"/>
        </w:rPr>
        <w:t xml:space="preserve">이상신 (2020.12), 「석유화학기업 IT서비스의 클라우드 서비스 전환의도에 영향을 미치는 요인에 관한 연구」, 박사학위논문, 숭실대학교 대학원 IT정책경영학과</w:t>
      </w:r>
    </w:p>
    <w:p>
      <w:pPr>
        <w:spacing w:after="60" w:before="60" w:line="320"/>
        <w:jc w:val="both"/>
      </w:pPr>
      <w:r>
        <w:rPr>
          <w:rFonts w:ascii="맑은 고딕" w:cs="맑은 고딕" w:eastAsia="맑은 고딕" w:hAnsi="맑은 고딕"/>
          <w:b/>
          <w:bCs/>
          <w:i w:val="false"/>
          <w:iCs w:val="false"/>
          <w:color w:val="0070C0"/>
          <w:sz w:val="20"/>
          <w:szCs w:val="20"/>
        </w:rPr>
        <w:t xml:space="preserve">[12] </w:t>
      </w:r>
      <w:r>
        <w:rPr>
          <w:rFonts w:ascii="맑은 고딕" w:cs="맑은 고딕" w:eastAsia="맑은 고딕" w:hAnsi="맑은 고딕"/>
          <w:b w:val="false"/>
          <w:bCs w:val="false"/>
          <w:i w:val="false"/>
          <w:iCs w:val="false"/>
          <w:color w:val="000000"/>
          <w:sz w:val="18"/>
          <w:szCs w:val="18"/>
        </w:rPr>
        <w:t xml:space="preserve">SAP 공식 자료 — 「SAP Value Assurance Service for S/4HANA」 컴포넌트 구성 자료</w:t>
      </w:r>
    </w:p>
    <w:p>
      <w:pPr>
        <w:spacing w:after="60" w:before="60" w:line="320"/>
        <w:jc w:val="both"/>
      </w:pPr>
      <w:r>
        <w:rPr>
          <w:rFonts w:ascii="맑은 고딕" w:cs="맑은 고딕" w:eastAsia="맑은 고딕" w:hAnsi="맑은 고딕"/>
          <w:b/>
          <w:bCs/>
          <w:i w:val="false"/>
          <w:iCs w:val="false"/>
          <w:color w:val="0070C0"/>
          <w:sz w:val="20"/>
          <w:szCs w:val="20"/>
        </w:rPr>
        <w:t xml:space="preserve">[13] </w:t>
      </w:r>
      <w:r>
        <w:rPr>
          <w:rFonts w:ascii="맑은 고딕" w:cs="맑은 고딕" w:eastAsia="맑은 고딕" w:hAnsi="맑은 고딕"/>
          <w:b w:val="false"/>
          <w:bCs w:val="false"/>
          <w:i w:val="false"/>
          <w:iCs w:val="false"/>
          <w:color w:val="000000"/>
          <w:sz w:val="18"/>
          <w:szCs w:val="18"/>
        </w:rPr>
        <w:t xml:space="preserve">롯데케미칼 보도자료 (2020.08.12), 「롯데케미칼, DT(Digital Transformation) 전략 추진」. https://www.lottechem.com/ko/media/news/253/view.do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ERP개론 팀프로젝트 Step2 v3</dc:title>
  <dc:creator>Hoony - Kwangwoon Univ ERP Team Project</dc:creator>
  <cp:lastModifiedBy>Un-named</cp:lastModifiedBy>
  <cp:revision>1</cp:revision>
  <dcterms:created xsi:type="dcterms:W3CDTF">2026-05-21T07:05:00.267Z</dcterms:created>
  <dcterms:modified xsi:type="dcterms:W3CDTF">2026-05-21T07:05:00.267Z</dcterms:modified>
</cp:coreProperties>
</file>

<file path=docProps/custom.xml><?xml version="1.0" encoding="utf-8"?>
<Properties xmlns="http://schemas.openxmlformats.org/officeDocument/2006/custom-properties" xmlns:vt="http://schemas.openxmlformats.org/officeDocument/2006/docPropsVTypes"/>
</file>