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20"/>
        <w:jc w:val="center"/>
      </w:pPr>
      <w:r>
        <w:rPr>
          <w:rFonts w:ascii="맑은 고딕" w:cs="맑은 고딕" w:eastAsia="맑은 고딕" w:hAnsi="맑은 고딕"/>
          <w:b/>
          <w:bCs/>
          <w:sz w:val="40"/>
          <w:szCs w:val="40"/>
        </w:rPr>
        <w:t xml:space="preserve">Step 3. 구축 단계의 의사결정과 리스크 관리 (v3)</w:t>
      </w:r>
    </w:p>
    <w:p>
      <w:pPr>
        <w:spacing w:after="80" w:before="200" w:line="320"/>
        <w:jc w:val="center"/>
      </w:pPr>
      <w:r>
        <w:rPr>
          <w:rFonts w:ascii="맑은 고딕" w:cs="맑은 고딕" w:eastAsia="맑은 고딕" w:hAnsi="맑은 고딕"/>
          <w:b/>
          <w:bCs/>
          <w:sz w:val="32"/>
          <w:szCs w:val="32"/>
        </w:rPr>
        <w:t xml:space="preserve">롯데케미칼(주) SAP S/4HANA 통합 ERP 구축 사례 분석</w:t>
      </w:r>
    </w:p>
    <w:p>
      <w:pPr>
        <w:spacing w:after="120" w:before="120"/>
      </w:pPr>
      <w:r>
        <w:rPr>
          <w:rFonts w:ascii="맑은 고딕" w:cs="맑은 고딕" w:eastAsia="맑은 고딕" w:hAnsi="맑은 고딕"/>
        </w:rPr>
        <w:t xml:space="preserve"/>
      </w:r>
    </w:p>
    <w:p>
      <w:pPr>
        <w:spacing w:after="60" w:before="60" w:line="320"/>
        <w:jc w:val="center"/>
      </w:pPr>
      <w:r>
        <w:rPr>
          <w:rFonts w:ascii="맑은 고딕" w:cs="맑은 고딕" w:eastAsia="맑은 고딕" w:hAnsi="맑은 고딕"/>
          <w:b w:val="false"/>
          <w:bCs w:val="false"/>
          <w:i w:val="false"/>
          <w:iCs w:val="false"/>
          <w:color w:val="000000"/>
          <w:sz w:val="20"/>
          <w:szCs w:val="20"/>
        </w:rPr>
        <w:t xml:space="preserve">광운대학교 경영대학 경영학부 </w:t>
      </w:r>
      <w:r>
        <w:rPr>
          <w:rFonts w:ascii="맑은 고딕" w:cs="맑은 고딕" w:eastAsia="맑은 고딕" w:hAnsi="맑은 고딕"/>
          <w:b/>
          <w:bCs/>
          <w:i w:val="false"/>
          <w:iCs w:val="false"/>
          <w:color w:val="000000"/>
          <w:sz w:val="20"/>
          <w:szCs w:val="20"/>
        </w:rPr>
        <w:t xml:space="preserve">ERP개론 팀프로젝트</w:t>
      </w:r>
    </w:p>
    <w:p>
      <w:pPr>
        <w:spacing w:after="60" w:before="60" w:line="320"/>
        <w:jc w:val="center"/>
      </w:pPr>
      <w:r>
        <w:rPr>
          <w:rFonts w:ascii="맑은 고딕" w:cs="맑은 고딕" w:eastAsia="맑은 고딕" w:hAnsi="맑은 고딕"/>
          <w:b w:val="false"/>
          <w:bCs w:val="false"/>
          <w:i w:val="false"/>
          <w:iCs w:val="false"/>
          <w:color w:val="000000"/>
          <w:sz w:val="20"/>
          <w:szCs w:val="20"/>
        </w:rPr>
        <w:t xml:space="preserve">1팀 — 신해원 · 김민아 · 김동현 · 성슬기</w:t>
      </w:r>
    </w:p>
    <w:p>
      <w:pPr>
        <w:spacing w:after="120" w:before="12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sz w:val="20"/>
          <w:szCs w:val="20"/>
        </w:rPr>
        <w:t xml:space="preserve">본 단계에서는 Step 2에서 결정된 '기존 SAP 자산을 기반으로 한 S/4HANA로의 통합형 컨버전(대안 A)' 선택을 실행에 옮기는 과정에서 롯데케미칼이 마주한 의사결정 문제들을 분석한다. 구축 단계의 본질은 단순한 기술 작업이 아니라, 7개월이라는 압축된 일정 안에서 24시간 연속 가동되는 석유화학 공장의 운영을 멈추지 않으면서, 세 회사의 서로 다른 시스템을 하나의 SAP S/4HANA 플랫폼으로 통합해야 한다는 다중 제약 조건 하의 의사결정 연쇄였다. 이 단계에서 어떤 의사결정을 어떤 합리적 근거로 내렸는지를 추적하는 것은, ERP 도입을 단순한 시스템 교체가 아니라 'M&amp;A 이후의 통합 경영 플랫폼 구축'으로 이해하는 데 본질적이다.</w:t>
      </w:r>
    </w:p>
    <w:p>
      <w:pPr>
        <w:spacing w:after="60" w:before="6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sz w:val="20"/>
          <w:szCs w:val="20"/>
        </w:rPr>
        <w:t xml:space="preserve">본 사례의 분석 기간은 2017년 4월부터 11월까지 약 7개월이며, 대상은 롯데케미칼(주)·롯데정밀화학(주)·롯데첨단소재(주) 3사의 ERP 시스템 통합 프로젝트이다. 이 프로젝트의 결과로 신규 SAP S/4HANA 1610 기반의 통합 ERP가 2017년 11월에 가동되었고, 10개 핵심 모듈(구매·생산·설비·품질·영업·관리회계·재무자금·인사·GRC·화학물질관리)이 단일 플랫폼 위에서 운영되기 시작했다.</w:t>
      </w:r>
    </w:p>
    <w:p>
      <w:pPr>
        <w:spacing w:after="60" w:before="60"/>
      </w:pPr>
      <w:r>
        <w:rPr>
          <w:rFonts w:ascii="맑은 고딕" w:cs="맑은 고딕" w:eastAsia="맑은 고딕" w:hAnsi="맑은 고딕"/>
        </w:rPr>
        <w:t xml:space="preserve"/>
      </w:r>
    </w:p>
    <w:p>
      <w:pPr>
        <w:spacing w:after="60" w:before="60" w:line="320"/>
        <w:jc w:val="both"/>
      </w:pPr>
      <w:r>
        <w:rPr>
          <w:rFonts w:ascii="맑은 고딕" w:cs="맑은 고딕" w:eastAsia="맑은 고딕" w:hAnsi="맑은 고딕"/>
          <w:b w:val="false"/>
          <w:bCs w:val="false"/>
          <w:i/>
          <w:iCs/>
          <w:color w:val="595959"/>
          <w:sz w:val="20"/>
          <w:szCs w:val="20"/>
        </w:rPr>
        <w:t xml:space="preserve">본 단계는 강의 자료(#2 ERP 도입 및 시스템 구축 단계별 관리 프로세스)의 '(구매 지향의) ERP 도입 및 구축' 4단계 프레임에 따라 분석한다. 강의 자료의 4단계는 ① 타당성 조사(Step 2에서 다룸) → ② 요구사항 정의·분석 → ③ 제품 선정·설계(AS-IS/TO-BE GAP 분석, 기준선 설정) → ④ 조정·테스트(Configuration·Customizing·Add-on) → ⑤ 구현(Migration: Big Bang/Phased/Parallel) → ⑥ 구현 후 검토(Step 4의 PIR)이다. 본 사례는 SAP가 이미 정해진 상태에서 시작했으므로 RFP·벤더 서베이·Demo·계약 등 강의의 ②번 단계 일부가 생략된 변형 형태로 진행되었다.</w:t>
      </w:r>
    </w:p>
    <w:p>
      <w:pPr>
        <w:spacing w:after="120" w:before="280" w:line="320"/>
      </w:pPr>
      <w:r>
        <w:rPr>
          <w:rFonts w:ascii="맑은 고딕" w:cs="맑은 고딕" w:eastAsia="맑은 고딕" w:hAnsi="맑은 고딕"/>
          <w:b/>
          <w:bCs/>
          <w:sz w:val="26"/>
          <w:szCs w:val="26"/>
        </w:rPr>
        <w:t xml:space="preserve">1. 본 단계의 의사결정 문제 정의</w:t>
      </w:r>
    </w:p>
    <w:p>
      <w:pPr>
        <w:spacing w:after="60" w:before="60" w:line="320"/>
        <w:jc w:val="both"/>
      </w:pPr>
      <w:r>
        <w:rPr>
          <w:rFonts w:ascii="맑은 고딕" w:cs="맑은 고딕" w:eastAsia="맑은 고딕" w:hAnsi="맑은 고딕"/>
          <w:sz w:val="20"/>
          <w:szCs w:val="20"/>
        </w:rPr>
        <w:t xml:space="preserve">구축 단계에서 롯데케미칼이 직면한 의사결정의 본질을 이해하려면, 먼저 이 프로젝트가 해결해야 했던 제약 조건들을 명시할 필요가 있다. 단순한 신규 시스템 구축이 아니라 '운영 중인 세 회사의 시스템을 멈추지 않으면서 통합하는 작업'이었기에, 일반적인 ERP 구축 프로젝트와는 본질적으로 다른 의사결정 문제들이 발생했다. 강의 자료는 프로젝트 관리의 본질을 "계획된 일정(Time) 내, 배정된 예산(Cost)을 사용하여, 합의한 업무(Scope)를 완수함으로 고객 만족(Quality)을 극대화하는 것"으로 정의한다. 본 단계는 이 3대 제약 조건이 가장 치열하게 충돌한 단계였다.</w:t>
      </w:r>
    </w:p>
    <w:p>
      <w:pPr>
        <w:spacing w:after="80" w:before="180" w:line="320"/>
      </w:pPr>
      <w:r>
        <w:rPr>
          <w:rFonts w:ascii="맑은 고딕" w:cs="맑은 고딕" w:eastAsia="맑은 고딕" w:hAnsi="맑은 고딕"/>
          <w:b/>
          <w:bCs/>
          <w:sz w:val="22"/>
          <w:szCs w:val="22"/>
        </w:rPr>
        <w:t xml:space="preserve">1.1 본 단계의 4가지 제약 조건</w:t>
      </w:r>
    </w:p>
    <w:p>
      <w:pPr>
        <w:spacing w:after="60" w:before="60" w:line="320"/>
        <w:jc w:val="both"/>
      </w:pPr>
      <w:r>
        <w:rPr>
          <w:rFonts w:ascii="맑은 고딕" w:cs="맑은 고딕" w:eastAsia="맑은 고딕" w:hAnsi="맑은 고딕"/>
          <w:b/>
          <w:bCs/>
          <w:i w:val="false"/>
          <w:iCs w:val="false"/>
          <w:color w:val="000000"/>
          <w:sz w:val="20"/>
          <w:szCs w:val="20"/>
        </w:rPr>
        <w:t xml:space="preserve">압축된 일정 (Time Constraint)</w:t>
      </w:r>
    </w:p>
    <w:p>
      <w:pPr>
        <w:spacing w:after="60" w:before="60" w:line="320"/>
        <w:jc w:val="both"/>
      </w:pPr>
      <w:r>
        <w:rPr>
          <w:rFonts w:ascii="맑은 고딕" w:cs="맑은 고딕" w:eastAsia="맑은 고딕" w:hAnsi="맑은 고딕"/>
          <w:sz w:val="20"/>
          <w:szCs w:val="20"/>
        </w:rPr>
        <w:t xml:space="preserve">SAP의 표준 신규 구축 프로젝트가 통상 18~24개월 소요되는 것과 달리, 본 프로젝트는 약 7개월(2017.04~11) 내 완료가 요구되었다. 이는 SAP S/4HANA 도입 사례 중에서도 상위권에 속하는 짧은 일정이었다.</w:t>
      </w:r>
    </w:p>
    <w:p>
      <w:pPr>
        <w:spacing w:after="60" w:before="60" w:line="320"/>
        <w:jc w:val="both"/>
      </w:pPr>
      <w:r>
        <w:rPr>
          <w:rFonts w:ascii="맑은 고딕" w:cs="맑은 고딕" w:eastAsia="맑은 고딕" w:hAnsi="맑은 고딕"/>
          <w:b/>
          <w:bCs/>
          <w:i w:val="false"/>
          <w:iCs w:val="false"/>
          <w:color w:val="000000"/>
          <w:sz w:val="20"/>
          <w:szCs w:val="20"/>
        </w:rPr>
        <w:t xml:space="preserve">24시간 연속 가동의 비즈니스 영속성 (Business Continuity)</w:t>
      </w:r>
    </w:p>
    <w:p>
      <w:pPr>
        <w:spacing w:after="60" w:before="60" w:line="320"/>
        <w:jc w:val="both"/>
      </w:pPr>
      <w:r>
        <w:rPr>
          <w:rFonts w:ascii="맑은 고딕" w:cs="맑은 고딕" w:eastAsia="맑은 고딕" w:hAnsi="맑은 고딕"/>
          <w:sz w:val="20"/>
          <w:szCs w:val="20"/>
        </w:rPr>
        <w:t xml:space="preserve">석유화학 산업은 '대규모 장치산업'이자 '연속공정' 산업으로, 가동정지시간(Downtime)을 얼마나 줄이느냐가 경쟁력의 관건이다. (이상신, 2020) 시스템 전환 과정에서의 다운타임은 즉각적인 생산·출하 손실로 이어진다.</w:t>
      </w:r>
    </w:p>
    <w:p>
      <w:pPr>
        <w:spacing w:after="60" w:before="60" w:line="320"/>
        <w:jc w:val="both"/>
      </w:pPr>
      <w:r>
        <w:rPr>
          <w:rFonts w:ascii="맑은 고딕" w:cs="맑은 고딕" w:eastAsia="맑은 고딕" w:hAnsi="맑은 고딕"/>
          <w:b/>
          <w:bCs/>
          <w:i w:val="false"/>
          <w:iCs w:val="false"/>
          <w:color w:val="000000"/>
          <w:sz w:val="20"/>
          <w:szCs w:val="20"/>
        </w:rPr>
        <w:t xml:space="preserve">3사 병존 운영 (Multi-Entity Integration)</w:t>
      </w:r>
    </w:p>
    <w:p>
      <w:pPr>
        <w:spacing w:after="60" w:before="60" w:line="320"/>
        <w:jc w:val="both"/>
      </w:pPr>
      <w:r>
        <w:rPr>
          <w:rFonts w:ascii="맑은 고딕" w:cs="맑은 고딕" w:eastAsia="맑은 고딕" w:hAnsi="맑은 고딕"/>
          <w:sz w:val="20"/>
          <w:szCs w:val="20"/>
        </w:rPr>
        <w:t xml:space="preserve">롯데케미칼(석유화학 주력) · 롯데정밀화학(정밀화학·스페셜티) · 롯데첨단소재(고기능 소재)는 각각 인수 배경과 사업 특성이 다르고, 각 사가 보유한 기존 ERP·기준정보·업무 프로세스를 그대로 유지할 수도, 일률적으로 표준화할 수도 없었다.</w:t>
      </w:r>
    </w:p>
    <w:p>
      <w:pPr>
        <w:spacing w:after="60" w:before="60" w:line="320"/>
        <w:jc w:val="both"/>
      </w:pPr>
      <w:r>
        <w:rPr>
          <w:rFonts w:ascii="맑은 고딕" w:cs="맑은 고딕" w:eastAsia="맑은 고딕" w:hAnsi="맑은 고딕"/>
          <w:b/>
          <w:bCs/>
          <w:i w:val="false"/>
          <w:iCs w:val="false"/>
          <w:color w:val="000000"/>
          <w:sz w:val="20"/>
          <w:szCs w:val="20"/>
        </w:rPr>
        <w:t xml:space="preserve">글로벌 다거점 동시 통합 (Global Multi-Site)</w:t>
      </w:r>
    </w:p>
    <w:p>
      <w:pPr>
        <w:spacing w:after="60" w:before="60" w:line="320"/>
        <w:jc w:val="both"/>
      </w:pPr>
      <w:r>
        <w:rPr>
          <w:rFonts w:ascii="맑은 고딕" w:cs="맑은 고딕" w:eastAsia="맑은 고딕" w:hAnsi="맑은 고딕"/>
          <w:sz w:val="20"/>
          <w:szCs w:val="20"/>
        </w:rPr>
        <w:t xml:space="preserve">한국 본사 외에 말레이시아(Titan), 파키스탄, 영국, 미국, 중국 등 해외 6개국 거점과 110개국 수출 채널을 지원해야 하는 구조였다. 다국가 회계기준·세무·통화·언어 요구를 단일 플랫폼 위에서 동시에 충족해야 했다.</w:t>
      </w:r>
    </w:p>
    <w:p>
      <w:pPr>
        <w:spacing w:after="60" w:before="60" w:line="320"/>
        <w:jc w:val="both"/>
      </w:pPr>
      <w:r>
        <w:rPr>
          <w:rFonts w:ascii="맑은 고딕" w:cs="맑은 고딕" w:eastAsia="맑은 고딕" w:hAnsi="맑은 고딕"/>
          <w:sz w:val="20"/>
          <w:szCs w:val="20"/>
        </w:rPr>
        <w:t xml:space="preserve">이러한 네 가지 제약 조건은 서로 강하게 충돌한다. 일정을 단축하려면 범위를 축소하거나 비용을 늘려야 하지만, 3사 통합과 글로벌 다거점이라는 범위는 축소가 불가능한 본 프로젝트의 존재 이유였다. 다운타임 최소화 요구는 일정 압박과 더불어 기술적 난도를 한층 끌어올렸다. 결과적으로 구축 단계의 핵심 의사결정은 '이 네 가지 제약을 동시에 만족시키는 방법론·범위·리스크 관리 전략의 조합'을 찾아내는 일이었다.</w:t>
      </w:r>
    </w:p>
    <w:p>
      <w:pPr>
        <w:spacing w:after="80" w:before="180" w:line="320"/>
      </w:pPr>
      <w:r>
        <w:rPr>
          <w:rFonts w:ascii="맑은 고딕" w:cs="맑은 고딕" w:eastAsia="맑은 고딕" w:hAnsi="맑은 고딕"/>
          <w:b/>
          <w:bCs/>
          <w:sz w:val="22"/>
          <w:szCs w:val="22"/>
        </w:rPr>
        <w:t xml:space="preserve">1.2 본 단계의 4가지 핵심 의사결정 문제</w:t>
      </w:r>
    </w:p>
    <w:p>
      <w:pPr>
        <w:spacing w:after="60" w:before="60" w:line="320"/>
        <w:jc w:val="both"/>
      </w:pPr>
      <w:r>
        <w:rPr>
          <w:rFonts w:ascii="맑은 고딕" w:cs="맑은 고딕" w:eastAsia="맑은 고딕" w:hAnsi="맑은 고딕"/>
          <w:sz w:val="20"/>
          <w:szCs w:val="20"/>
        </w:rPr>
        <w:t xml:space="preserve">이러한 다중 제약 하에서 롯데케미칼은 다음의 네 가지 핵심 의사결정 문제를 순차적으로 풀어야 했다.</w:t>
      </w:r>
    </w:p>
    <w:p>
      <w:pPr>
        <w:spacing w:after="60" w:before="60" w:line="320"/>
        <w:jc w:val="both"/>
      </w:pPr>
      <w:r>
        <w:rPr>
          <w:rFonts w:ascii="맑은 고딕" w:cs="맑은 고딕" w:eastAsia="맑은 고딕" w:hAnsi="맑은 고딕"/>
          <w:b/>
          <w:bCs/>
          <w:i w:val="false"/>
          <w:iCs w:val="false"/>
          <w:color w:val="000000"/>
          <w:sz w:val="20"/>
          <w:szCs w:val="20"/>
        </w:rPr>
        <w:t xml:space="preserve">① </w:t>
      </w:r>
      <w:r>
        <w:rPr>
          <w:rFonts w:ascii="맑은 고딕" w:cs="맑은 고딕" w:eastAsia="맑은 고딕" w:hAnsi="맑은 고딕"/>
          <w:b w:val="false"/>
          <w:bCs w:val="false"/>
          <w:i w:val="false"/>
          <w:iCs w:val="false"/>
          <w:color w:val="000000"/>
          <w:sz w:val="20"/>
          <w:szCs w:val="20"/>
        </w:rPr>
        <w:t xml:space="preserve">어떤 구축 방법론을 선택할 것인가? (Big Bang / Phased / Pilot / Roll-out, Greenfield / Brownfield)</w:t>
      </w:r>
    </w:p>
    <w:p>
      <w:pPr>
        <w:spacing w:after="60" w:before="60" w:line="320"/>
        <w:jc w:val="both"/>
      </w:pPr>
      <w:r>
        <w:rPr>
          <w:rFonts w:ascii="맑은 고딕" w:cs="맑은 고딕" w:eastAsia="맑은 고딕" w:hAnsi="맑은 고딕"/>
          <w:b/>
          <w:bCs/>
          <w:i w:val="false"/>
          <w:iCs w:val="false"/>
          <w:color w:val="000000"/>
          <w:sz w:val="20"/>
          <w:szCs w:val="20"/>
        </w:rPr>
        <w:t xml:space="preserve">② </w:t>
      </w:r>
      <w:r>
        <w:rPr>
          <w:rFonts w:ascii="맑은 고딕" w:cs="맑은 고딕" w:eastAsia="맑은 고딕" w:hAnsi="맑은 고딕"/>
          <w:b w:val="false"/>
          <w:bCs w:val="false"/>
          <w:i w:val="false"/>
          <w:iCs w:val="false"/>
          <w:color w:val="000000"/>
          <w:sz w:val="20"/>
          <w:szCs w:val="20"/>
        </w:rPr>
        <w:t xml:space="preserve">일정·비용·범위(Time·Cost·Scope)라는 PMBOK의 3대 제약 조건을 어떻게 통제할 것인가?</w:t>
      </w:r>
    </w:p>
    <w:p>
      <w:pPr>
        <w:spacing w:after="60" w:before="60" w:line="320"/>
        <w:jc w:val="both"/>
      </w:pPr>
      <w:r>
        <w:rPr>
          <w:rFonts w:ascii="맑은 고딕" w:cs="맑은 고딕" w:eastAsia="맑은 고딕" w:hAnsi="맑은 고딕"/>
          <w:b/>
          <w:bCs/>
          <w:i w:val="false"/>
          <w:iCs w:val="false"/>
          <w:color w:val="000000"/>
          <w:sz w:val="20"/>
          <w:szCs w:val="20"/>
        </w:rPr>
        <w:t xml:space="preserve">③ </w:t>
      </w:r>
      <w:r>
        <w:rPr>
          <w:rFonts w:ascii="맑은 고딕" w:cs="맑은 고딕" w:eastAsia="맑은 고딕" w:hAnsi="맑은 고딕"/>
          <w:b w:val="false"/>
          <w:bCs w:val="false"/>
          <w:i w:val="false"/>
          <w:iCs w:val="false"/>
          <w:color w:val="000000"/>
          <w:sz w:val="20"/>
          <w:szCs w:val="20"/>
        </w:rPr>
        <w:t xml:space="preserve">AS-IS(3사 ERP 병존)에서 TO-BE(단일 S/4HANA)로 가는 GAP을 어떻게 메울 것인가? (BPR / Customizing / Add-on의 조합)</w:t>
      </w:r>
    </w:p>
    <w:p>
      <w:pPr>
        <w:spacing w:after="60" w:before="60" w:line="320"/>
        <w:jc w:val="both"/>
      </w:pPr>
      <w:r>
        <w:rPr>
          <w:rFonts w:ascii="맑은 고딕" w:cs="맑은 고딕" w:eastAsia="맑은 고딕" w:hAnsi="맑은 고딕"/>
          <w:b/>
          <w:bCs/>
          <w:i w:val="false"/>
          <w:iCs w:val="false"/>
          <w:color w:val="000000"/>
          <w:sz w:val="20"/>
          <w:szCs w:val="20"/>
        </w:rPr>
        <w:t xml:space="preserve">④ </w:t>
      </w:r>
      <w:r>
        <w:rPr>
          <w:rFonts w:ascii="맑은 고딕" w:cs="맑은 고딕" w:eastAsia="맑은 고딕" w:hAnsi="맑은 고딕"/>
          <w:b w:val="false"/>
          <w:bCs w:val="false"/>
          <w:i w:val="false"/>
          <w:iCs w:val="false"/>
          <w:color w:val="000000"/>
          <w:sz w:val="20"/>
          <w:szCs w:val="20"/>
        </w:rPr>
        <w:t xml:space="preserve">다운타임·비즈니스 영속성·중복투자·변경관리 등 핵심 리스크를 어떻게 사전 통제할 것인가?</w:t>
      </w:r>
    </w:p>
    <w:p>
      <w:pPr>
        <w:spacing w:after="120" w:before="280" w:line="320"/>
      </w:pPr>
      <w:r>
        <w:rPr>
          <w:rFonts w:ascii="맑은 고딕" w:cs="맑은 고딕" w:eastAsia="맑은 고딕" w:hAnsi="맑은 고딕"/>
          <w:b/>
          <w:bCs/>
          <w:sz w:val="26"/>
          <w:szCs w:val="26"/>
        </w:rPr>
        <w:t xml:space="preserve">2. 구축 단계의 거버넌스: 3축 협력 구조</w:t>
      </w:r>
    </w:p>
    <w:p>
      <w:pPr>
        <w:spacing w:after="60" w:before="60" w:line="320"/>
        <w:jc w:val="both"/>
      </w:pPr>
      <w:r>
        <w:rPr>
          <w:rFonts w:ascii="맑은 고딕" w:cs="맑은 고딕" w:eastAsia="맑은 고딕" w:hAnsi="맑은 고딕"/>
          <w:sz w:val="20"/>
          <w:szCs w:val="20"/>
        </w:rPr>
        <w:t xml:space="preserve">이 정도 규모와 난도의 프로젝트는 어느 한 주체가 단독으로 추진할 수 없다. 롯데케미칼 2017 사업보고서[8]와 박제성 정보전략담당 상무 인터뷰[1]를 종합하면, 본 프로젝트의 거버넌스는 다음의 3축으로 구성되었음을 확인할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축</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주체</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역할</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근거</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발주·의사결정</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롯데케미칼 (김교현 대표이사 / 박제성 정보전략담당 상무보)</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프로젝트 거버넌스 총괄, 비즈니스 요구사항 정의, 자원 배분 의사결정</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사업보고서[8]: 박제성 = 정보전략담당 상무보, 미등기임원, 전남대 화학공학 / 김교현 = 2017년 취임 대표이사</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수행·통합</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롯데정보통신(주) (그룹 SI 계열사)</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시스템 통합(SI) 수행, 통합 운영체계 확보, 신규 SAP 플랫폼 도입을 통한 중복투자 리스크 제거</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박제성 인터뷰[1]: '롯데정보통신이 통합 운영체계를 확보, 신규 SAP 플랫폼으로 중복투자 리스크 제거'</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기술·방법론</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SAP 본사 (SAP Value Assurance Service)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S/4HANA 도입 방법론(SAP Activate) 적용, Fit-Gap 분석, Migration Planning, Go-Live Check 등 표준 컴포넌트 제공</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박제성 인터뷰[1]·SAP 공식자료[12]: 'SAP Value Assurance Service를 활용하여 다운타임 진단 114h → 실제 52h(54% 감소) 달성'</w:t>
            </w:r>
          </w:p>
        </w:tc>
      </w:tr>
    </w:tbl>
    <w:p>
      <w:pPr>
        <w:spacing w:after="60" w:before="60" w:line="320"/>
        <w:jc w:val="both"/>
      </w:pPr>
      <w:r>
        <w:rPr>
          <w:rFonts w:ascii="맑은 고딕" w:cs="맑은 고딕" w:eastAsia="맑은 고딕" w:hAnsi="맑은 고딕"/>
          <w:sz w:val="20"/>
          <w:szCs w:val="20"/>
        </w:rPr>
        <w:t xml:space="preserve">이 3축 구조의 의미는 다음 두 가지이다. 첫째, 그룹 계열사 SI(롯데정보통신)를 활용한 점은 단순한 비용 절감이 아니라, S/4HANA 가동 이후의 안정적인 운영체계 확보와 그룹 차원 IT 자산 통제권 유지라는 장기적 판단이었다. 이는 후술하는 2018년 이사회 의결사항([9]: 2018.02.08 '그룹공통시스템 사용 계약'·'디지털혁신협의체 공통 업무 추진 협약서')을 통해 사후적으로도 확인된다. 둘째, SAP 본사가 단순 라이선스 공급자가 아닌 'Value Assurance Service'라는 구조화된 컨설팅 서비스를 통해 직접 참여한 점은, 압축 일정 하의 다운타임 통제 같은 고난도 기술 리스크를 패키지 공급사의 자원으로 해결하기 위한 전략적 판단으로 해석된다.</w:t>
      </w:r>
    </w:p>
    <w:p>
      <w:pPr>
        <w:spacing w:after="120" w:before="280" w:line="320"/>
      </w:pPr>
      <w:r>
        <w:rPr>
          <w:rFonts w:ascii="맑은 고딕" w:cs="맑은 고딕" w:eastAsia="맑은 고딕" w:hAnsi="맑은 고딕"/>
          <w:b/>
          <w:bCs/>
          <w:sz w:val="26"/>
          <w:szCs w:val="26"/>
        </w:rPr>
        <w:t xml:space="preserve">3. [의사결정 ①] 구축 방법론의 선택</w:t>
      </w:r>
    </w:p>
    <w:p>
      <w:pPr>
        <w:spacing w:after="60" w:before="60" w:line="320"/>
        <w:jc w:val="both"/>
      </w:pPr>
      <w:r>
        <w:rPr>
          <w:rFonts w:ascii="맑은 고딕" w:cs="맑은 고딕" w:eastAsia="맑은 고딕" w:hAnsi="맑은 고딕"/>
          <w:sz w:val="20"/>
          <w:szCs w:val="20"/>
        </w:rPr>
        <w:t xml:space="preserve">ERP 구축 방법론은 일반적으로 ① Big Bang(전사 동시 가동) ② Phased(모듈·부서·법인 순차 가동) ③ Pilot(소규모 시범 후 확산) ④ Roll-out(기준 법인 구축 후 타 법인 확산)의 네 가지로 구분된다(이재범·고성훈, 2003 등 ERP 구축 방법론 일반론). 각 방법론은 일정·리스크·통합도·비용 측면에서 뚜렷한 트레이드오프를 갖는다.</w:t>
      </w:r>
    </w:p>
    <w:p>
      <w:pPr>
        <w:spacing w:after="80" w:before="180" w:line="320"/>
      </w:pPr>
      <w:r>
        <w:rPr>
          <w:rFonts w:ascii="맑은 고딕" w:cs="맑은 고딕" w:eastAsia="맑은 고딕" w:hAnsi="맑은 고딕"/>
          <w:b/>
          <w:bCs/>
          <w:sz w:val="22"/>
          <w:szCs w:val="22"/>
        </w:rPr>
        <w:t xml:space="preserve">3.1 4대 구축 방법론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방법론</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특징</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장점</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단점</w:t>
            </w:r>
          </w:p>
        </w:tc>
        <w:tc>
          <w:tcPr>
            <w:tcW w:type="dxa" w:w="1872"/>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본 사례 적합도</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Big Bang</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전체 모듈·법인 일시 전환</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통합 효과 즉시 발현, 과도기 비용 최소</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리스크 집중, 다운타임 길어짐</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(3사 동시 전환 시 다운타임 리스크 과대)</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Phased</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모듈/부서별 단계적 전환</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리스크 분산, 학습 효과</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통합 효과 지연, 인터페이스 부담 가중</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(7개월 일정 내 단계 분할 불가)</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Pilot</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1개 부서·법인 시범 → 본격 확산</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검증 후 확산, 실패 영향 국소화</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전체 일정 길어짐, 두 번 일하게 됨</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(7개월 일정상 시범 후 확산 불가)</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Roll-out</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기준 법인 구축 → 타 법인·거점 확산</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기준 모델 안정화 후 확산, 리스크 통제</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기준 법인 의존도 높음</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(롯데케미칼 기준 → 정밀화학·첨단소재 확산)</w:t>
            </w:r>
          </w:p>
        </w:tc>
      </w:tr>
    </w:tbl>
    <w:p>
      <w:pPr>
        <w:spacing w:after="80" w:before="180" w:line="320"/>
      </w:pPr>
      <w:r>
        <w:rPr>
          <w:rFonts w:ascii="맑은 고딕" w:cs="맑은 고딕" w:eastAsia="맑은 고딕" w:hAnsi="맑은 고딕"/>
          <w:b/>
          <w:bCs/>
          <w:sz w:val="22"/>
          <w:szCs w:val="22"/>
        </w:rPr>
        <w:t xml:space="preserve">3.2 본 사례의 방법론 선택과 그 근거</w:t>
      </w:r>
    </w:p>
    <w:p>
      <w:pPr>
        <w:spacing w:after="60" w:before="60" w:line="320"/>
        <w:jc w:val="both"/>
      </w:pPr>
      <w:r>
        <w:rPr>
          <w:rFonts w:ascii="맑은 고딕" w:cs="맑은 고딕" w:eastAsia="맑은 고딕" w:hAnsi="맑은 고딕"/>
          <w:sz w:val="20"/>
          <w:szCs w:val="20"/>
        </w:rPr>
        <w:t xml:space="preserve">박제성 정보전략담당 상무 인터뷰[1]는 본 프로젝트의 방법론을 다음과 같이 명시한다: "롯데케미칼 기준 롤아웃 형태로 프로젝트를 진행하고, 신규 SAP S/4HANA를 도입하였다. 3사 본연의 핵심 비즈니스 경쟁력을 유지하면서 각 사별 특화 프로세스를 유지하는 방향이었다."</w:t>
      </w:r>
    </w:p>
    <w:p>
      <w:pPr>
        <w:spacing w:after="60" w:before="60" w:line="320"/>
        <w:jc w:val="both"/>
      </w:pPr>
      <w:r>
        <w:rPr>
          <w:rFonts w:ascii="맑은 고딕" w:cs="맑은 고딕" w:eastAsia="맑은 고딕" w:hAnsi="맑은 고딕"/>
          <w:sz w:val="20"/>
          <w:szCs w:val="20"/>
        </w:rPr>
        <w:t xml:space="preserve">이 발언은 두 가지 의사결정을 동시에 보여준다. 첫째, 'Roll-out' 방식 선택이다. 롯데케미칼을 기준 법인으로 삼아 표준 모델을 먼저 안정화한 뒤, 정밀화학·첨단소재에 확산한다는 접근이다. 둘째, 그러나 이때의 'Roll-out'은 완전한 표준화가 아니라 '본연의 핵심 비즈니스 경쟁력 유지' 원칙을 동반한, 후술하는 GAP 분석의 'BPR + Customizing + Add-on 3트랙' 접근과 결합된 방식이라는 점이다.</w:t>
      </w:r>
    </w:p>
    <w:p>
      <w:pPr>
        <w:spacing w:after="60" w:before="60" w:line="320"/>
        <w:jc w:val="both"/>
      </w:pPr>
      <w:r>
        <w:rPr>
          <w:rFonts w:ascii="맑은 고딕" w:cs="맑은 고딕" w:eastAsia="맑은 고딕" w:hAnsi="맑은 고딕"/>
          <w:b w:val="false"/>
          <w:bCs w:val="false"/>
          <w:i/>
          <w:iCs/>
          <w:color w:val="000000"/>
          <w:sz w:val="20"/>
          <w:szCs w:val="20"/>
        </w:rPr>
        <w:t xml:space="preserve">한 가지 표현상 주의 사항을 명시한다. 본 보고서가 사용한 'Brownfield' 표현은 SAP 공식 방법론 분류상의 'Brownfield(System Conversion)'가 본 프로젝트의 공식 분류였음을 단정하는 것이 아니다. 공개 자료(박제성 인터뷰[1], SAP Korea 자료[6])에서는 본 프로젝트가 기존 SAP 운영 자산을 활용하여 S/4HANA 기반 통합 ERP로 전환한 사례로 확인되며, 본 보고서는 이를 'Brownfield 성격의 통합형 컨버전'으로 해석한다. 이러한 해석상의 신중함은 학생 발표의 학술적 정직성 측면에서도 필요한 부분이다.</w:t>
      </w:r>
    </w:p>
    <w:p>
      <w:pPr>
        <w:spacing w:after="80" w:before="180" w:line="320"/>
      </w:pPr>
      <w:r>
        <w:rPr>
          <w:rFonts w:ascii="맑은 고딕" w:cs="맑은 고딕" w:eastAsia="맑은 고딕" w:hAnsi="맑은 고딕"/>
          <w:b/>
          <w:bCs/>
          <w:sz w:val="22"/>
          <w:szCs w:val="22"/>
        </w:rPr>
        <w:t xml:space="preserve">역사적 맥락: 2003년 SMART에서 2017년 S/4HANA로</w:t>
      </w:r>
    </w:p>
    <w:p>
      <w:pPr>
        <w:spacing w:after="60" w:before="60" w:line="320"/>
        <w:jc w:val="both"/>
      </w:pPr>
      <w:r>
        <w:rPr>
          <w:rFonts w:ascii="맑은 고딕" w:cs="맑은 고딕" w:eastAsia="맑은 고딕" w:hAnsi="맑은 고딕"/>
          <w:sz w:val="20"/>
          <w:szCs w:val="20"/>
        </w:rPr>
        <w:t xml:space="preserve">흥미로운 점은 롯데케미칼(당시 호남석유화학)이 이미 2003~04년에 'SMART'라는 명칭의 SAP 기반 ERP를 도입한 경험이 있다는 점이다. 롯데케미칼 공식 회사사[10]에 따르면, 당시 SMART는 빅뱅(Big Bang) 방식으로 단 10개월 만에 구축되었다. 업계 평균 1.5~2년에 비해 매우 단축된 일정이었다. 더 나아가 이 회사는 2010년에는 석유화학업계 최초로 SAP 기반 GEMS(Greenhouse Gas &amp; Energy Management System)를 구축하였다[8]. 즉, 2017년 S/4HANA 도입 시점에 롯데케미칼은 이미 13년 이상의 SAP 자산 운영 경험을 축적하고 있었다.</w:t>
      </w:r>
    </w:p>
    <w:p>
      <w:pPr>
        <w:spacing w:after="60" w:before="60" w:line="320"/>
        <w:jc w:val="both"/>
      </w:pPr>
      <w:r>
        <w:rPr>
          <w:rFonts w:ascii="맑은 고딕" w:cs="맑은 고딕" w:eastAsia="맑은 고딕" w:hAnsi="맑은 고딕"/>
          <w:sz w:val="20"/>
          <w:szCs w:val="20"/>
        </w:rPr>
        <w:t xml:space="preserve">이 역사적 맥락은 본 프로젝트의 방법론 선택을 재해석하게 한다. 2003년 SMART는 단일 법인(호남석유화학)의 신규 도입이었기에 빅뱅이 가능했다. 그러나 2017년에는 (i) 3사 통합, (ii) 글로벌 다거점, (iii) 운영 중 시스템 전환이라는 조건이 추가되었고, 빅뱅 방식은 다운타임 리스크와 비즈니스 영속성 위험을 감내할 수 없는 수준으로 키웠다. 그래서 2017년에는 ‘롯데케미칼 기준 → 타사 확산’이라는 Roll-out 형태와 통합형 컨버전(Brownfield 성격, 기존 SAP 자산 활용) 전략이 결합된, 사실상 진화된 방법론으로 전환된 것이다.</w:t>
      </w:r>
    </w:p>
    <w:p>
      <w:pPr>
        <w:spacing w:after="80" w:before="180" w:line="320"/>
      </w:pPr>
      <w:r>
        <w:rPr>
          <w:rFonts w:ascii="맑은 고딕" w:cs="맑은 고딕" w:eastAsia="맑은 고딕" w:hAnsi="맑은 고딕"/>
          <w:b/>
          <w:bCs/>
          <w:sz w:val="22"/>
          <w:szCs w:val="22"/>
        </w:rPr>
        <w:t xml:space="preserve">Roll-out 선택의 3대 근거</w:t>
      </w:r>
    </w:p>
    <w:p>
      <w:pPr>
        <w:spacing w:after="60" w:before="60" w:line="320"/>
        <w:jc w:val="both"/>
      </w:pPr>
      <w:r>
        <w:rPr>
          <w:rFonts w:ascii="맑은 고딕" w:cs="맑은 고딕" w:eastAsia="맑은 고딕" w:hAnsi="맑은 고딕"/>
          <w:sz w:val="20"/>
          <w:szCs w:val="20"/>
        </w:rPr>
        <w:t xml:space="preserve">① 기준 법인의 확립된 SAP 자산 활용: 롯데케미칼은 2003년 SMART에서 시작해 2010년 GEMS, 그리고 2017년까지 누적된 SAP 기반 업무 프로세스·기준정보·사용자 경험을 보유한 상태였다. 이를 기준 모델로 삼는 것은 'Scope 0(처음부터)'에서 시작하지 않을 수 있다는 결정적 이점이었다.</w:t>
      </w:r>
    </w:p>
    <w:p>
      <w:pPr>
        <w:spacing w:after="60" w:before="60" w:line="320"/>
        <w:jc w:val="both"/>
      </w:pPr>
      <w:r>
        <w:rPr>
          <w:rFonts w:ascii="맑은 고딕" w:cs="맑은 고딕" w:eastAsia="맑은 고딕" w:hAnsi="맑은 고딕"/>
          <w:sz w:val="20"/>
          <w:szCs w:val="20"/>
        </w:rPr>
        <w:t xml:space="preserve">② 비즈니스 영속성 리스크 분산: 3사를 동시에 전환할 경우 한 사의 시스템 장애가 전체로 확산될 위험이 컸다. 롯데케미칼을 먼저 안정화하고 정밀화학·첨단소재로 확산함으로써 리스크 노출 시점을 분산할 수 있었다.</w:t>
      </w:r>
    </w:p>
    <w:p>
      <w:pPr>
        <w:spacing w:after="60" w:before="60" w:line="320"/>
        <w:jc w:val="both"/>
      </w:pPr>
      <w:r>
        <w:rPr>
          <w:rFonts w:ascii="맑은 고딕" w:cs="맑은 고딕" w:eastAsia="맑은 고딕" w:hAnsi="맑은 고딕"/>
          <w:sz w:val="20"/>
          <w:szCs w:val="20"/>
        </w:rPr>
        <w:t xml:space="preserve">③ 통합형 컨버전(Brownfield 성격)과의 정합성: SAP가 공식적으로 권장하는 ECC → S/4HANA 전환 경로 중 ‘System Conversion(통합형 컨버전)’은 기존 시스템의 데이터·커스터마이징을 그대로 이관하는 방식이다. 기준 법인(롯데케미칼)에 이미 SAP가 운영 중이었기에, 신규 그린필드 도입보다 컨버전 방식이 일정·비용·리스크 측면에서 압도적으로 유리했다.</w:t>
      </w:r>
    </w:p>
    <w:p>
      <w:pPr>
        <w:spacing w:after="120" w:before="280" w:line="320"/>
      </w:pPr>
      <w:r>
        <w:rPr>
          <w:rFonts w:ascii="맑은 고딕" w:cs="맑은 고딕" w:eastAsia="맑은 고딕" w:hAnsi="맑은 고딕"/>
          <w:b/>
          <w:bCs/>
          <w:sz w:val="26"/>
          <w:szCs w:val="26"/>
        </w:rPr>
        <w:t xml:space="preserve">4. [의사결정 ②] 3대 제약 조건의 통제: Time, Cost, Scope</w:t>
      </w:r>
    </w:p>
    <w:p>
      <w:pPr>
        <w:spacing w:after="60" w:before="60" w:line="320"/>
        <w:jc w:val="both"/>
      </w:pPr>
      <w:r>
        <w:rPr>
          <w:rFonts w:ascii="맑은 고딕" w:cs="맑은 고딕" w:eastAsia="맑은 고딕" w:hAnsi="맑은 고딕"/>
          <w:sz w:val="20"/>
          <w:szCs w:val="20"/>
        </w:rPr>
        <w:t xml:space="preserve">프로젝트 관리의 고전적 프레임워크인 'Iron Triangle(일정·비용·범위)'은 본 프로젝트에도 그대로 적용되었다. 다만 본 사례에서 공개된 정보는 일정과 범위에 집중되어 있고, 구체적 투자금액은 비공개로 남아 있다. 이 한계를 명시하면서 각 항목을 분석한다.</w:t>
      </w:r>
    </w:p>
    <w:p>
      <w:pPr>
        <w:spacing w:after="80" w:before="180" w:line="320"/>
      </w:pPr>
      <w:r>
        <w:rPr>
          <w:rFonts w:ascii="맑은 고딕" w:cs="맑은 고딕" w:eastAsia="맑은 고딕" w:hAnsi="맑은 고딕"/>
          <w:b/>
          <w:bCs/>
          <w:sz w:val="22"/>
          <w:szCs w:val="22"/>
        </w:rPr>
        <w:t xml:space="preserve">4.1 Time(일정): 7개월의 압축, 어떻게 가능했나</w:t>
      </w:r>
    </w:p>
    <w:p>
      <w:pPr>
        <w:spacing w:after="60" w:before="60" w:line="320"/>
        <w:jc w:val="both"/>
      </w:pPr>
      <w:r>
        <w:rPr>
          <w:rFonts w:ascii="맑은 고딕" w:cs="맑은 고딕" w:eastAsia="맑은 고딕" w:hAnsi="맑은 고딕"/>
          <w:sz w:val="20"/>
          <w:szCs w:val="20"/>
        </w:rPr>
        <w:t xml:space="preserve">본 프로젝트의 일정은 약 7개월(2017.04~11)로 추정된다. 박제성 인터뷰[1]에서 "2017년 11월 가동"이 명시되었고, 일반적인 SAP 본격 구축 착수가 회계연도 초반에 이루어진 점을 감안할 때 2017년 4~5월경 본격 개시로 추정된다.</w:t>
      </w:r>
    </w:p>
    <w:p>
      <w:pPr>
        <w:spacing w:after="60" w:before="60" w:line="320"/>
        <w:jc w:val="both"/>
      </w:pPr>
      <w:r>
        <w:rPr>
          <w:rFonts w:ascii="맑은 고딕" w:cs="맑은 고딕" w:eastAsia="맑은 고딕" w:hAnsi="맑은 고딕"/>
          <w:b/>
          <w:bCs/>
          <w:i w:val="false"/>
          <w:iCs w:val="false"/>
          <w:color w:val="000000"/>
          <w:sz w:val="20"/>
          <w:szCs w:val="20"/>
        </w:rPr>
        <w:t xml:space="preserve">이 압축 일정이 현실적으로 가능했던 4가지 근거:</w:t>
      </w:r>
    </w:p>
    <w:p>
      <w:pPr>
        <w:spacing w:after="60" w:before="60" w:line="320"/>
        <w:jc w:val="both"/>
      </w:pPr>
      <w:r>
        <w:rPr>
          <w:rFonts w:ascii="맑은 고딕" w:cs="맑은 고딕" w:eastAsia="맑은 고딕" w:hAnsi="맑은 고딕"/>
          <w:sz w:val="20"/>
          <w:szCs w:val="20"/>
        </w:rPr>
        <w:t xml:space="preserve">① 통합형 컨버전(Brownfield 성격) 방식 선택: 기준 법인인 롯데케미칼의 기존 SAP ECC 자산을 그대로 이관·전환했기에, 신규 그린필드 구축 대비 분석·설계·구현 단계의 분량이 대폭 축소되었다.</w:t>
      </w:r>
    </w:p>
    <w:p>
      <w:pPr>
        <w:spacing w:after="60" w:before="60" w:line="320"/>
        <w:jc w:val="both"/>
      </w:pPr>
      <w:r>
        <w:rPr>
          <w:rFonts w:ascii="맑은 고딕" w:cs="맑은 고딕" w:eastAsia="맑은 고딕" w:hAnsi="맑은 고딕"/>
          <w:sz w:val="20"/>
          <w:szCs w:val="20"/>
        </w:rPr>
        <w:t xml:space="preserve">② 13년 누적 SAP 운영 경험: 2003년 SMART, 2010년 GEMS 구축 경험으로 사용자 교육·변경관리 부담이 신규 도입 기업 대비 현저히 낮았다. "기존 사용자 경험과 커스터마이징 자산도 재활용할 수 있었다"는 점은 본 사례의 잘 알려지지 않은 핵심 자산이다.</w:t>
      </w:r>
    </w:p>
    <w:p>
      <w:pPr>
        <w:spacing w:after="60" w:before="60" w:line="320"/>
        <w:jc w:val="both"/>
      </w:pPr>
      <w:r>
        <w:rPr>
          <w:rFonts w:ascii="맑은 고딕" w:cs="맑은 고딕" w:eastAsia="맑은 고딕" w:hAnsi="맑은 고딕"/>
          <w:sz w:val="20"/>
          <w:szCs w:val="20"/>
        </w:rPr>
        <w:t xml:space="preserve">③ 그룹 계열 SI(롯데정보통신)와의 사전 협업 체계: 외부 SI 공모·선정·온보딩 절차를 생략할 수 있었고, 그룹 차원의 IT 자산·인력 풀을 즉시 동원할 수 있었다.</w:t>
      </w:r>
    </w:p>
    <w:p>
      <w:pPr>
        <w:spacing w:after="60" w:before="60" w:line="320"/>
        <w:jc w:val="both"/>
      </w:pPr>
      <w:r>
        <w:rPr>
          <w:rFonts w:ascii="맑은 고딕" w:cs="맑은 고딕" w:eastAsia="맑은 고딕" w:hAnsi="맑은 고딕"/>
          <w:sz w:val="20"/>
          <w:szCs w:val="20"/>
        </w:rPr>
        <w:t xml:space="preserve">④ SAP Value Assurance Service의 구조화된 컨설팅 지원: SAP 공식 자료[12]에 따르면 이 서비스는 Fit-Gap Analysis, Migration Planning Workshop, Go-Live Readiness Check, Custom Code Management Architecture, Data Migration Architecture 등 표준 컴포넌트로 구성되어 있어, 자체 개발 방법론을 처음부터 만들 필요 없이 검증된 절차를 그대로 따를 수 있었다.</w:t>
      </w:r>
    </w:p>
    <w:p>
      <w:pPr>
        <w:spacing w:after="80" w:before="180" w:line="320"/>
      </w:pPr>
      <w:r>
        <w:rPr>
          <w:rFonts w:ascii="맑은 고딕" w:cs="맑은 고딕" w:eastAsia="맑은 고딕" w:hAnsi="맑은 고딕"/>
          <w:b/>
          <w:bCs/>
          <w:sz w:val="22"/>
          <w:szCs w:val="22"/>
        </w:rPr>
        <w:t xml:space="preserve">4.2 Cost(비용): 비용 회피형 관리로의 재정의</w:t>
      </w:r>
    </w:p>
    <w:p>
      <w:pPr>
        <w:spacing w:after="60" w:before="60" w:line="320"/>
        <w:jc w:val="both"/>
      </w:pPr>
      <w:r>
        <w:rPr>
          <w:rFonts w:ascii="맑은 고딕" w:cs="맑은 고딕" w:eastAsia="맑은 고딕" w:hAnsi="맑은 고딕"/>
          <w:sz w:val="20"/>
          <w:szCs w:val="20"/>
        </w:rPr>
        <w:t xml:space="preserve">본 프로젝트의 총 투자비는 공개되지 않았으므로, 본 보고서는 Cost 제약을 직접 금액이 아니라 '비용 발생 구조의 통제 방식'으로 분석한다. 강의 자료의 PMBOK 3대 제약 프레임에서 Cost는 '비용 및 자원'으로 정의되는데[강의 자료 5p], 본 사례는 이 Cost를 '최소 투자'가 아니라 '중복투자와 전환 리스크 비용을 줄이는 비용 회피형 관리'에 가깝게 운영했다.</w:t>
      </w:r>
    </w:p>
    <w:p>
      <w:pPr>
        <w:spacing w:after="60" w:before="60" w:line="320"/>
        <w:jc w:val="both"/>
      </w:pPr>
      <w:r>
        <w:rPr>
          <w:rFonts w:ascii="맑은 고딕" w:cs="맑은 고딕" w:eastAsia="맑은 고딕" w:hAnsi="맑은 고딕"/>
          <w:sz w:val="20"/>
          <w:szCs w:val="20"/>
        </w:rPr>
        <w:t xml:space="preserve">롯데케미칼은 다음의 4가지 비용 발생 구조를 통제하여 신규 구축 대비 전체 프로젝트 비용을 낮추었다.</w:t>
      </w:r>
    </w:p>
    <w:p>
      <w:pPr>
        <w:spacing w:after="60" w:before="60" w:line="320"/>
        <w:jc w:val="both"/>
      </w:pPr>
      <w:r>
        <w:rPr>
          <w:rFonts w:ascii="맑은 고딕" w:cs="맑은 고딕" w:eastAsia="맑은 고딕" w:hAnsi="맑은 고딕"/>
          <w:b/>
          <w:bCs/>
          <w:i w:val="false"/>
          <w:iCs w:val="false"/>
          <w:color w:val="000000"/>
          <w:sz w:val="20"/>
          <w:szCs w:val="20"/>
        </w:rPr>
        <w:t xml:space="preserve">① 기존 SAP 자산 재활용으로 신규 구축비 회피: </w:t>
      </w:r>
      <w:r>
        <w:rPr>
          <w:rFonts w:ascii="맑은 고딕" w:cs="맑은 고딕" w:eastAsia="맑은 고딕" w:hAnsi="맑은 고딕"/>
          <w:b w:val="false"/>
          <w:bCs w:val="false"/>
          <w:i w:val="false"/>
          <w:iCs w:val="false"/>
          <w:color w:val="000000"/>
          <w:sz w:val="20"/>
          <w:szCs w:val="20"/>
        </w:rPr>
        <w:t xml:space="preserve">기준 법인의 SAP 데이터(자재·거래처·계정·조직 코드 등)와 13년 누적된 사용자 경험·커스터마이징 자산을 재활용함으로써 신규 그린필드 구축 대비 분석·설계·구현 단계의 분량과 비용을 대폭 축소</w:t>
      </w:r>
    </w:p>
    <w:p>
      <w:pPr>
        <w:spacing w:after="60" w:before="60" w:line="320"/>
        <w:jc w:val="both"/>
      </w:pPr>
      <w:r>
        <w:rPr>
          <w:rFonts w:ascii="맑은 고딕" w:cs="맑은 고딕" w:eastAsia="맑은 고딕" w:hAnsi="맑은 고딕"/>
          <w:b/>
          <w:bCs/>
          <w:i w:val="false"/>
          <w:iCs w:val="false"/>
          <w:color w:val="000000"/>
          <w:sz w:val="20"/>
          <w:szCs w:val="20"/>
        </w:rPr>
        <w:t xml:space="preserve">② 그룹 SI(롯데정보통신) 활용으로 외부 SI 입찰·온보딩 비용 회피: </w:t>
      </w:r>
      <w:r>
        <w:rPr>
          <w:rFonts w:ascii="맑은 고딕" w:cs="맑은 고딕" w:eastAsia="맑은 고딕" w:hAnsi="맑은 고딕"/>
          <w:b w:val="false"/>
          <w:bCs w:val="false"/>
          <w:i w:val="false"/>
          <w:iCs w:val="false"/>
          <w:color w:val="000000"/>
          <w:sz w:val="20"/>
          <w:szCs w:val="20"/>
        </w:rPr>
        <w:t xml:space="preserve">외부 글로벌 SI(Accenture·IBM·Deloitte 등) 공모·선정·온보딩 절차 생략. 그룹 차원의 IT 인력 풀 즉시 동원</w:t>
      </w:r>
    </w:p>
    <w:p>
      <w:pPr>
        <w:spacing w:after="60" w:before="60" w:line="320"/>
        <w:jc w:val="both"/>
      </w:pPr>
      <w:r>
        <w:rPr>
          <w:rFonts w:ascii="맑은 고딕" w:cs="맑은 고딕" w:eastAsia="맑은 고딕" w:hAnsi="맑은 고딕"/>
          <w:b/>
          <w:bCs/>
          <w:i w:val="false"/>
          <w:iCs w:val="false"/>
          <w:color w:val="000000"/>
          <w:sz w:val="20"/>
          <w:szCs w:val="20"/>
        </w:rPr>
        <w:t xml:space="preserve">③ 3사 시스템 단일화로 중복 운영비 제거: </w:t>
      </w:r>
      <w:r>
        <w:rPr>
          <w:rFonts w:ascii="맑은 고딕" w:cs="맑은 고딕" w:eastAsia="맑은 고딕" w:hAnsi="맑은 고딕"/>
          <w:b w:val="false"/>
          <w:bCs w:val="false"/>
          <w:i w:val="false"/>
          <w:iCs w:val="false"/>
          <w:color w:val="000000"/>
          <w:sz w:val="20"/>
          <w:szCs w:val="20"/>
        </w:rPr>
        <w:t xml:space="preserve">3사 ERP 병존 시 발생하던 중복 라이선스·유지보수·인프라 비용을 단일 플랫폼으로 통합. 박제성 인터뷰[1]의 "롯데정보통신이 통합 운영체계를 확보하고 신규 SAP 플랫폼 도입으로 중복투자 리스크를 제거" 발언이 직접 증거</w:t>
      </w:r>
    </w:p>
    <w:p>
      <w:pPr>
        <w:spacing w:after="60" w:before="60" w:line="320"/>
        <w:jc w:val="both"/>
      </w:pPr>
      <w:r>
        <w:rPr>
          <w:rFonts w:ascii="맑은 고딕" w:cs="맑은 고딕" w:eastAsia="맑은 고딕" w:hAnsi="맑은 고딕"/>
          <w:b/>
          <w:bCs/>
          <w:i w:val="false"/>
          <w:iCs w:val="false"/>
          <w:color w:val="000000"/>
          <w:sz w:val="20"/>
          <w:szCs w:val="20"/>
        </w:rPr>
        <w:t xml:space="preserve">④ SAP Value Assurance Service로 전환 리스크 비용 통제: </w:t>
      </w:r>
      <w:r>
        <w:rPr>
          <w:rFonts w:ascii="맑은 고딕" w:cs="맑은 고딕" w:eastAsia="맑은 고딕" w:hAnsi="맑은 고딕"/>
          <w:b w:val="false"/>
          <w:bCs w:val="false"/>
          <w:i w:val="false"/>
          <w:iCs w:val="false"/>
          <w:color w:val="000000"/>
          <w:sz w:val="20"/>
          <w:szCs w:val="20"/>
        </w:rPr>
        <w:t xml:space="preserve">다운타임 단축(114h→52h)으로 잠재적 가동중단 손실 회피. 자체 개발 방법론으로 시행착오를 겪지 않고 검증된 절차 활용으로 재작업·일정 지연 비용 회피[12]</w:t>
      </w:r>
    </w:p>
    <w:p>
      <w:pPr>
        <w:spacing w:after="60" w:before="60" w:line="320"/>
        <w:jc w:val="both"/>
      </w:pPr>
      <w:r>
        <w:rPr>
          <w:rFonts w:ascii="맑은 고딕" w:cs="맑은 고딕" w:eastAsia="맑은 고딕" w:hAnsi="맑은 고딕"/>
          <w:sz w:val="20"/>
          <w:szCs w:val="20"/>
        </w:rPr>
        <w:t xml:space="preserve">이러한 4가지 통제 메커니즘은 본 사례의 Cost 관리가 '최소 비용'이 아닌 '비용 회피형 관리'였음을 보여준다. 투자 규모는 공개되지 않았지만, 후속 사업보고서[9]에 2018.12.19 이사회에서 'SAP 라이선스 추가 구매'가 의결된 점은 본 프로젝트의 비용 구조가 안정적으로 통제되었기에 추가 투자 확장이 가능했음을 간접 입증한다.</w:t>
      </w:r>
    </w:p>
    <w:p>
      <w:pPr>
        <w:spacing w:after="80" w:before="180" w:line="320"/>
      </w:pPr>
      <w:r>
        <w:rPr>
          <w:rFonts w:ascii="맑은 고딕" w:cs="맑은 고딕" w:eastAsia="맑은 고딕" w:hAnsi="맑은 고딕"/>
          <w:b/>
          <w:bCs/>
          <w:sz w:val="22"/>
          <w:szCs w:val="22"/>
        </w:rPr>
        <w:t xml:space="preserve">4.3 Scope(범위): 3축의 균형</w:t>
      </w:r>
    </w:p>
    <w:p>
      <w:pPr>
        <w:spacing w:after="60" w:before="60" w:line="320"/>
        <w:jc w:val="both"/>
      </w:pPr>
      <w:r>
        <w:rPr>
          <w:rFonts w:ascii="맑은 고딕" w:cs="맑은 고딕" w:eastAsia="맑은 고딕" w:hAnsi="맑은 고딕"/>
          <w:sz w:val="20"/>
          <w:szCs w:val="20"/>
        </w:rPr>
        <w:t xml:space="preserve">본 프로젝트의 범위는 다음과 같이 정의되었다. 박제성 인터뷰[1] 및 사업보고서[8]를 종합한다.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범위 축</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구체 내용</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법인 축</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롯데케미칼(주) + 롯데정밀화학(주) + 롯데첨단소재(주) + 해외 거점(말레이시아 Titan, 파키스탄, 영국 LC UK, 미국 LC Alabama, 중국 LC Jiaxing 등 6개국)</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모듈 축</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10개 핵심 모듈 — 구매(MM)·생산(PP)·설비(PM)·품질(QM)·영업(SD)·관리회계(CO)·재무자금(FI/TR)·인사(HR)·GRC(거버넌스·리스크·컴플라이언스)·화학물질관리(EHS) [출처 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프로세스 축</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공통 표준화 프로세스(기준정보·재무회계·구매·물류) + 각 사 본연 경쟁력 유지 영역(스페셜티 제품 개발·고기능 소재 영업·환경규제 대응 등)</w:t>
            </w:r>
          </w:p>
        </w:tc>
      </w:tr>
    </w:tbl>
    <w:p>
      <w:pPr>
        <w:spacing w:after="60" w:before="60" w:line="320"/>
        <w:jc w:val="both"/>
      </w:pPr>
      <w:r>
        <w:rPr>
          <w:rFonts w:ascii="맑은 고딕" w:cs="맑은 고딕" w:eastAsia="맑은 고딕" w:hAnsi="맑은 고딕"/>
          <w:sz w:val="20"/>
          <w:szCs w:val="20"/>
        </w:rPr>
        <w:t xml:space="preserve">범위 정의의 핵심 원칙은 '본연의 경쟁력 유지'이다. 박제성 인터뷰[1]는 "3사 본연의 핵심 비즈니스 경쟁력 유지, 각 사별 특화 프로세스 유지"를 명시했다. 이는 ERP 패키지 도입 시 흔히 발생하는 'Best Practice 강제 적용 vs 현행 업무 보존'의 딜레마에서 후자에 더 큰 가중치를 두었음을 의미한다.</w:t>
      </w:r>
    </w:p>
    <w:p>
      <w:pPr>
        <w:spacing w:after="60" w:before="60" w:line="320"/>
        <w:jc w:val="both"/>
      </w:pPr>
      <w:r>
        <w:rPr>
          <w:rFonts w:ascii="맑은 고딕" w:cs="맑은 고딕" w:eastAsia="맑은 고딕" w:hAnsi="맑은 고딕"/>
          <w:sz w:val="20"/>
          <w:szCs w:val="20"/>
        </w:rPr>
        <w:t xml:space="preserve">왜 이런 선택을 했는가? 분석적으로 추론하면 다음과 같다. ① 정밀화학과 첨단소재는 인수 직전(2016년)까지 각각 삼성그룹 계열사로 독자적 비즈니스 모델과 프로세스를 보유하고 있었다[8]. 이들의 차별화된 프로세스는 곧 인수 이유였다. ② 강제 표준화는 사용자 저항과 비즈니스 성과 저하(납기 지연·재고 증가)를 유발하는 핵심 리스크 요인이다(이상신, 2020[11]: '변화 거부'와 '전환 비용'이 ERP 전환의도에 부정적 영향을 미친다는 실증 결과). ③ M&amp;A 직후의 빠른 강제 통합은 '인수된 회사의 핵심 인재 유출'이라는 더 큰 리스크를 초래할 수 있다. 따라서 '표준화 + 특화 유지'의 균형이 단순한 절충이 아니라, 비즈니스 영속성 리스크를 통제하기 위한 적극적 의사결정이었다고 해석된다.</w:t>
      </w:r>
    </w:p>
    <w:p>
      <w:pPr>
        <w:spacing w:after="80" w:before="180" w:line="320"/>
      </w:pPr>
      <w:r>
        <w:rPr>
          <w:rFonts w:ascii="맑은 고딕" w:cs="맑은 고딕" w:eastAsia="맑은 고딕" w:hAnsi="맑은 고딕"/>
          <w:b/>
          <w:bCs/>
          <w:sz w:val="22"/>
          <w:szCs w:val="22"/>
        </w:rPr>
        <w:t xml:space="preserve">4.4 Configuration의 중요성: 패키지 도입의 가장 큰 위험요소</w:t>
      </w:r>
    </w:p>
    <w:p>
      <w:pPr>
        <w:spacing w:after="60" w:before="60" w:line="320"/>
        <w:jc w:val="both"/>
      </w:pPr>
      <w:r>
        <w:rPr>
          <w:rFonts w:ascii="맑은 고딕" w:cs="맑은 고딕" w:eastAsia="맑은 고딕" w:hAnsi="맑은 고딕"/>
          <w:sz w:val="20"/>
          <w:szCs w:val="20"/>
        </w:rPr>
        <w:t xml:space="preserve">강의 자료의 (구매 지향) 조정·테스트 단계는 다음과 같이 명시한다(강의 자료 29p):</w:t>
      </w:r>
    </w:p>
    <w:p>
      <w:pPr>
        <w:spacing w:after="60" w:before="60" w:line="320"/>
        <w:jc w:val="both"/>
      </w:pPr>
      <w:r>
        <w:rPr>
          <w:rFonts w:ascii="맑은 고딕" w:cs="맑은 고딕" w:eastAsia="맑은 고딕" w:hAnsi="맑은 고딕"/>
          <w:b w:val="false"/>
          <w:bCs w:val="false"/>
          <w:i/>
          <w:iCs/>
          <w:color w:val="404040"/>
          <w:sz w:val="20"/>
          <w:szCs w:val="20"/>
        </w:rPr>
        <w:t xml:space="preserve">"선정된 패키지의 표준 기능을 자사 프로세스에 맞게 파라미터를 조정하는 설정(Configuration) 작업과, 패키지에 없는 기능을 별도로 개발하는 커스터마이징(Customizing/Add-on)을 병행한다. 파라미터의 적절하지 않은 설정은 패키지 구현 시 가장 큰 위험요소이다."</w:t>
      </w:r>
    </w:p>
    <w:p>
      <w:pPr>
        <w:spacing w:after="60" w:before="60" w:line="320"/>
        <w:jc w:val="both"/>
      </w:pPr>
      <w:r>
        <w:rPr>
          <w:rFonts w:ascii="맑은 고딕" w:cs="맑은 고딕" w:eastAsia="맑은 고딕" w:hAnsi="맑은 고딕"/>
          <w:sz w:val="20"/>
          <w:szCs w:val="20"/>
        </w:rPr>
        <w:t xml:space="preserve">본 사례에서 Configuration은 SAP S/4HANA의 10개 모듈(MM·PP·PM·QM·SD·CO·FI·HR·GRC·EHS) 각각에서 수천 개의 파라미터 설정을 의미한다. 예를 들어 MM(구매관리) 모듈에서는 회사 코드·구매 조직·플랜트·저장위치·자재 그룹·전표 유형 등 수십 개의 마스터 파라미터가 정확히 설정되어야 한다. 본 프로젝트는 13년 누적된 기존 SAP ECC의 Configuration을 컨버전 방식으로 이관함으로써, 신규 그린필드 도입 대비 Configuration 리스크를 본질적으로 낮춘 것으로 해석된다. 이는 본 사례가 7개월이라는 압축 일정 내에 안정적으로 가동될 수 있었던 결정적 요인 중 하나이다.</w:t>
      </w:r>
    </w:p>
    <w:p>
      <w:pPr>
        <w:spacing w:after="60" w:before="60" w:line="320"/>
        <w:jc w:val="both"/>
      </w:pPr>
      <w:r>
        <w:rPr>
          <w:rFonts w:ascii="맑은 고딕" w:cs="맑은 고딕" w:eastAsia="맑은 고딕" w:hAnsi="맑은 고딕"/>
          <w:sz w:val="20"/>
          <w:szCs w:val="20"/>
        </w:rPr>
        <w:t xml:space="preserve">Configuration과 Customizing의 차이는 강의 자료 Summary 표(자체 개발 vs 패키지 구매)[강의 자료 31p]에서 명확히 드러난다: 자체 개발(In-house)의 핵심 구축 작업은 '소스 코드 작성(Programming)'인 반면, 패키지 구매(Package)의 핵심 구축 작업은 '파라미터 조정(Configuration) 및 연계'이다. 본 사례는 패키지 구매(Buy) 방식이므로, 핵심 작업은 Configuration이었고, 강의 자료가 명시한 '가장 큰 위험요소'를 기존 SAP 자산 활용으로 통제한 것이 본 의사결정의 본질이다.</w:t>
      </w:r>
    </w:p>
    <w:p>
      <w:pPr>
        <w:spacing w:after="120" w:before="280" w:line="320"/>
      </w:pPr>
      <w:r>
        <w:rPr>
          <w:rFonts w:ascii="맑은 고딕" w:cs="맑은 고딕" w:eastAsia="맑은 고딕" w:hAnsi="맑은 고딕"/>
          <w:b/>
          <w:bCs/>
          <w:sz w:val="26"/>
          <w:szCs w:val="26"/>
        </w:rPr>
        <w:t xml:space="preserve">5. [의사결정 ③] AS-IS / TO-BE GAP 분석과 해결 전략</w:t>
      </w:r>
    </w:p>
    <w:p>
      <w:pPr>
        <w:spacing w:after="60" w:before="60" w:line="320"/>
        <w:jc w:val="both"/>
      </w:pPr>
      <w:r>
        <w:rPr>
          <w:rFonts w:ascii="맑은 고딕" w:cs="맑은 고딕" w:eastAsia="맑은 고딕" w:hAnsi="맑은 고딕"/>
          <w:sz w:val="20"/>
          <w:szCs w:val="20"/>
        </w:rPr>
        <w:t xml:space="preserve">ERP 도입의 가장 본질적인 의사결정 영역은 '현 상태(AS-IS)와 목표 상태(TO-BE) 사이의 격차(GAP)를 어떻게 메울 것인가'이다. GAP 해결 방식은 일반적으로 (a) BPR(Business Process Re-engineering, 업무 프로세스 재설계로 표준 패키지에 맞추기) (b) Customizing(패키지 자체를 수정하여 현행 업무에 맞추기) (c) Add-on(부가 프로그램으로 보완) 세 가지로 구분된다. 이 세 방식의 조합 비율이 곧 프로젝트의 성격을 결정한다.</w:t>
      </w:r>
    </w:p>
    <w:p>
      <w:pPr>
        <w:spacing w:after="80" w:before="180" w:line="320"/>
      </w:pPr>
      <w:r>
        <w:rPr>
          <w:rFonts w:ascii="맑은 고딕" w:cs="맑은 고딕" w:eastAsia="맑은 고딕" w:hAnsi="맑은 고딕"/>
          <w:b/>
          <w:bCs/>
          <w:sz w:val="22"/>
          <w:szCs w:val="22"/>
        </w:rPr>
        <w:t xml:space="preserve">5.1 AS-IS와 TO-BE의 6대 항목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항목</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AS-IS (2017년 4월 이전)</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TO-BE (2017년 11월 이후)</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시스템 플랫폼</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롯데케미칼 SAP ECC, 정밀화학·첨단소재 각자 시스템 (구 삼성SDS 운영 추정) 3사 병존</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단일 SAP S/4HANA 1610 플랫폼</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기준정보(MDM)</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각 사별 자재·거래처·계정·조직 코드 체계 상이</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통합 기준정보 체계 (그룹 표준 코드)</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프로세스</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각 사별 독자 업무 절차, 공통 영역도 표준 부재</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공통 표준 프로세스 + 각 사 특화 프로세스 병존</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데이터 처리 성능</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ECC 기반 디스크 I/O 의존, 야간 배치 처리</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S/4HANA 인메모리 기반 실시간 처리</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글로벌 다거점 지원</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법인별 개별 시스템, 통합 가시성 부재</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단일 플랫폼 위의 다국가·다통화·다언어 지원</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디지털 전환 기반</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데이터 사일로, 분석·AI 활용 어려움</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통합 데이터 호수, DT·인텔리전트 엔터프라이즈 토대</w:t>
            </w:r>
          </w:p>
        </w:tc>
      </w:tr>
    </w:tbl>
    <w:p>
      <w:pPr>
        <w:spacing w:after="80" w:before="180" w:line="320"/>
      </w:pPr>
      <w:r>
        <w:rPr>
          <w:rFonts w:ascii="맑은 고딕" w:cs="맑은 고딕" w:eastAsia="맑은 고딕" w:hAnsi="맑은 고딕"/>
          <w:b/>
          <w:bCs/>
          <w:sz w:val="22"/>
          <w:szCs w:val="22"/>
        </w:rPr>
        <w:t xml:space="preserve">5.2 GAP 해결의 3트랙 전략</w:t>
      </w:r>
    </w:p>
    <w:p>
      <w:pPr>
        <w:spacing w:after="60" w:before="60" w:line="320"/>
        <w:jc w:val="both"/>
      </w:pPr>
      <w:r>
        <w:rPr>
          <w:rFonts w:ascii="맑은 고딕" w:cs="맑은 고딕" w:eastAsia="맑은 고딕" w:hAnsi="맑은 고딕"/>
          <w:sz w:val="20"/>
          <w:szCs w:val="20"/>
        </w:rPr>
        <w:t xml:space="preserve">박제성 인터뷰[1]에서 "3사 본연의 핵심 비즈니스 경쟁력 유지, 각 사별 특화 프로세스 유지"를 명시한 점, 그리고 10개 모듈을 7개월 내 통합 가동한 점을 종합하면, 본 프로젝트는 다음의 3트랙 전략을 채택했다고 해석할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GAP 대응 방식 (강의 용어)</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본 사례 적용 영역</w:t>
            </w:r>
          </w:p>
        </w:tc>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구체 내용</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① 업무 프로세스 변경 (BPR)
— 패키지 표준 프로세스 수용</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기준정보(자재·거래처·계정·조직), 재무회계, 구매물류 공통 프로세스, 그룹 차원 보고체계</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3사 공통 코드 체계 재설계, SAP 표준 Best Practice 채택. 통합 ROI가 명확한 영역에 집중. 강의 표현: "불필요한 프로세스는 과감히 생략하거나 표준 프로세스로 수용"(강의 자료 27p)</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② Customizing (설정 변경)
— 패키지 표준 기능의 파라미터 조정</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각 사별 특화 영업·생산·품질·고객 응대 프로세스, 본연의 경쟁력 영역</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패키지 표준 기능 위에 각 사 고유의 비즈니스 로직을 보존. SAP의 User Exit, BAdI, Enhancement Framework 등을 활용하는 표준적 접근으로 추정</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③ Add-on (추가 개발)
— 표준 기능으로 불가능한 차이</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비SAP 시스템 연계(SCM·MES·PLM·LIMS·EHS·GEMS), 화학물질관리·GRC 등 특수 영역</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EAI를 통한 외부 시스템 연동 유지. 2010년 구축된 GEMS와의 연계도 이 트랙에 포함되었을 것으로 추정[8]</w:t>
            </w:r>
          </w:p>
        </w:tc>
      </w:tr>
    </w:tbl>
    <w:p>
      <w:pPr>
        <w:spacing w:after="80" w:before="180" w:line="320"/>
      </w:pPr>
      <w:r>
        <w:rPr>
          <w:rFonts w:ascii="맑은 고딕" w:cs="맑은 고딕" w:eastAsia="맑은 고딕" w:hAnsi="맑은 고딕"/>
          <w:b/>
          <w:bCs/>
          <w:sz w:val="22"/>
          <w:szCs w:val="22"/>
        </w:rPr>
        <w:t xml:space="preserve">5.3 균형의 합리성: 어느 한 쪽에 치우치지 않는 이유</w:t>
      </w:r>
    </w:p>
    <w:p>
      <w:pPr>
        <w:spacing w:after="60" w:before="60" w:line="320"/>
        <w:jc w:val="both"/>
      </w:pPr>
      <w:r>
        <w:rPr>
          <w:rFonts w:ascii="맑은 고딕" w:cs="맑은 고딕" w:eastAsia="맑은 고딕" w:hAnsi="맑은 고딕"/>
          <w:sz w:val="20"/>
          <w:szCs w:val="20"/>
        </w:rPr>
        <w:t xml:space="preserve">BPR만으로 7개월 내 완성은 사실상 불가능하다. 3사의 모든 프로세스를 처음부터 재설계하려면 수년이 소요된다. Customizing만 의존했다면 SAP S/4HANA 도입의 가장 큰 장점인 인메모리 성능과 표준 모범사례 활용 기회를 상실했을 것이다. Add-on에만 의존했다면 통합 효과(단일 플랫폼·실시간 분석)를 얻기 어려웠을 것이다. 따라서 세 트랙의 적절한 균형은 단순한 절충이 아니라, 일정·예산·범위·리스크 제약 하에서 'ROI가 높은 영역에 표준화 자원을 집중하고, 본연의 경쟁력 영역은 보존하며, 외부 시스템 연계는 기존 자산을 최대한 활용하는' 합리적 의사결정이었다.</w:t>
      </w:r>
    </w:p>
    <w:p>
      <w:pPr>
        <w:spacing w:after="80" w:before="180" w:line="320"/>
      </w:pPr>
      <w:r>
        <w:rPr>
          <w:rFonts w:ascii="맑은 고딕" w:cs="맑은 고딕" w:eastAsia="맑은 고딕" w:hAnsi="맑은 고딕"/>
          <w:b/>
          <w:bCs/>
          <w:sz w:val="22"/>
          <w:szCs w:val="22"/>
        </w:rPr>
        <w:t xml:space="preserve">5.4 트레이드오프 시나리오: 만약 다른 조합이었다면?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가상 시나리오</w:t>
            </w:r>
          </w:p>
        </w:tc>
        <w:tc>
          <w:tcPr>
            <w:tcW w:type="dxa" w:w="4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예상 결과</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BPR 100% (강제 표준화)</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일정 미준수, 사용자 저항 폭발, 정밀화학·첨단소재의 본연 경쟁력 손상, 인수 시너지 상실</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Customizing 100% (현행 보존)</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S/4HANA의 표준 기능 활용 실패, 향후 업그레이드 부담 누적, 통합 효과 미흡</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Add-on 100% (외부 연계만)</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단일 ERP 통합 효과 부재, 데이터 일관성 문제 지속, 디지털 트랜스포메이션 기반 미확보</w:t>
            </w:r>
          </w:p>
        </w:tc>
      </w:tr>
      <w:tr>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실제 채택 (3트랙 균형)</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 7개월 가동, 다운타임 54% 단축, 3사 시너지 확보, DT 기반 마련</w:t>
            </w:r>
          </w:p>
        </w:tc>
      </w:tr>
    </w:tbl>
    <w:p>
      <w:pPr>
        <w:spacing w:after="80" w:before="180" w:line="320"/>
      </w:pPr>
      <w:r>
        <w:rPr>
          <w:rFonts w:ascii="맑은 고딕" w:cs="맑은 고딕" w:eastAsia="맑은 고딕" w:hAnsi="맑은 고딕"/>
          <w:b/>
          <w:bCs/>
          <w:sz w:val="22"/>
          <w:szCs w:val="22"/>
        </w:rPr>
        <w:t xml:space="preserve">5.5 기준선(Baseline) 설정과 Scope Creep 통제</w:t>
      </w:r>
    </w:p>
    <w:p>
      <w:pPr>
        <w:spacing w:after="60" w:before="60" w:line="320"/>
        <w:jc w:val="both"/>
      </w:pPr>
      <w:r>
        <w:rPr>
          <w:rFonts w:ascii="맑은 고딕" w:cs="맑은 고딕" w:eastAsia="맑은 고딕" w:hAnsi="맑은 고딕"/>
          <w:sz w:val="20"/>
          <w:szCs w:val="20"/>
        </w:rPr>
        <w:t xml:space="preserve">강의 자료(설계 단계 2/2, 13p)는 설계 단계의 가장 중요한 관리 활동으로 '기준선(Baseline) 설정'을 제시하며, 다음과 같이 설명한다:</w:t>
      </w:r>
    </w:p>
    <w:p>
      <w:pPr>
        <w:spacing w:after="60" w:before="60" w:line="320"/>
        <w:jc w:val="both"/>
      </w:pPr>
      <w:r>
        <w:rPr>
          <w:rFonts w:ascii="맑은 고딕" w:cs="맑은 고딕" w:eastAsia="맑은 고딕" w:hAnsi="맑은 고딕"/>
          <w:b w:val="false"/>
          <w:bCs w:val="false"/>
          <w:i/>
          <w:iCs/>
          <w:color w:val="404040"/>
          <w:sz w:val="20"/>
          <w:szCs w:val="20"/>
        </w:rPr>
        <w:t xml:space="preserve">"기준선은 설계의 마감 시점(cut-off point)으로서 설계의 동결 지점(Freezing Point)으로, 범위 변경(Scope Creep) 문제를 완화할 수 있다. 기준선을 설정한 이후의 모든 변경은 변경관리의 대상이 되어 별도의 승인절차를 통해 엄격히 제한하여야 한다."</w:t>
      </w:r>
    </w:p>
    <w:p>
      <w:pPr>
        <w:spacing w:after="60" w:before="60" w:line="320"/>
        <w:jc w:val="both"/>
      </w:pPr>
      <w:r>
        <w:rPr>
          <w:rFonts w:ascii="맑은 고딕" w:cs="맑은 고딕" w:eastAsia="맑은 고딕" w:hAnsi="맑은 고딕"/>
          <w:sz w:val="20"/>
          <w:szCs w:val="20"/>
        </w:rPr>
        <w:t xml:space="preserve">본 사례에서 이 개념은 핵심적 의미를 갖는다. 7개월이라는 압축 일정 안에 3사 × 10개 모듈 × 6개국 거점을 통합하는 본 프로젝트가 성공한 결정적 요인 중 하나는, 설계 단계에서 명확한 Baseline을 설정하고 그 이후의 모든 추가 요구사항(Scope Creep)을 엄격히 통제했기 때문으로 해석된다.</w:t>
      </w:r>
    </w:p>
    <w:p>
      <w:pPr>
        <w:spacing w:after="60" w:before="60" w:line="320"/>
        <w:jc w:val="both"/>
      </w:pPr>
      <w:r>
        <w:rPr>
          <w:rFonts w:ascii="맑은 고딕" w:cs="맑은 고딕" w:eastAsia="맑은 고딕" w:hAnsi="맑은 고딕"/>
          <w:sz w:val="20"/>
          <w:szCs w:val="20"/>
        </w:rPr>
        <w:t xml:space="preserve">본 보고서가 분석한 'BPR + Customizing + Add-on의 3트랙 전략'은 단순한 기술 선택이 아니라 Scope Creep 방지를 위한 변경관리 장치로 재해석할 수 있다. 각 트랙을 명확히 구분함으로써 "이 영역은 BPR로 표준 수용한다", "이 영역은 Customizing으로 보존한다", "이 영역은 Add-on으로 개발한다"는 의사결정 기준이 사전에 확립되었고, 프로젝트 진행 중 발생하는 추가 요구사항을 어느 트랙으로 분류할지 빠르게 판단할 수 있는 의사결정 프레임이 작동했다.</w:t>
      </w:r>
    </w:p>
    <w:p>
      <w:pPr>
        <w:spacing w:after="60" w:before="60" w:line="320"/>
        <w:jc w:val="both"/>
      </w:pPr>
      <w:r>
        <w:rPr>
          <w:rFonts w:ascii="맑은 고딕" w:cs="맑은 고딕" w:eastAsia="맑은 고딕" w:hAnsi="맑은 고딕"/>
          <w:sz w:val="20"/>
          <w:szCs w:val="20"/>
        </w:rPr>
        <w:t xml:space="preserve">강의 자료의 표현에 따르면, 본 사례는 '구매 지향(Buy)에서 최종 벤더와 제품 선정이 완료되는 시점이 곧 Baseline'이다(강의 자료 28p). 롯데케미칼은 이미 SAP를 사용 중이었으므로 벤더 선정 단계가 본질적으로 단축되었고, 이는 Baseline 설정 시점이 앞당겨져 후속 단계에 더 많은 시간 여유를 확보할 수 있었음을 의미한다.</w:t>
      </w:r>
    </w:p>
    <w:p>
      <w:pPr>
        <w:spacing w:after="120" w:before="280" w:line="320"/>
      </w:pPr>
      <w:r>
        <w:rPr>
          <w:rFonts w:ascii="맑은 고딕" w:cs="맑은 고딕" w:eastAsia="맑은 고딕" w:hAnsi="맑은 고딕"/>
          <w:b/>
          <w:bCs/>
          <w:sz w:val="26"/>
          <w:szCs w:val="26"/>
        </w:rPr>
        <w:t xml:space="preserve">6. [의사결정 ④] 리스크 관리: 5대 리스크 통제 매트릭스</w:t>
      </w:r>
    </w:p>
    <w:p>
      <w:pPr>
        <w:spacing w:after="60" w:before="60" w:line="320"/>
        <w:jc w:val="both"/>
      </w:pPr>
      <w:r>
        <w:rPr>
          <w:rFonts w:ascii="맑은 고딕" w:cs="맑은 고딕" w:eastAsia="맑은 고딕" w:hAnsi="맑은 고딕"/>
          <w:sz w:val="20"/>
          <w:szCs w:val="20"/>
        </w:rPr>
        <w:t xml:space="preserve">박제성 인터뷰[1]에서 명시적으로 언급된 리스크들과 본 프로젝트의 구조적 특성에서 도출되는 리스크들을 종합하면, 본 단계의 핵심 리스크는 다음 다섯 가지로 정리된다. 각 리스크는 발생 가능성과 영향도가 모두 높았으며, 사전 통제 메커니즘이 명확히 작동했다.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리스크 유형</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구체적 발현 양상</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통제 전략</w:t>
            </w:r>
          </w:p>
        </w:tc>
        <w:tc>
          <w:tcPr>
            <w:tcW w:type="dxa" w:w="23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line="300"/>
              <w:jc w:val="center"/>
            </w:pPr>
            <w:r>
              <w:rPr>
                <w:rFonts w:ascii="맑은 고딕" w:cs="맑은 고딕" w:eastAsia="맑은 고딕" w:hAnsi="맑은 고딕"/>
                <w:b/>
                <w:bCs/>
                <w:sz w:val="18"/>
                <w:szCs w:val="18"/>
              </w:rPr>
              <w:t xml:space="preserve">결과</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① 다운타임 리스크</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전환 과정에서 시스템 비가동 시간 발생 → 24시간 연속 가동 공장의 생산·출하 손실, 글로벌 거점 운영 마비</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SAP Value Assurance Service 적용, 지속적 테스트와 점검을 통한 다운타임 단축. Migration Planning Workshop 및 Go-Live Readiness Check 등 표준 컴포넌트 활용[12]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진단 단계 114시간 → 실제 52시간 (-54%). 약 62시간의 잠재적 손실 회피[1]</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② 비즈니스 영속성 리스크</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3사 통합 시 각 사의 본연 경쟁력 손상, 사용자 저항, 인수된 회사 핵심 인재 이탈, 특화 프로세스 소실</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'3사 본연의 핵심 비즈니스 경쟁력 유지, 각 사별 특화 프로세스 유지' 원칙 수립. Customizing 트랙을 통한 핵심 차별화 영역 보존[1]</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통합 후에도 정밀화학·첨단소재의 특화 영업·생산 프로세스 유지. M&amp;A 직후 인재 이탈 최소화</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③ 납기 지연·재고 증가 리스크</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ERP 전환기에 흔히 발생하는 정보 단절로 인한 영업·SCM 차질. 박제성 본인이 명시한 핵심 우려 사항</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단계적 데이터 검증, 병행 운영 기간 설정, 사용자 교육 강화 (구체 내용은 비공개) [1]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성공적 가동 후 안정화. 박제성 인터뷰에서 '비즈니스 성과 저하 리스크에 대응했다'고 명시</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④ 중복투자 리스크</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3사 ERP 시스템을 각자 유지·확장할 경우 라이선스·유지보수·인프라 비용 누적, IT 자산 분산 통제 어려움</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롯데정보통신을 통한 통합 운영체계 확보 + 신규 SAP 플랫폼 단일화[1]</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단일 SAP 플랫폼으로 일원화. 후속 그룹 차원의 디지털혁신협의체와 그룹공통시스템 사용으로 시너지 확장 (2018.02.08 이사회 의결[9])</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⑤ 변경관리 리스크</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사용자가 새 시스템에 적응하지 못해 활용도 저하. 이상신(2020)이 실증한 '변화 거부 → 전환의도 부정적 영향'[11]</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기존 SAP 사용자 경험 유지(13년 누적 자산 활용), 통합형 컨버전을 통한 학습 부담 최소화. 후속 사용자 교육·매뉴얼 제공</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회계부서에서 업무 시간 단축에 박수[1]. 사용자 만족도 확인. 다만 비SAP 시스템 사용자(정밀화학·첨단소재)에서는 추가 변경관리 부담이 있었을 것으로 추정</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⑥ 벤더 종속성 리스크 (Lock-in)</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패키지 도입의 본질적 리스크. 벤더사 정책 변경(가격 인상·기술 지원 종료)에 대한 노출. 강의 Summary 표[강의 자료 31p]에서 패키지 구매의 '가장 큰 리스크'로 명시</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SAP 본사와의 직접 계약 + 그룹 SI(롯데정보통신) 활용으로 협상력 확보. 13년 누적 SAP 자산으로 다른 솔루션으로의 전환 자체가 더 큰 비용이므로, Lock-in을 '인정하고 협상력으로 보완'한 의사결정으로 해석</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line="300"/>
              <w:jc w:val="left"/>
            </w:pPr>
            <w:r>
              <w:rPr>
                <w:rFonts w:ascii="맑은 고딕" w:cs="맑은 고딕" w:eastAsia="맑은 고딕" w:hAnsi="맑은 고딕"/>
                <w:b w:val="false"/>
                <w:bCs w:val="false"/>
                <w:sz w:val="18"/>
                <w:szCs w:val="18"/>
              </w:rPr>
              <w:t xml:space="preserve">후속 2018.12.19 'SAP 라이선스 추가 구매' 의결[9]은 Lock-in의 현실을 보여주는 동시에, SAP와의 장기 파트너십을 그룹 차원에서 공식화한 결과</w:t>
            </w:r>
          </w:p>
        </w:tc>
      </w:tr>
    </w:tbl>
    <w:p>
      <w:pPr>
        <w:spacing w:after="80" w:before="180" w:line="320"/>
      </w:pPr>
      <w:r>
        <w:rPr>
          <w:rFonts w:ascii="맑은 고딕" w:cs="맑은 고딕" w:eastAsia="맑은 고딕" w:hAnsi="맑은 고딕"/>
          <w:b/>
          <w:bCs/>
          <w:sz w:val="22"/>
          <w:szCs w:val="22"/>
        </w:rPr>
        <w:t xml:space="preserve">6.1 다운타임 통제의 의미: 단순한 기술 성과가 아니다</w:t>
      </w:r>
    </w:p>
    <w:p>
      <w:pPr>
        <w:spacing w:after="60" w:before="60" w:line="320"/>
        <w:jc w:val="both"/>
      </w:pPr>
      <w:r>
        <w:rPr>
          <w:rFonts w:ascii="맑은 고딕" w:cs="맑은 고딕" w:eastAsia="맑은 고딕" w:hAnsi="맑은 고딕"/>
          <w:sz w:val="20"/>
          <w:szCs w:val="20"/>
        </w:rPr>
        <w:t xml:space="preserve">다운타임 진단 114시간이 실제 52시간으로 단축된 것은 단순한 운영 효율 개선이 아니다. 석유화학 산업의 24시간 연속 가동 특성을 감안하면, 약 62시간의 비가동 시간 회피는 다음을 의미한다.</w:t>
      </w:r>
    </w:p>
    <w:p>
      <w:pPr>
        <w:spacing w:after="60" w:before="60" w:line="320"/>
        <w:jc w:val="both"/>
      </w:pPr>
      <w:r>
        <w:rPr>
          <w:rFonts w:ascii="맑은 고딕" w:cs="맑은 고딕" w:eastAsia="맑은 고딕" w:hAnsi="맑은 고딕"/>
          <w:sz w:val="20"/>
          <w:szCs w:val="20"/>
        </w:rPr>
        <w:t xml:space="preserve">① 생산 손실 회피: NCC(Naphtha Cracking Center) 같은 핵심 공정이 62시간 더 가동되면서 발생한 생산량 확보</w:t>
      </w:r>
    </w:p>
    <w:p>
      <w:pPr>
        <w:spacing w:after="60" w:before="60" w:line="320"/>
        <w:jc w:val="both"/>
      </w:pPr>
      <w:r>
        <w:rPr>
          <w:rFonts w:ascii="맑은 고딕" w:cs="맑은 고딕" w:eastAsia="맑은 고딕" w:hAnsi="맑은 고딕"/>
          <w:sz w:val="20"/>
          <w:szCs w:val="20"/>
        </w:rPr>
        <w:t xml:space="preserve">② 출하 손실 회피: 110개국 수출 채널에서의 주문·출하 흐름이 끊기지 않음으로써 글로벌 고객 신뢰 유지</w:t>
      </w:r>
    </w:p>
    <w:p>
      <w:pPr>
        <w:spacing w:after="60" w:before="60" w:line="320"/>
        <w:jc w:val="both"/>
      </w:pPr>
      <w:r>
        <w:rPr>
          <w:rFonts w:ascii="맑은 고딕" w:cs="맑은 고딕" w:eastAsia="맑은 고딕" w:hAnsi="맑은 고딕"/>
          <w:sz w:val="20"/>
          <w:szCs w:val="20"/>
        </w:rPr>
        <w:t xml:space="preserve">③ 후속 비용 회피: 가동 중단 시 재가동에 추가로 소요되는 화학 공정 특유의 안정화 비용·에너지 비용 회피</w:t>
      </w:r>
    </w:p>
    <w:p>
      <w:pPr>
        <w:spacing w:after="60" w:before="60" w:line="320"/>
        <w:jc w:val="both"/>
      </w:pPr>
      <w:r>
        <w:rPr>
          <w:rFonts w:ascii="맑은 고딕" w:cs="맑은 고딕" w:eastAsia="맑은 고딕" w:hAnsi="맑은 고딕"/>
          <w:sz w:val="20"/>
          <w:szCs w:val="20"/>
        </w:rPr>
        <w:t xml:space="preserve">④ 안전 리스크 회피: 화학 공정 정지·재가동 시점에 집중되는 안전사고 리스크 감소</w:t>
      </w:r>
    </w:p>
    <w:p>
      <w:pPr>
        <w:spacing w:after="80" w:before="180" w:line="320"/>
      </w:pPr>
      <w:r>
        <w:rPr>
          <w:rFonts w:ascii="맑은 고딕" w:cs="맑은 고딕" w:eastAsia="맑은 고딕" w:hAnsi="맑은 고딕"/>
          <w:b/>
          <w:bCs/>
          <w:sz w:val="22"/>
          <w:szCs w:val="22"/>
        </w:rPr>
        <w:t xml:space="preserve">6.2 영속성 관리의 본질: GAP 분석과 직접 연결</w:t>
      </w:r>
    </w:p>
    <w:p>
      <w:pPr>
        <w:spacing w:after="60" w:before="60" w:line="320"/>
        <w:jc w:val="both"/>
      </w:pPr>
      <w:r>
        <w:rPr>
          <w:rFonts w:ascii="맑은 고딕" w:cs="맑은 고딕" w:eastAsia="맑은 고딕" w:hAnsi="맑은 고딕"/>
          <w:sz w:val="20"/>
          <w:szCs w:val="20"/>
        </w:rPr>
        <w:t xml:space="preserve">비즈니스 영속성 리스크 통제는 5.2절의 'Customizing 트랙'과 직접 연결된다. 각 사 본연의 경쟁력 영역을 표준화하지 않고 보존한 결정은, 단순히 사용자 편의를 위한 것이 아니라 인수된 회사의 핵심 비즈니스 가치를 보호하기 위한 적극적 리스크 관리였다. 특히 정밀화학·첨단소재가 인수된 직후(2016년)였고, 인수 금액이 약 2조 8천억 원에 달했던 점(롯데정밀화학 4,650억 + 롯데첨단소재 2조 3,265억[8])을 감안하면, 이들의 본연 가치를 ERP 표준화 명목으로 훼손하는 것은 인수 전략 자체에 모순되는 행위였다.</w:t>
      </w:r>
    </w:p>
    <w:p>
      <w:pPr>
        <w:spacing w:after="80" w:before="180" w:line="320"/>
      </w:pPr>
      <w:r>
        <w:rPr>
          <w:rFonts w:ascii="맑은 고딕" w:cs="맑은 고딕" w:eastAsia="맑은 고딕" w:hAnsi="맑은 고딕"/>
          <w:b/>
          <w:bCs/>
          <w:sz w:val="22"/>
          <w:szCs w:val="22"/>
        </w:rPr>
        <w:t xml:space="preserve">6.3 변경관리의 외연: 2018년 이사회 의결로 확인되는 후속 조치</w:t>
      </w:r>
    </w:p>
    <w:p>
      <w:pPr>
        <w:spacing w:after="60" w:before="60" w:line="320"/>
        <w:jc w:val="both"/>
      </w:pPr>
      <w:r>
        <w:rPr>
          <w:rFonts w:ascii="맑은 고딕" w:cs="맑은 고딕" w:eastAsia="맑은 고딕" w:hAnsi="맑은 고딕"/>
          <w:sz w:val="20"/>
          <w:szCs w:val="20"/>
        </w:rPr>
        <w:t xml:space="preserve">본 프로젝트의 변경관리는 2017년 11월 가동으로 끝나지 않았다. 사업보고서[9]에 따르면 2018년 한 해 동안 이사회는 다음과 같은 IT·디지털 관련 후속 안건들을 의결했다.</w:t>
      </w:r>
    </w:p>
    <w:p>
      <w:pPr>
        <w:spacing w:after="60" w:before="60" w:line="320"/>
        <w:jc w:val="both"/>
      </w:pPr>
      <w:r>
        <w:rPr>
          <w:rFonts w:ascii="맑은 고딕" w:cs="맑은 고딕" w:eastAsia="맑은 고딕" w:hAnsi="맑은 고딕"/>
          <w:b/>
          <w:bCs/>
          <w:i w:val="false"/>
          <w:iCs w:val="false"/>
          <w:color w:val="000000"/>
          <w:sz w:val="20"/>
          <w:szCs w:val="20"/>
        </w:rPr>
        <w:t xml:space="preserve">2018.02.08 제7호 — </w:t>
      </w:r>
      <w:r>
        <w:rPr>
          <w:rFonts w:ascii="맑은 고딕" w:cs="맑은 고딕" w:eastAsia="맑은 고딕" w:hAnsi="맑은 고딕"/>
          <w:b w:val="false"/>
          <w:bCs w:val="false"/>
          <w:i w:val="false"/>
          <w:iCs w:val="false"/>
          <w:color w:val="000000"/>
          <w:sz w:val="20"/>
          <w:szCs w:val="20"/>
        </w:rPr>
        <w:t xml:space="preserve">그룹공통시스템 사용을 위한 계약 진행(안) 승인 — 가결</w:t>
      </w:r>
    </w:p>
    <w:p>
      <w:pPr>
        <w:spacing w:after="60" w:before="60" w:line="320"/>
        <w:jc w:val="both"/>
      </w:pPr>
      <w:r>
        <w:rPr>
          <w:rFonts w:ascii="맑은 고딕" w:cs="맑은 고딕" w:eastAsia="맑은 고딕" w:hAnsi="맑은 고딕"/>
          <w:b/>
          <w:bCs/>
          <w:i w:val="false"/>
          <w:iCs w:val="false"/>
          <w:color w:val="000000"/>
          <w:sz w:val="20"/>
          <w:szCs w:val="20"/>
        </w:rPr>
        <w:t xml:space="preserve">2018.02.08 제8호 — </w:t>
      </w:r>
      <w:r>
        <w:rPr>
          <w:rFonts w:ascii="맑은 고딕" w:cs="맑은 고딕" w:eastAsia="맑은 고딕" w:hAnsi="맑은 고딕"/>
          <w:b w:val="false"/>
          <w:bCs w:val="false"/>
          <w:i w:val="false"/>
          <w:iCs w:val="false"/>
          <w:color w:val="000000"/>
          <w:sz w:val="20"/>
          <w:szCs w:val="20"/>
        </w:rPr>
        <w:t xml:space="preserve">디지털혁신협의체 공통 업무 추진 협약서(안) 승인 — 가결</w:t>
      </w:r>
    </w:p>
    <w:p>
      <w:pPr>
        <w:spacing w:after="60" w:before="60" w:line="320"/>
        <w:jc w:val="both"/>
      </w:pPr>
      <w:r>
        <w:rPr>
          <w:rFonts w:ascii="맑은 고딕" w:cs="맑은 고딕" w:eastAsia="맑은 고딕" w:hAnsi="맑은 고딕"/>
          <w:b/>
          <w:bCs/>
          <w:i w:val="false"/>
          <w:iCs w:val="false"/>
          <w:color w:val="000000"/>
          <w:sz w:val="20"/>
          <w:szCs w:val="20"/>
        </w:rPr>
        <w:t xml:space="preserve">2018.05.28 제2호 — </w:t>
      </w:r>
      <w:r>
        <w:rPr>
          <w:rFonts w:ascii="맑은 고딕" w:cs="맑은 고딕" w:eastAsia="맑은 고딕" w:hAnsi="맑은 고딕"/>
          <w:b w:val="false"/>
          <w:bCs w:val="false"/>
          <w:i w:val="false"/>
          <w:iCs w:val="false"/>
          <w:color w:val="000000"/>
          <w:sz w:val="20"/>
          <w:szCs w:val="20"/>
        </w:rPr>
        <w:t xml:space="preserve">환경 에너지 통합서비스 사용을 위한 롯데지주와의 계약 승인 — 가결</w:t>
      </w:r>
    </w:p>
    <w:p>
      <w:pPr>
        <w:spacing w:after="60" w:before="60" w:line="320"/>
        <w:jc w:val="both"/>
      </w:pPr>
      <w:r>
        <w:rPr>
          <w:rFonts w:ascii="맑은 고딕" w:cs="맑은 고딕" w:eastAsia="맑은 고딕" w:hAnsi="맑은 고딕"/>
          <w:b/>
          <w:bCs/>
          <w:i w:val="false"/>
          <w:iCs w:val="false"/>
          <w:color w:val="000000"/>
          <w:sz w:val="20"/>
          <w:szCs w:val="20"/>
        </w:rPr>
        <w:t xml:space="preserve">2018.12.19 제7호 — </w:t>
      </w:r>
      <w:r>
        <w:rPr>
          <w:rFonts w:ascii="맑은 고딕" w:cs="맑은 고딕" w:eastAsia="맑은 고딕" w:hAnsi="맑은 고딕"/>
          <w:b w:val="false"/>
          <w:bCs w:val="false"/>
          <w:i w:val="false"/>
          <w:iCs w:val="false"/>
          <w:color w:val="000000"/>
          <w:sz w:val="20"/>
          <w:szCs w:val="20"/>
        </w:rPr>
        <w:t xml:space="preserve">10개 IT 시스템 의안 동시 의결 — 디지털 안전 작업 관리 / 영업 모바일 / 변경관리 개선 시스템 / 대구 수처리 사업 ERP / 주 52시간 시스템 / 파일서버 / 이메일 HW / 네트워크 / SAP 라이선스 구매 / 접근제어 솔루션 — 모두 가결</w:t>
      </w:r>
    </w:p>
    <w:p>
      <w:pPr>
        <w:spacing w:after="60" w:before="60" w:line="320"/>
        <w:jc w:val="both"/>
      </w:pPr>
      <w:r>
        <w:rPr>
          <w:rFonts w:ascii="맑은 고딕" w:cs="맑은 고딕" w:eastAsia="맑은 고딕" w:hAnsi="맑은 고딕"/>
          <w:sz w:val="20"/>
          <w:szCs w:val="20"/>
        </w:rPr>
        <w:t xml:space="preserve">이 이사회 의결 기록은 본 프로젝트가 단일 시점의 '구축 완료' 이벤트가 아니라, 그 이후 1년간 그룹 차원의 디지털 협력 체계 구축과 SAP 라이선스 추가 확장으로 이어진 '지속적 변경관리'의 출발점이었음을 보여준다. 이는 단순한 시스템 구축이 아닌 '디지털 코어 확보'라는 박제성 인터뷰[1]의 발언과 정확히 일치한다.</w:t>
      </w:r>
    </w:p>
    <w:p>
      <w:pPr>
        <w:spacing w:after="80" w:before="180" w:line="320"/>
      </w:pPr>
      <w:r>
        <w:rPr>
          <w:rFonts w:ascii="맑은 고딕" w:cs="맑은 고딕" w:eastAsia="맑은 고딕" w:hAnsi="맑은 고딕"/>
          <w:b/>
          <w:bCs/>
          <w:sz w:val="22"/>
          <w:szCs w:val="22"/>
        </w:rPr>
        <w:t xml:space="preserve">6.4 구현(Migration) 방식의 위치: Big Bang vs Phased vs Parallel</w:t>
      </w:r>
    </w:p>
    <w:p>
      <w:pPr>
        <w:spacing w:after="60" w:before="60" w:line="320"/>
        <w:jc w:val="both"/>
      </w:pPr>
      <w:r>
        <w:rPr>
          <w:rFonts w:ascii="맑은 고딕" w:cs="맑은 고딕" w:eastAsia="맑은 고딕" w:hAnsi="맑은 고딕"/>
          <w:sz w:val="20"/>
          <w:szCs w:val="20"/>
        </w:rPr>
        <w:t xml:space="preserve">강의 자료의 구현 단계는 다음과 같이 명시한다(17p): "기존 시스템의 데이터를 이관하는 Migration/Conversion 작업을 수행한다.(Big Bang, Phased, Parallel)" 본 사례의 구현 방식은 공개 자료상 명확히 단정되지 않으나, 다음과 같이 해석할 수 있다.</w:t>
      </w:r>
    </w:p>
    <w:p>
      <w:pPr>
        <w:spacing w:after="60" w:before="60" w:line="320"/>
        <w:jc w:val="both"/>
      </w:pPr>
      <w:r>
        <w:rPr>
          <w:rFonts w:ascii="맑은 고딕" w:cs="맑은 고딕" w:eastAsia="맑은 고딕" w:hAnsi="맑은 고딕"/>
          <w:sz w:val="20"/>
          <w:szCs w:val="20"/>
        </w:rPr>
        <w:t xml:space="preserve">여기서 중요한 것은 강의 자료가 두 가지 서로 다른 차원의 개념을 구분한다는 점이다. (i) Roll-out·Big Bang·Phased·Pilot은 ‘구축 방법론’ 차원에 해당하며(어떤 단위로 시스템을 구축·확산할 것인가, 강의 자료 본 단계 3장에서 다룸), (ii) Big Bang·Phased·Parallel은 ‘Migration(데이터 이관) 방식’ 차원에 해당한다(어떤 흐름으로 기존 데이터를 새 시스템으로 옮길 것인가, 강의 자료 17p). 동일한 ‘Big Bang’이라는 용어가 두 차원 모두에 등장하지만, 그 의미는 다르다. 본 사례를 두 차원으로 분리해 해석하면 다음과 같다. ① 구축 방법론 차원 — 박제성 인터뷰[1]에서 명시된 ‘기준 법인(롯데케미칼)을 중심으로 한 Roll-out 형태’. ② Migration 방식 차원 — 다운타임 단축(114h → 52h)이 단일 지표로 강조된 점은 ‘Big Bang 방식의 데이터 이관’을 시사한다. Phased 이관이었다면 단일 다운타임 수치가 핵심 KPI가 되기 어려웠을 것이며, Parallel(이중 운영) 방식이었다면 운영 비용 부담이 더 컸을 것이다. 따라서 본 사례는 ‘구축 방법론은 Roll-out × Migration 방식은 Big Bang’의 2축 결합 형태로 해석된다. 이는 모순이 아니라 강의 자료가 구분한 두 차원의 정합적 조합이다.</w:t>
      </w:r>
    </w:p>
    <w:p>
      <w:pPr>
        <w:spacing w:after="120" w:before="280" w:line="320"/>
      </w:pPr>
      <w:r>
        <w:rPr>
          <w:rFonts w:ascii="맑은 고딕" w:cs="맑은 고딕" w:eastAsia="맑은 고딕" w:hAnsi="맑은 고딕"/>
          <w:b/>
          <w:bCs/>
          <w:sz w:val="24"/>
          <w:szCs w:val="24"/>
        </w:rPr>
        <w:t xml:space="preserve">6.5 강의 테스트 종류와 본 사례의 적용</w:t>
      </w:r>
    </w:p>
    <w:p>
      <w:pPr>
        <w:spacing w:after="60" w:before="60" w:line="320"/>
        <w:jc w:val="both"/>
      </w:pPr>
      <w:r>
        <w:rPr>
          <w:rFonts w:ascii="맑은 고딕" w:cs="맑은 고딕" w:eastAsia="맑은 고딕" w:hAnsi="맑은 고딕"/>
          <w:sz w:val="20"/>
          <w:szCs w:val="20"/>
        </w:rPr>
        <w:t xml:space="preserve">강의 자료(14~16p)는 ERP 도입 과정의 테스트를 다음 5가지로 구분한다. 단위·모듈 테스트, 인터페이스·통합 테스트, 시스템 테스트(스트레스·성능), 인수 테스트(UAT), 그리고 알파/베타/화이트박스/블랙박스/사교성 등 기타 테스트. 본 사례의 공개 자료에는 각 테스트의 상세 실행 결과가 명시되어 있지 않으나, 박제성 인터뷰[1]와 SAP Value Assurance Service의 표준 컴포넌트[12]를 종합하면 본 사례의 테스트 전략을 다음과 같이 매핑할 수 있다.</w:t>
      </w:r>
    </w:p>
    <w:tbl>
      <w:tblPr>
        <w:tblStyle w:val="TableGrid"/>
        <w:tblW w:type="dxa" w:w="9360"/>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Pr>
      <w:tblGrid>
        <w:gridCol w:w="2700"/>
        <w:gridCol w:w="6660"/>
      </w:tblGrid>
      <w:tr>
        <w:tc>
          <w:tcPr>
            <w:tcW w:type="dxa" w:w="2700"/>
            <w:shd w:fill="D9E2F3" w:val="clear"/>
          </w:tcPr>
          <w:p>
            <w:pPr>
              <w:spacing w:after="60" w:before="60" w:line="280"/>
            </w:pPr>
            <w:r>
              <w:rPr>
                <w:rFonts w:ascii="맑은 고딕" w:cs="맑은 고딕" w:eastAsia="맑은 고딕" w:hAnsi="맑은 고딕"/>
                <w:b/>
                <w:bCs/>
                <w:sz w:val="20"/>
                <w:szCs w:val="20"/>
              </w:rPr>
              <w:t xml:space="preserve">강의 분류</w:t>
            </w:r>
          </w:p>
        </w:tc>
        <w:tc>
          <w:tcPr>
            <w:tcW w:type="dxa" w:w="6660"/>
            <w:shd w:fill="D9E2F3" w:val="clear"/>
          </w:tcPr>
          <w:p>
            <w:pPr>
              <w:spacing w:after="60" w:before="60" w:line="280"/>
            </w:pPr>
            <w:r>
              <w:rPr>
                <w:rFonts w:ascii="맑은 고딕" w:cs="맑은 고딕" w:eastAsia="맑은 고딕" w:hAnsi="맑은 고딕"/>
                <w:b/>
                <w:bCs/>
                <w:sz w:val="20"/>
                <w:szCs w:val="20"/>
              </w:rPr>
              <w:t xml:space="preserve">본 사례 적용 (해석)</w:t>
            </w:r>
          </w:p>
        </w:tc>
      </w:tr>
      <w:tr>
        <w:tc>
          <w:tcPr>
            <w:tcW w:type="dxa" w:w="2700"/>
          </w:tcPr>
          <w:p>
            <w:pPr>
              <w:spacing w:after="60" w:before="60" w:line="280"/>
            </w:pPr>
            <w:r>
              <w:rPr>
                <w:rFonts w:ascii="맑은 고딕" w:cs="맑은 고딕" w:eastAsia="맑은 고딕" w:hAnsi="맑은 고딕"/>
                <w:sz w:val="20"/>
                <w:szCs w:val="20"/>
              </w:rPr>
              <w:t xml:space="preserve">단위·모듈 테스트</w:t>
            </w:r>
          </w:p>
        </w:tc>
        <w:tc>
          <w:tcPr>
            <w:tcW w:type="dxa" w:w="6660"/>
          </w:tcPr>
          <w:p>
            <w:pPr>
              <w:spacing w:after="60" w:before="60" w:line="280"/>
            </w:pPr>
            <w:r>
              <w:rPr>
                <w:rFonts w:ascii="맑은 고딕" w:cs="맑은 고딕" w:eastAsia="맑은 고딕" w:hAnsi="맑은 고딕"/>
                <w:sz w:val="20"/>
                <w:szCs w:val="20"/>
              </w:rPr>
              <w:t xml:space="preserve">SAP 컨설턴트가 10개 모듈(MM·PP·PM·QM·SD·CO·FI·HR·GRC·EHS) 각각의 기능 단위 검증. Configuration 파라미터별 단위 검증 포함</w:t>
            </w:r>
          </w:p>
        </w:tc>
      </w:tr>
      <w:tr>
        <w:tc>
          <w:tcPr>
            <w:tcW w:type="dxa" w:w="2700"/>
          </w:tcPr>
          <w:p>
            <w:pPr>
              <w:spacing w:after="60" w:before="60" w:line="280"/>
            </w:pPr>
            <w:r>
              <w:rPr>
                <w:rFonts w:ascii="맑은 고딕" w:cs="맑은 고딕" w:eastAsia="맑은 고딕" w:hAnsi="맑은 고딕"/>
                <w:sz w:val="20"/>
                <w:szCs w:val="20"/>
              </w:rPr>
              <w:t xml:space="preserve">인터페이스·통합 테스트</w:t>
            </w:r>
          </w:p>
        </w:tc>
        <w:tc>
          <w:tcPr>
            <w:tcW w:type="dxa" w:w="6660"/>
          </w:tcPr>
          <w:p>
            <w:pPr>
              <w:spacing w:after="60" w:before="60" w:line="280"/>
            </w:pPr>
            <w:r>
              <w:rPr>
                <w:rFonts w:ascii="맑은 고딕" w:cs="맑은 고딕" w:eastAsia="맑은 고딕" w:hAnsi="맑은 고딕"/>
                <w:sz w:val="20"/>
                <w:szCs w:val="20"/>
              </w:rPr>
              <w:t xml:space="preserve">SAP S/4HANA ↔ 비SAP 시스템(SCM·MES·PLM·LIMS·EHS·GEMS) EAI 연계 검증[1]. 3사 통합 후 단일 플랫폼 위의 모듈 간 통합 검증 포함</w:t>
            </w:r>
          </w:p>
        </w:tc>
      </w:tr>
      <w:tr>
        <w:tc>
          <w:tcPr>
            <w:tcW w:type="dxa" w:w="2700"/>
          </w:tcPr>
          <w:p>
            <w:pPr>
              <w:spacing w:after="60" w:before="60" w:line="280"/>
            </w:pPr>
            <w:r>
              <w:rPr>
                <w:rFonts w:ascii="맑은 고딕" w:cs="맑은 고딕" w:eastAsia="맑은 고딕" w:hAnsi="맑은 고딕"/>
                <w:sz w:val="20"/>
                <w:szCs w:val="20"/>
              </w:rPr>
              <w:t xml:space="preserve">시스템 테스트 (스트레스·성능)</w:t>
            </w:r>
          </w:p>
        </w:tc>
        <w:tc>
          <w:tcPr>
            <w:tcW w:type="dxa" w:w="6660"/>
          </w:tcPr>
          <w:p>
            <w:pPr>
              <w:spacing w:after="60" w:before="60" w:line="280"/>
            </w:pPr>
            <w:r>
              <w:rPr>
                <w:rFonts w:ascii="맑은 고딕" w:cs="맑은 고딕" w:eastAsia="맑은 고딕" w:hAnsi="맑은 고딕"/>
                <w:sz w:val="20"/>
                <w:szCs w:val="20"/>
              </w:rPr>
              <w:t xml:space="preserve">SAP Value Assurance Service의 Migration Planning Workshop·Go-Live Readiness Check 컴포넌트에서 다운타임 진단(114h) → 단축(52h) 도출[12]. PIR의 성능 90.5% 개선 결과는 이 단계 검증 통과 결과</w:t>
            </w:r>
          </w:p>
        </w:tc>
      </w:tr>
      <w:tr>
        <w:tc>
          <w:tcPr>
            <w:tcW w:type="dxa" w:w="2700"/>
          </w:tcPr>
          <w:p>
            <w:pPr>
              <w:spacing w:after="60" w:before="60" w:line="280"/>
            </w:pPr>
            <w:r>
              <w:rPr>
                <w:rFonts w:ascii="맑은 고딕" w:cs="맑은 고딕" w:eastAsia="맑은 고딕" w:hAnsi="맑은 고딕"/>
                <w:sz w:val="20"/>
                <w:szCs w:val="20"/>
              </w:rPr>
              <w:t xml:space="preserve">인수 테스트 (UAT)</w:t>
            </w:r>
          </w:p>
        </w:tc>
        <w:tc>
          <w:tcPr>
            <w:tcW w:type="dxa" w:w="6660"/>
          </w:tcPr>
          <w:p>
            <w:pPr>
              <w:spacing w:after="60" w:before="60" w:line="280"/>
            </w:pPr>
            <w:r>
              <w:rPr>
                <w:rFonts w:ascii="맑은 고딕" w:cs="맑은 고딕" w:eastAsia="맑은 고딕" w:hAnsi="맑은 고딕"/>
                <w:sz w:val="20"/>
                <w:szCs w:val="20"/>
              </w:rPr>
              <w:t xml:space="preserve">사용자(Key User·현업 모듈 담당자)가 실제 업무 시나리오로 직접 검증. 박제성 인터뷰[1]의 “회계부서 박수” 정성 표현이 이 단계 만족도 결과로 해석됨</w:t>
            </w:r>
          </w:p>
        </w:tc>
      </w:tr>
      <w:tr>
        <w:tc>
          <w:tcPr>
            <w:tcW w:type="dxa" w:w="2700"/>
          </w:tcPr>
          <w:p>
            <w:pPr>
              <w:spacing w:after="60" w:before="60" w:line="280"/>
            </w:pPr>
            <w:r>
              <w:rPr>
                <w:rFonts w:ascii="맑은 고딕" w:cs="맑은 고딕" w:eastAsia="맑은 고딕" w:hAnsi="맑은 고딕"/>
                <w:sz w:val="20"/>
                <w:szCs w:val="20"/>
              </w:rPr>
              <w:t xml:space="preserve">사교성 테스트</w:t>
            </w:r>
          </w:p>
        </w:tc>
        <w:tc>
          <w:tcPr>
            <w:tcW w:type="dxa" w:w="6660"/>
          </w:tcPr>
          <w:p>
            <w:pPr>
              <w:spacing w:after="60" w:before="60" w:line="280"/>
            </w:pPr>
            <w:r>
              <w:rPr>
                <w:rFonts w:ascii="맑은 고딕" w:cs="맑은 고딕" w:eastAsia="맑은 고딕" w:hAnsi="맑은 고딕"/>
                <w:sz w:val="20"/>
                <w:szCs w:val="20"/>
              </w:rPr>
              <w:t xml:space="preserve">기존 시스템 환경(SCM·MES·PLM·LIMS·EHS·GEMS)과의 공존 검증. 13년 누적 SAP 자산과 EAI 연계 자산이 본 단계의 부담을 본질적으로 낮춤</w:t>
            </w:r>
          </w:p>
        </w:tc>
      </w:tr>
    </w:tbl>
    <w:p>
      <w:pPr>
        <w:spacing w:after="60" w:before="180" w:line="320"/>
        <w:jc w:val="both"/>
      </w:pPr>
      <w:r>
        <w:rPr>
          <w:rFonts w:ascii="맑은 고딕" w:cs="맑은 고딕" w:eastAsia="맑은 고딕" w:hAnsi="맑은 고딕"/>
          <w:sz w:val="20"/>
          <w:szCs w:val="20"/>
        </w:rPr>
        <w:t xml:space="preserve">특히 강의 자료(30p)가 명시한 “인수 테스트가 완료되면 개발 건별로 인수증에 서명을 한다”는 절차는, 외부 SI 계약에서는 잔금 지급과 직결되는 핵심 절차이다. 본 사례는 그룹 SI(롯데정보통신) 구조 특성상 외부 잔금 절차와는 다른 그룹 내 정산 구조로 운영되었을 것으로 추정되며, SAP 본사의 Value Assurance Service 계약 측면에서는 Go-Live Readiness Check 통과가 산출물 인수와 연동되는 변형 형태로 작동했을 것으로 해석된다.</w:t>
      </w:r>
    </w:p>
    <w:p>
      <w:pPr>
        <w:spacing w:after="120" w:before="280" w:line="320"/>
      </w:pPr>
      <w:r>
        <w:rPr>
          <w:rFonts w:ascii="맑은 고딕" w:cs="맑은 고딕" w:eastAsia="맑은 고딕" w:hAnsi="맑은 고딕"/>
          <w:b/>
          <w:bCs/>
          <w:sz w:val="24"/>
          <w:szCs w:val="24"/>
        </w:rPr>
        <w:t xml:space="preserve">6.6 Rollback Plan과 비상 계획</w:t>
      </w:r>
    </w:p>
    <w:p>
      <w:pPr>
        <w:spacing w:after="60" w:before="60" w:line="320"/>
        <w:jc w:val="both"/>
      </w:pPr>
      <w:r>
        <w:rPr>
          <w:rFonts w:ascii="맑은 고딕" w:cs="맑은 고딕" w:eastAsia="맑은 고딕" w:hAnsi="맑은 고딕"/>
          <w:sz w:val="20"/>
          <w:szCs w:val="20"/>
        </w:rPr>
        <w:t xml:space="preserve">강의 자료(18p)는 구현 단계 고려사항으로 “이전 시스템의 자원 백업”과 “Rollback Plan 준비”를 비상 계획의 두 핵심 요소로 명시한다. 본 사례의 공개 자료에 구체적 Rollback 시나리오는 명시되지 않으나, 다운타임 진단 단계(114시간)와 실제 단축치(52시간) 사이의 약 62시간 여유는 가동 직전·직후의 안정화 및 Rollback 대비 시간 버퍼로도 해석될 수 있다. SAP Value Assurance Service의 Go-Live Readiness Check 컴포넌트[12]가 가동 직전의 시스템 안정성 점검과 비상 대응 절차를 표준으로 제공하므로, 본 사례의 Rollback 대비는 이 표준 절차에 의존한 것으로 추정된다. 또한 기존 SAP ECC 시스템의 데이터 백업이 컨버전 직전 시점에 확보되어 있었을 것이라는 점은 통합형 컨버전 방식의 본질적 특성에서 도출되는 정황적 근거이다.</w:t>
      </w:r>
    </w:p>
    <w:p>
      <w:pPr>
        <w:spacing w:after="120" w:before="280" w:line="320"/>
      </w:pPr>
      <w:r>
        <w:rPr>
          <w:rFonts w:ascii="맑은 고딕" w:cs="맑은 고딕" w:eastAsia="맑은 고딕" w:hAnsi="맑은 고딕"/>
          <w:b/>
          <w:bCs/>
          <w:sz w:val="26"/>
          <w:szCs w:val="26"/>
        </w:rPr>
        <w:t xml:space="preserve">7. 본 사례의 의사결정 패턴 종합: 4대 원칙</w:t>
      </w:r>
    </w:p>
    <w:p>
      <w:pPr>
        <w:spacing w:after="60" w:before="60" w:line="320"/>
        <w:jc w:val="both"/>
      </w:pPr>
      <w:r>
        <w:rPr>
          <w:rFonts w:ascii="맑은 고딕" w:cs="맑은 고딕" w:eastAsia="맑은 고딕" w:hAnsi="맑은 고딕"/>
          <w:sz w:val="20"/>
          <w:szCs w:val="20"/>
        </w:rPr>
        <w:t xml:space="preserve">지금까지 분석한 4가지 핵심 의사결정(방법론·제약 조건·GAP 해결·리스크 관리)을 관통하는 패턴을 추출하면 다음의 4대 원칙으로 정리할 수 있다. 이는 단순한 기술 선택의 합이 아니라, 본 프로젝트가 일관되게 작동한 합리성의 골격이다.</w:t>
      </w:r>
    </w:p>
    <w:p>
      <w:pPr>
        <w:spacing w:after="80" w:before="180" w:line="320"/>
      </w:pPr>
      <w:r>
        <w:rPr>
          <w:rFonts w:ascii="맑은 고딕" w:cs="맑은 고딕" w:eastAsia="맑은 고딕" w:hAnsi="맑은 고딕"/>
          <w:b/>
          <w:bCs/>
          <w:sz w:val="22"/>
          <w:szCs w:val="22"/>
        </w:rPr>
        <w:t xml:space="preserve">원칙 ①: '확장'이 아닌 '진화' — 기존 자산을 기반으로 한 점진적 고도화</w:t>
      </w:r>
    </w:p>
    <w:p>
      <w:pPr>
        <w:spacing w:after="60" w:before="60" w:line="320"/>
        <w:jc w:val="both"/>
      </w:pPr>
      <w:r>
        <w:rPr>
          <w:rFonts w:ascii="맑은 고딕" w:cs="맑은 고딕" w:eastAsia="맑은 고딕" w:hAnsi="맑은 고딕"/>
          <w:sz w:val="20"/>
          <w:szCs w:val="20"/>
        </w:rPr>
        <w:t xml:space="preserve">본 프로젝트는 백지에서 새 시스템을 만든 것이 아니다. 2003년 SMART, 2010년 GEMS, 그리고 그 사이 누적된 SAP 운영 경험을 토대로, 2017년 S/4HANA로 ‘진화’한 것이다. 이는 ERP 도입을 ‘단발적 프로젝트’가 아닌 ‘13년에 걸친 디지털 자산 축적의 결과’로 보아야 함을 의미한다. 통합형 컨버전(Brownfield 성격) 방식 선택, Roll-out 형태 채택, 기존 사용자 경험 활용, 기존 EAI 연계 유지 등 모든 의사결정이 이 원칙을 따른다.</w:t>
      </w:r>
    </w:p>
    <w:p>
      <w:pPr>
        <w:spacing w:after="80" w:before="180" w:line="320"/>
      </w:pPr>
      <w:r>
        <w:rPr>
          <w:rFonts w:ascii="맑은 고딕" w:cs="맑은 고딕" w:eastAsia="맑은 고딕" w:hAnsi="맑은 고딕"/>
          <w:b/>
          <w:bCs/>
          <w:sz w:val="22"/>
          <w:szCs w:val="22"/>
        </w:rPr>
        <w:t xml:space="preserve">원칙 ②: '표준화'와 '차별화'의 능동적 균형</w:t>
      </w:r>
    </w:p>
    <w:p>
      <w:pPr>
        <w:spacing w:after="60" w:before="60" w:line="320"/>
        <w:jc w:val="both"/>
      </w:pPr>
      <w:r>
        <w:rPr>
          <w:rFonts w:ascii="맑은 고딕" w:cs="맑은 고딕" w:eastAsia="맑은 고딕" w:hAnsi="맑은 고딕"/>
          <w:sz w:val="20"/>
          <w:szCs w:val="20"/>
        </w:rPr>
        <w:t xml:space="preserve">본 프로젝트의 가장 결정적 의사결정은 '무엇을 표준화하고 무엇을 차별화로 둘 것인가'였다. 기준정보·재무회계·구매 등 통합 ROI가 명확한 영역은 BPR로 표준화하면서, 각 사 본연의 경쟁력 영역은 Customizing으로 보존했다. 이 균형은 '강제 통일'도 '방치'도 아닌, ROI와 비즈니스 영속성을 동시에 고려한 능동적 의사결정이다.</w:t>
      </w:r>
    </w:p>
    <w:p>
      <w:pPr>
        <w:spacing w:after="80" w:before="180" w:line="320"/>
      </w:pPr>
      <w:r>
        <w:rPr>
          <w:rFonts w:ascii="맑은 고딕" w:cs="맑은 고딕" w:eastAsia="맑은 고딕" w:hAnsi="맑은 고딕"/>
          <w:b/>
          <w:bCs/>
          <w:sz w:val="22"/>
          <w:szCs w:val="22"/>
        </w:rPr>
        <w:t xml:space="preserve">원칙 ③: 리스크의 사전 통제 우선</w:t>
      </w:r>
    </w:p>
    <w:p>
      <w:pPr>
        <w:spacing w:after="60" w:before="60" w:line="320"/>
        <w:jc w:val="both"/>
      </w:pPr>
      <w:r>
        <w:rPr>
          <w:rFonts w:ascii="맑은 고딕" w:cs="맑은 고딕" w:eastAsia="맑은 고딕" w:hAnsi="맑은 고딕"/>
          <w:sz w:val="20"/>
          <w:szCs w:val="20"/>
        </w:rPr>
        <w:t xml:space="preserve">다운타임 진단 단계에서 114시간이 산출되었을 때, '괜찮을 것이다'가 아니라 'SAP Value Assurance Service를 동원해 52시간으로 단축'을 추진한 것이 본 프로젝트의 결정적 분기점이다. 리스크를 사후에 대응하는 것이 아니라, 사전에 진단·계량화하고 외부 자원을 동원해 통제하는 패턴이 일관되게 작동했다.</w:t>
      </w:r>
    </w:p>
    <w:p>
      <w:pPr>
        <w:spacing w:after="80" w:before="180" w:line="320"/>
      </w:pPr>
      <w:r>
        <w:rPr>
          <w:rFonts w:ascii="맑은 고딕" w:cs="맑은 고딕" w:eastAsia="맑은 고딕" w:hAnsi="맑은 고딕"/>
          <w:b/>
          <w:bCs/>
          <w:sz w:val="22"/>
          <w:szCs w:val="22"/>
        </w:rPr>
        <w:t xml:space="preserve">원칙 ④: 그룹 자원의 적극적 활용</w:t>
      </w:r>
    </w:p>
    <w:p>
      <w:pPr>
        <w:spacing w:after="60" w:before="60" w:line="320"/>
        <w:jc w:val="both"/>
      </w:pPr>
      <w:r>
        <w:rPr>
          <w:rFonts w:ascii="맑은 고딕" w:cs="맑은 고딕" w:eastAsia="맑은 고딕" w:hAnsi="맑은 고딕"/>
          <w:sz w:val="20"/>
          <w:szCs w:val="20"/>
        </w:rPr>
        <w:t xml:space="preserve">외부 글로벌 SI(Accenture, IBM, Deloitte 등) 대신 그룹 계열사인 롯데정보통신을 SI 파트너로 선택했고, 후속 그룹공통시스템·디지털혁신협의체로 확장하면서 그룹 차원의 디지털 자산을 축적했다. 이는 단기 비용 절감뿐 아니라 장기적인 IT 자산 통제권 확보, 인수된 회사들의 시너지 극대화, 그룹 차원의 디지털 전환 가속화라는 다층적 이점을 지향한 선택이었다. 2018년 이사회 의결사항[9]에서 그 후속 효과가 확인된다.</w:t>
      </w:r>
    </w:p>
    <w:p>
      <w:pPr>
        <w:spacing w:after="80" w:before="180" w:line="320"/>
      </w:pPr>
      <w:r>
        <w:rPr>
          <w:rFonts w:ascii="맑은 고딕" w:cs="맑은 고딕" w:eastAsia="맑은 고딕" w:hAnsi="맑은 고딕"/>
          <w:b/>
          <w:bCs/>
          <w:sz w:val="22"/>
          <w:szCs w:val="22"/>
        </w:rPr>
        <w:t xml:space="preserve">원칙 ⑤: 강의 이론과의 정합성 — '누구 제품을 사서 어떻게 맞출까'의 본질 충실</w:t>
      </w:r>
    </w:p>
    <w:p>
      <w:pPr>
        <w:spacing w:after="60" w:before="60" w:line="320"/>
        <w:jc w:val="both"/>
      </w:pPr>
      <w:r>
        <w:rPr>
          <w:rFonts w:ascii="맑은 고딕" w:cs="맑은 고딕" w:eastAsia="맑은 고딕" w:hAnsi="맑은 고딕"/>
          <w:sz w:val="20"/>
          <w:szCs w:val="20"/>
        </w:rPr>
        <w:t xml:space="preserve">강의 자료(23p)는 패키지 도입(구매 지향)의 분석 본질을 다음과 같이 정의한다: "자체 개발(In-house) 시에는 우리 개발자가 '어떻게 짤까'를 고민하며 분석하지만, 패키지 도입 시에는 외부 전문가(컨설팅)와 함께 '누구 제품을 사서 어떻게 우리 몸에 맞출까'를 결정하기 위한 요구사항을 뽑아내는 것이 분석 단계의 본질입니다." 본 사례의 모든 의사결정은 이 본질에 충실했다. SAP를 '누구 제품을 사느냐'(이미 결정된 상태)가 아닌 '어떻게 우리 몸에 맞출까'에 집중했고, 그 결과 BPR·Customizing·Add-on의 3트랙 배분, Configuration 파라미터 조정, 본연의 경쟁력 보존 등 모든 의사결정이 '맞춤 작업'에 초점을 맞추었다.</w:t>
      </w:r>
    </w:p>
    <w:p>
      <w:pPr>
        <w:spacing w:after="120" w:before="280" w:line="320"/>
      </w:pPr>
      <w:r>
        <w:rPr>
          <w:rFonts w:ascii="맑은 고딕" w:cs="맑은 고딕" w:eastAsia="맑은 고딕" w:hAnsi="맑은 고딕"/>
          <w:b/>
          <w:bCs/>
          <w:sz w:val="26"/>
          <w:szCs w:val="26"/>
        </w:rPr>
        <w:t xml:space="preserve">8. 분석의 한계와 검증 가능 범위</w:t>
      </w:r>
    </w:p>
    <w:p>
      <w:pPr>
        <w:spacing w:after="60" w:before="60" w:line="320"/>
        <w:jc w:val="both"/>
      </w:pPr>
      <w:r>
        <w:rPr>
          <w:rFonts w:ascii="맑은 고딕" w:cs="맑은 고딕" w:eastAsia="맑은 고딕" w:hAnsi="맑은 고딕"/>
          <w:sz w:val="20"/>
          <w:szCs w:val="20"/>
        </w:rPr>
        <w:t xml:space="preserve">본 단계의 의사결정 분석은 공개 자료(박제성 정보전략담당 상무 인터뷰[1], 롯데케미칼 사업보고서[8][9], 회사 연혁[10], 보도자료[13])와 학술 자료(이상신, 2020[11])를 기반으로 한다. 그러나 다음 영역들은 공개되지 않았기 때문에 분석에 한계가 있음을 명시한다.</w:t>
      </w:r>
    </w:p>
    <w:p>
      <w:pPr>
        <w:spacing w:after="60" w:before="60" w:line="320"/>
        <w:jc w:val="both"/>
      </w:pPr>
      <w:r>
        <w:rPr>
          <w:rFonts w:ascii="맑은 고딕" w:cs="맑은 고딕" w:eastAsia="맑은 고딕" w:hAnsi="맑은 고딕"/>
          <w:sz w:val="20"/>
          <w:szCs w:val="20"/>
        </w:rPr>
        <w:t xml:space="preserve">① 구체적 투자 금액과 ROI: 본 프로젝트의 총 투자 규모, 인력 투입, ROI 산출 결과는 공개되지 않았다. 사업보고서에서도 R&amp;D비(2017년 917억 원, 매출 대비 0.58%)는 공시되지만 IT 투자는 별도 분리 공시되지 않는다[8].</w:t>
      </w:r>
    </w:p>
    <w:p>
      <w:pPr>
        <w:spacing w:after="60" w:before="60" w:line="320"/>
        <w:jc w:val="both"/>
      </w:pPr>
      <w:r>
        <w:rPr>
          <w:rFonts w:ascii="맑은 고딕" w:cs="맑은 고딕" w:eastAsia="맑은 고딕" w:hAnsi="맑은 고딕"/>
          <w:sz w:val="20"/>
          <w:szCs w:val="20"/>
        </w:rPr>
        <w:t xml:space="preserve">② BPR로 재설계된 구체적 프로세스: 각 모듈에서 어떤 표준 프로세스가 채택되고 어떤 현행 프로세스가 보존되었는지의 구체 항목은 공개되지 않았다. 본문의 'BPR/Customizing/Add-on 3트랙' 구분은 박제성 인터뷰의 원칙 발언과 일반적 ERP 도입 방법론에서 논리적으로 추론한 것이다.</w:t>
      </w:r>
    </w:p>
    <w:p>
      <w:pPr>
        <w:spacing w:after="60" w:before="60" w:line="320"/>
        <w:jc w:val="both"/>
      </w:pPr>
      <w:r>
        <w:rPr>
          <w:rFonts w:ascii="맑은 고딕" w:cs="맑은 고딕" w:eastAsia="맑은 고딕" w:hAnsi="맑은 고딕"/>
          <w:sz w:val="20"/>
          <w:szCs w:val="20"/>
        </w:rPr>
        <w:t xml:space="preserve">③ 일정 마일스톤별 세부 진행: 7개월을 어떻게 SAP Activate의 6단계(Discover-Prepare-Explore-Realize-Deploy-Run)에 매핑했는지의 구체 일정은 공개되지 않았다.</w:t>
      </w:r>
    </w:p>
    <w:p>
      <w:pPr>
        <w:spacing w:after="60" w:before="60" w:line="320"/>
        <w:jc w:val="both"/>
      </w:pPr>
      <w:r>
        <w:rPr>
          <w:rFonts w:ascii="맑은 고딕" w:cs="맑은 고딕" w:eastAsia="맑은 고딕" w:hAnsi="맑은 고딕"/>
          <w:sz w:val="20"/>
          <w:szCs w:val="20"/>
        </w:rPr>
        <w:t xml:space="preserve">④ 사용자 교육과 변경관리의 구체 프로그램: 박제성 인터뷰[1]에서 '회계부서에서 업무 시간 단축에 박수'라는 정성적 표현은 있으나, 교육 시간·대상·만족도 등 정량 지표는 비공개이다.</w:t>
      </w:r>
    </w:p>
    <w:p>
      <w:pPr>
        <w:spacing w:after="60" w:before="60" w:line="320"/>
        <w:jc w:val="both"/>
      </w:pPr>
      <w:r>
        <w:rPr>
          <w:rFonts w:ascii="맑은 고딕" w:cs="맑은 고딕" w:eastAsia="맑은 고딕" w:hAnsi="맑은 고딕"/>
          <w:sz w:val="20"/>
          <w:szCs w:val="20"/>
        </w:rPr>
        <w:t xml:space="preserve">⑤ 정밀화학·첨단소재의 AS-IS 시스템 상세: 인수 직전 두 회사가 사용하던 ERP의 정확한 명칭과 구조는 공개되지 않았다. 본문에서는 '각 사별 독자 시스템'으로만 표기했다.</w:t>
      </w:r>
    </w:p>
    <w:p>
      <w:pPr>
        <w:spacing w:after="80" w:before="180" w:line="320"/>
      </w:pPr>
      <w:r>
        <w:rPr>
          <w:rFonts w:ascii="맑은 고딕" w:cs="맑은 고딕" w:eastAsia="맑은 고딕" w:hAnsi="맑은 고딕"/>
          <w:b/>
          <w:bCs/>
          <w:sz w:val="22"/>
          <w:szCs w:val="22"/>
        </w:rPr>
        <w:t xml:space="preserve">분석의 학술적 보강</w:t>
      </w:r>
    </w:p>
    <w:p>
      <w:pPr>
        <w:spacing w:after="60" w:before="60" w:line="320"/>
        <w:jc w:val="both"/>
      </w:pPr>
      <w:r>
        <w:rPr>
          <w:rFonts w:ascii="맑은 고딕" w:cs="맑은 고딕" w:eastAsia="맑은 고딕" w:hAnsi="맑은 고딕"/>
          <w:sz w:val="20"/>
          <w:szCs w:val="20"/>
        </w:rPr>
        <w:t xml:space="preserve">위 한계에도 불구하고, 본 분석의 핵심 결론들은 다음의 학술적 지지를 받는다. 이상신(2020)[11]은 석유화학 기업의 ERP 시스템 클라우드 전환의도에 영향을 미치는 요인을 PPM(Push-Pull-Mooring) 모델로 실증 분석하였다. 그 결과 '변화 거부(Loyalty to existing system)'와 '전환비용(Switching Cost)'이 ERP 전환의도에 통계적으로 유의한 부(-)의 영향을 미친다는 점이 확인되었다. 이는 본 사례에서 'Customizing 트랙으로 본연의 프로세스를 보존하고, 기존 SAP 사용자 경험을 유지함으로써 변경관리 부담을 최소화한' 의사결정이 학술적으로도 합리적임을 시사한다.</w:t>
      </w:r>
    </w:p>
    <w:p>
      <w:pPr>
        <w:spacing w:after="60" w:before="60" w:line="320"/>
        <w:jc w:val="both"/>
      </w:pPr>
      <w:r>
        <w:rPr>
          <w:rFonts w:ascii="맑은 고딕" w:cs="맑은 고딕" w:eastAsia="맑은 고딕" w:hAnsi="맑은 고딕"/>
          <w:sz w:val="20"/>
          <w:szCs w:val="20"/>
        </w:rPr>
        <w:t xml:space="preserve">또한 동 연구는 '국내 ERP/CRM 시스템의 클라우드 적용률은 21.5%, 제조/건설 대기업으로 한정하면 10.5%에 불과'하다고 보고했다[11]. 이는 2017년 시점 롯데케미칼이 SAP S/4HANA 도입을 단행한 것이 국내 제조업 대기업 가운데서도 매우 이른 시기였음을 학술적으로 뒷받침한다. 이러한 선구적 결정은 후술하는 Step 5의 '핵심 성공 요인' 분석에서 본 사례의 차별성으로 다시 다루어진다.</w:t>
      </w:r>
    </w:p>
    <w:p>
      <w:pPr>
        <w:spacing w:after="120" w:before="280" w:line="320"/>
      </w:pPr>
      <w:r>
        <w:rPr>
          <w:rFonts w:ascii="맑은 고딕" w:cs="맑은 고딕" w:eastAsia="맑은 고딕" w:hAnsi="맑은 고딕"/>
          <w:b/>
          <w:bCs/>
          <w:sz w:val="26"/>
          <w:szCs w:val="26"/>
        </w:rPr>
        <w:t xml:space="preserve">출 처</w:t>
      </w:r>
    </w:p>
    <w:p>
      <w:pPr>
        <w:spacing w:after="60" w:before="60" w:line="320"/>
        <w:jc w:val="both"/>
      </w:pPr>
      <w:r>
        <w:rPr>
          <w:rFonts w:ascii="맑은 고딕" w:cs="맑은 고딕" w:eastAsia="맑은 고딕" w:hAnsi="맑은 고딕"/>
          <w:sz w:val="20"/>
          <w:szCs w:val="20"/>
        </w:rPr>
        <w:t xml:space="preserve">본 Step 3은 Step 1·2와 일관된 출처 체계를 유지하며, 다음의 13개 출처를 활용한다.</w:t>
      </w:r>
    </w:p>
    <w:p>
      <w:pPr>
        <w:spacing w:after="60" w:before="60" w:line="320"/>
        <w:jc w:val="both"/>
      </w:pPr>
      <w:r>
        <w:rPr>
          <w:rFonts w:ascii="맑은 고딕" w:cs="맑은 고딕" w:eastAsia="맑은 고딕" w:hAnsi="맑은 고딕"/>
          <w:b/>
          <w:bCs/>
          <w:i w:val="false"/>
          <w:iCs w:val="false"/>
          <w:color w:val="0070C0"/>
          <w:sz w:val="20"/>
          <w:szCs w:val="20"/>
        </w:rPr>
        <w:t xml:space="preserve">[1] </w:t>
      </w:r>
      <w:r>
        <w:rPr>
          <w:rFonts w:ascii="맑은 고딕" w:cs="맑은 고딕" w:eastAsia="맑은 고딕" w:hAnsi="맑은 고딕"/>
          <w:b w:val="false"/>
          <w:bCs w:val="false"/>
          <w:i w:val="false"/>
          <w:iCs w:val="false"/>
          <w:color w:val="000000"/>
          <w:sz w:val="18"/>
          <w:szCs w:val="18"/>
        </w:rPr>
        <w:t xml:space="preserve">테크수다 (2019.09.11), 「ERP는 글로벌 톱 10 회사 성장의 중추 — 롯데케미칼 박제성 상무」. https://www.techsuda.com/archives/13398 (박제성 정보전략담당 상무 인터뷰 원문)</w:t>
      </w:r>
    </w:p>
    <w:p>
      <w:pPr>
        <w:spacing w:after="60" w:before="60" w:line="320"/>
        <w:jc w:val="both"/>
      </w:pPr>
      <w:r>
        <w:rPr>
          <w:rFonts w:ascii="맑은 고딕" w:cs="맑은 고딕" w:eastAsia="맑은 고딕" w:hAnsi="맑은 고딕"/>
          <w:b/>
          <w:bCs/>
          <w:i w:val="false"/>
          <w:iCs w:val="false"/>
          <w:color w:val="0070C0"/>
          <w:sz w:val="20"/>
          <w:szCs w:val="20"/>
        </w:rPr>
        <w:t xml:space="preserve">[2] </w:t>
      </w:r>
      <w:r>
        <w:rPr>
          <w:rFonts w:ascii="맑은 고딕" w:cs="맑은 고딕" w:eastAsia="맑은 고딕" w:hAnsi="맑은 고딕"/>
          <w:b w:val="false"/>
          <w:bCs w:val="false"/>
          <w:i w:val="false"/>
          <w:iCs w:val="false"/>
          <w:color w:val="000000"/>
          <w:sz w:val="18"/>
          <w:szCs w:val="18"/>
        </w:rPr>
        <w:t xml:space="preserve">롯데케미칼 공식 홈페이지 — 회사 소개. https://www.lottechem.com</w:t>
      </w:r>
    </w:p>
    <w:p>
      <w:pPr>
        <w:spacing w:after="60" w:before="60" w:line="320"/>
        <w:jc w:val="both"/>
      </w:pPr>
      <w:r>
        <w:rPr>
          <w:rFonts w:ascii="맑은 고딕" w:cs="맑은 고딕" w:eastAsia="맑은 고딕" w:hAnsi="맑은 고딕"/>
          <w:b/>
          <w:bCs/>
          <w:i w:val="false"/>
          <w:iCs w:val="false"/>
          <w:color w:val="0070C0"/>
          <w:sz w:val="20"/>
          <w:szCs w:val="20"/>
        </w:rPr>
        <w:t xml:space="preserve">[3] </w:t>
      </w:r>
      <w:r>
        <w:rPr>
          <w:rFonts w:ascii="맑은 고딕" w:cs="맑은 고딕" w:eastAsia="맑은 고딕" w:hAnsi="맑은 고딕"/>
          <w:b w:val="false"/>
          <w:bCs w:val="false"/>
          <w:i w:val="false"/>
          <w:iCs w:val="false"/>
          <w:color w:val="000000"/>
          <w:sz w:val="18"/>
          <w:szCs w:val="18"/>
        </w:rPr>
        <w:t xml:space="preserve">한국경제신문 (2018.01.31), 「롯데케미칼 2017년 영업이익 2조 9,297억원, 사상 최대 실적」</w:t>
      </w:r>
    </w:p>
    <w:p>
      <w:pPr>
        <w:spacing w:after="60" w:before="60" w:line="320"/>
        <w:jc w:val="both"/>
      </w:pPr>
      <w:r>
        <w:rPr>
          <w:rFonts w:ascii="맑은 고딕" w:cs="맑은 고딕" w:eastAsia="맑은 고딕" w:hAnsi="맑은 고딕"/>
          <w:b/>
          <w:bCs/>
          <w:i w:val="false"/>
          <w:iCs w:val="false"/>
          <w:color w:val="0070C0"/>
          <w:sz w:val="20"/>
          <w:szCs w:val="20"/>
        </w:rPr>
        <w:t xml:space="preserve">[4] </w:t>
      </w:r>
      <w:r>
        <w:rPr>
          <w:rFonts w:ascii="맑은 고딕" w:cs="맑은 고딕" w:eastAsia="맑은 고딕" w:hAnsi="맑은 고딕"/>
          <w:b w:val="false"/>
          <w:bCs w:val="false"/>
          <w:i w:val="false"/>
          <w:iCs w:val="false"/>
          <w:color w:val="000000"/>
          <w:sz w:val="18"/>
          <w:szCs w:val="18"/>
        </w:rPr>
        <w:t xml:space="preserve">더벨 (2017.02.07), 「롯데케미칼 2016년 영업이익 2조 5,443억원」</w:t>
      </w:r>
    </w:p>
    <w:p>
      <w:pPr>
        <w:spacing w:after="60" w:before="60" w:line="320"/>
        <w:jc w:val="both"/>
      </w:pPr>
      <w:r>
        <w:rPr>
          <w:rFonts w:ascii="맑은 고딕" w:cs="맑은 고딕" w:eastAsia="맑은 고딕" w:hAnsi="맑은 고딕"/>
          <w:b/>
          <w:bCs/>
          <w:i w:val="false"/>
          <w:iCs w:val="false"/>
          <w:color w:val="0070C0"/>
          <w:sz w:val="20"/>
          <w:szCs w:val="20"/>
        </w:rPr>
        <w:t xml:space="preserve">[5] </w:t>
      </w:r>
      <w:r>
        <w:rPr>
          <w:rFonts w:ascii="맑은 고딕" w:cs="맑은 고딕" w:eastAsia="맑은 고딕" w:hAnsi="맑은 고딕"/>
          <w:b w:val="false"/>
          <w:bCs w:val="false"/>
          <w:i w:val="false"/>
          <w:iCs w:val="false"/>
          <w:color w:val="000000"/>
          <w:sz w:val="18"/>
          <w:szCs w:val="18"/>
        </w:rPr>
        <w:t xml:space="preserve">한국석유화학협회 산업통계 (https://www.kpia.or.kr)</w:t>
      </w:r>
    </w:p>
    <w:p>
      <w:pPr>
        <w:spacing w:after="60" w:before="60" w:line="320"/>
        <w:jc w:val="both"/>
      </w:pPr>
      <w:r>
        <w:rPr>
          <w:rFonts w:ascii="맑은 고딕" w:cs="맑은 고딕" w:eastAsia="맑은 고딕" w:hAnsi="맑은 고딕"/>
          <w:b/>
          <w:bCs/>
          <w:i w:val="false"/>
          <w:iCs w:val="false"/>
          <w:color w:val="0070C0"/>
          <w:sz w:val="20"/>
          <w:szCs w:val="20"/>
        </w:rPr>
        <w:t xml:space="preserve">[6] </w:t>
      </w:r>
      <w:r>
        <w:rPr>
          <w:rFonts w:ascii="맑은 고딕" w:cs="맑은 고딕" w:eastAsia="맑은 고딕" w:hAnsi="맑은 고딕"/>
          <w:b w:val="false"/>
          <w:bCs w:val="false"/>
          <w:i w:val="false"/>
          <w:iCs w:val="false"/>
          <w:color w:val="000000"/>
          <w:sz w:val="18"/>
          <w:szCs w:val="18"/>
        </w:rPr>
        <w:t xml:space="preserve">SAP Korea, 「SAP S/4HANA 도입 사례 — 롯데케미칼」 공식 자료</w:t>
      </w:r>
    </w:p>
    <w:p>
      <w:pPr>
        <w:spacing w:after="60" w:before="60" w:line="320"/>
        <w:jc w:val="both"/>
      </w:pPr>
      <w:r>
        <w:rPr>
          <w:rFonts w:ascii="맑은 고딕" w:cs="맑은 고딕" w:eastAsia="맑은 고딕" w:hAnsi="맑은 고딕"/>
          <w:b/>
          <w:bCs/>
          <w:i w:val="false"/>
          <w:iCs w:val="false"/>
          <w:color w:val="0070C0"/>
          <w:sz w:val="20"/>
          <w:szCs w:val="20"/>
        </w:rPr>
        <w:t xml:space="preserve">[7] </w:t>
      </w:r>
      <w:r>
        <w:rPr>
          <w:rFonts w:ascii="맑은 고딕" w:cs="맑은 고딕" w:eastAsia="맑은 고딕" w:hAnsi="맑은 고딕"/>
          <w:b w:val="false"/>
          <w:bCs w:val="false"/>
          <w:i w:val="false"/>
          <w:iCs w:val="false"/>
          <w:color w:val="000000"/>
          <w:sz w:val="18"/>
          <w:szCs w:val="18"/>
        </w:rPr>
        <w:t xml:space="preserve">롯데정보통신 회사 소개 — IR 자료 (https://www.ldcc.co.kr)</w:t>
      </w:r>
    </w:p>
    <w:p>
      <w:pPr>
        <w:spacing w:after="60" w:before="60" w:line="320"/>
        <w:jc w:val="both"/>
      </w:pPr>
      <w:r>
        <w:rPr>
          <w:rFonts w:ascii="맑은 고딕" w:cs="맑은 고딕" w:eastAsia="맑은 고딕" w:hAnsi="맑은 고딕"/>
          <w:b/>
          <w:bCs/>
          <w:i w:val="false"/>
          <w:iCs w:val="false"/>
          <w:color w:val="0070C0"/>
          <w:sz w:val="20"/>
          <w:szCs w:val="20"/>
        </w:rPr>
        <w:t xml:space="preserve">[8] </w:t>
      </w:r>
      <w:r>
        <w:rPr>
          <w:rFonts w:ascii="맑은 고딕" w:cs="맑은 고딕" w:eastAsia="맑은 고딕" w:hAnsi="맑은 고딕"/>
          <w:b w:val="false"/>
          <w:bCs w:val="false"/>
          <w:i w:val="false"/>
          <w:iCs w:val="false"/>
          <w:color w:val="000000"/>
          <w:sz w:val="18"/>
          <w:szCs w:val="18"/>
        </w:rPr>
        <w:t xml:space="preserve">롯데케미칼(주), 「제42기 사업보고서」(2017년 1월 1일 ~ 2017년 12월 31일), 2018.04.02 제출. 금융감독원 전자공시시스템 DART (https://dart.fss.or.kr) — 박제성 상무보 신원·직위, 2010년 GEMS 구축 사실, 2016년 M&amp;A 인수금액(롯데정밀화학 4,650억 / 롯데첨단소재 2조 3,265억), 2017년 연결 매출 15조 8,745억원 및 영업이익 2조 9,297억원 등</w:t>
      </w:r>
    </w:p>
    <w:p>
      <w:pPr>
        <w:spacing w:after="60" w:before="60" w:line="320"/>
        <w:jc w:val="both"/>
      </w:pPr>
      <w:r>
        <w:rPr>
          <w:rFonts w:ascii="맑은 고딕" w:cs="맑은 고딕" w:eastAsia="맑은 고딕" w:hAnsi="맑은 고딕"/>
          <w:b/>
          <w:bCs/>
          <w:i w:val="false"/>
          <w:iCs w:val="false"/>
          <w:color w:val="0070C0"/>
          <w:sz w:val="20"/>
          <w:szCs w:val="20"/>
        </w:rPr>
        <w:t xml:space="preserve">[9] </w:t>
      </w:r>
      <w:r>
        <w:rPr>
          <w:rFonts w:ascii="맑은 고딕" w:cs="맑은 고딕" w:eastAsia="맑은 고딕" w:hAnsi="맑은 고딕"/>
          <w:b w:val="false"/>
          <w:bCs w:val="false"/>
          <w:i w:val="false"/>
          <w:iCs w:val="false"/>
          <w:color w:val="000000"/>
          <w:sz w:val="18"/>
          <w:szCs w:val="18"/>
        </w:rPr>
        <w:t xml:space="preserve">롯데케미칼(주), 「제43기 정정 사업보고서」(2018년 1월 1일 ~ 2018년 12월 31일), 2019.07.26 제출 (2022.11.26 정정). 금융감독원 DART — 이사회 의결사항: 2018.02.08 '그룹공통시스템 사용 계약(제7호)'·'디지털혁신협의체 공통 업무 추진 협약서(제8호)', 2018.05.28 '환경 에너지 통합서비스 계약(제2호)', 2018.12.19 '10개 IT 시스템 안건 의결(제7호)' 중 'SAP 라이선스 구매(제7-9호)' 포함</w:t>
      </w:r>
    </w:p>
    <w:p>
      <w:pPr>
        <w:spacing w:after="60" w:before="60" w:line="320"/>
        <w:jc w:val="both"/>
      </w:pPr>
      <w:r>
        <w:rPr>
          <w:rFonts w:ascii="맑은 고딕" w:cs="맑은 고딕" w:eastAsia="맑은 고딕" w:hAnsi="맑은 고딕"/>
          <w:b/>
          <w:bCs/>
          <w:i w:val="false"/>
          <w:iCs w:val="false"/>
          <w:color w:val="0070C0"/>
          <w:sz w:val="20"/>
          <w:szCs w:val="20"/>
        </w:rPr>
        <w:t xml:space="preserve">[10] </w:t>
      </w:r>
      <w:r>
        <w:rPr>
          <w:rFonts w:ascii="맑은 고딕" w:cs="맑은 고딕" w:eastAsia="맑은 고딕" w:hAnsi="맑은 고딕"/>
          <w:b w:val="false"/>
          <w:bCs w:val="false"/>
          <w:i w:val="false"/>
          <w:iCs w:val="false"/>
          <w:color w:val="000000"/>
          <w:sz w:val="18"/>
          <w:szCs w:val="18"/>
        </w:rPr>
        <w:t xml:space="preserve">롯데케미칼 공식 회사사 — 「2003-04 호남석유화학 SMART ERP 구축 (Big Bang 방식, 10개월)」. https://www.lottechem.com/history/contentsid/645/index.do</w:t>
      </w:r>
    </w:p>
    <w:p>
      <w:pPr>
        <w:spacing w:after="60" w:before="60" w:line="320"/>
        <w:jc w:val="both"/>
      </w:pPr>
      <w:r>
        <w:rPr>
          <w:rFonts w:ascii="맑은 고딕" w:cs="맑은 고딕" w:eastAsia="맑은 고딕" w:hAnsi="맑은 고딕"/>
          <w:b/>
          <w:bCs/>
          <w:i w:val="false"/>
          <w:iCs w:val="false"/>
          <w:color w:val="0070C0"/>
          <w:sz w:val="20"/>
          <w:szCs w:val="20"/>
        </w:rPr>
        <w:t xml:space="preserve">[11] </w:t>
      </w:r>
      <w:r>
        <w:rPr>
          <w:rFonts w:ascii="맑은 고딕" w:cs="맑은 고딕" w:eastAsia="맑은 고딕" w:hAnsi="맑은 고딕"/>
          <w:b w:val="false"/>
          <w:bCs w:val="false"/>
          <w:i w:val="false"/>
          <w:iCs w:val="false"/>
          <w:color w:val="000000"/>
          <w:sz w:val="18"/>
          <w:szCs w:val="18"/>
        </w:rPr>
        <w:t xml:space="preserve">이상신 (2020.12), 「석유화학기업 IT서비스의 클라우드 서비스 전환의도에 영향을 미치는 요인에 관한 연구」, 박사학위논문, 숭실대학교 대학원 IT정책경영학과, 164p. (석유화학 산업의 IT 시스템 특성 5대 분류 — 폐쇄성·접근성·데이터 활용도·투자비 과다·경영진 인식, 박주황(2014) 제조업 5대 동향과 시사점, 김근옥(2019) 석유화학산업 5대 특성, Bespin Global 2019 조사 — 제조/건설 대기업의 클라우드 ERP 활용률 10.5%)</w:t>
      </w:r>
    </w:p>
    <w:p>
      <w:pPr>
        <w:spacing w:after="60" w:before="60" w:line="320"/>
        <w:jc w:val="both"/>
      </w:pPr>
      <w:r>
        <w:rPr>
          <w:rFonts w:ascii="맑은 고딕" w:cs="맑은 고딕" w:eastAsia="맑은 고딕" w:hAnsi="맑은 고딕"/>
          <w:b/>
          <w:bCs/>
          <w:i w:val="false"/>
          <w:iCs w:val="false"/>
          <w:color w:val="0070C0"/>
          <w:sz w:val="20"/>
          <w:szCs w:val="20"/>
        </w:rPr>
        <w:t xml:space="preserve">[12] </w:t>
      </w:r>
      <w:r>
        <w:rPr>
          <w:rFonts w:ascii="맑은 고딕" w:cs="맑은 고딕" w:eastAsia="맑은 고딕" w:hAnsi="맑은 고딕"/>
          <w:b w:val="false"/>
          <w:bCs w:val="false"/>
          <w:i w:val="false"/>
          <w:iCs w:val="false"/>
          <w:color w:val="000000"/>
          <w:sz w:val="18"/>
          <w:szCs w:val="18"/>
        </w:rPr>
        <w:t xml:space="preserve">SAP 공식 자료, 「SAP Value Assurance Service for S/4HANA」 컴포넌트 구성 자료. (Fit Gap Analysis, Migration Planning Workshop, Go-Live Readiness Check, Custom Code Management Architecture, Data Migration Architecture, Test Planning, Business Process Technical Validation, Integration Validation, Transition to Operations 등 구조화된 컨설팅 서비스)</w:t>
      </w:r>
    </w:p>
    <w:p>
      <w:pPr>
        <w:spacing w:after="60" w:before="60" w:line="320"/>
        <w:jc w:val="both"/>
      </w:pPr>
      <w:r>
        <w:rPr>
          <w:rFonts w:ascii="맑은 고딕" w:cs="맑은 고딕" w:eastAsia="맑은 고딕" w:hAnsi="맑은 고딕"/>
          <w:b/>
          <w:bCs/>
          <w:i w:val="false"/>
          <w:iCs w:val="false"/>
          <w:color w:val="0070C0"/>
          <w:sz w:val="20"/>
          <w:szCs w:val="20"/>
        </w:rPr>
        <w:t xml:space="preserve">[13] </w:t>
      </w:r>
      <w:r>
        <w:rPr>
          <w:rFonts w:ascii="맑은 고딕" w:cs="맑은 고딕" w:eastAsia="맑은 고딕" w:hAnsi="맑은 고딕"/>
          <w:b w:val="false"/>
          <w:bCs w:val="false"/>
          <w:i w:val="false"/>
          <w:iCs w:val="false"/>
          <w:color w:val="000000"/>
          <w:sz w:val="18"/>
          <w:szCs w:val="18"/>
        </w:rPr>
        <w:t xml:space="preserve">롯데케미칼 보도자료 (2020.08.12), 「롯데케미칼, DT(Digital Transformation) 전략 추진」. https://www.lottechem.com/ko/media/news/253/view.do — '2018년 DT 전략 선제적 수립, 2019년부터 실행과제 우선순위 개발'. 김교현 대표 발언: 'DT가 회사 본업의 경쟁력을 강화하여 주주와 고객의 가치를 제고하는 가장 중요한 핵심 자산'</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ERP개론 팀프로젝트 Step3 v3</dc:title>
  <dc:creator>Hoony - Kwangwoon Univ ERP Team Project</dc:creator>
  <cp:lastModifiedBy>Un-named</cp:lastModifiedBy>
  <cp:revision>1</cp:revision>
  <dcterms:created xsi:type="dcterms:W3CDTF">2026-05-21T07:05:00.400Z</dcterms:created>
  <dcterms:modified xsi:type="dcterms:W3CDTF">2026-05-21T07:05:00.400Z</dcterms:modified>
</cp:coreProperties>
</file>

<file path=docProps/custom.xml><?xml version="1.0" encoding="utf-8"?>
<Properties xmlns="http://schemas.openxmlformats.org/officeDocument/2006/custom-properties" xmlns:vt="http://schemas.openxmlformats.org/officeDocument/2006/docPropsVTypes"/>
</file>