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20"/>
        <w:jc w:val="center"/>
      </w:pPr>
      <w:r>
        <w:rPr>
          <w:rFonts w:ascii="맑은 고딕" w:cs="맑은 고딕" w:eastAsia="맑은 고딕" w:hAnsi="맑은 고딕"/>
          <w:b/>
          <w:bCs/>
          <w:sz w:val="40"/>
          <w:szCs w:val="40"/>
        </w:rPr>
        <w:t xml:space="preserve">Step 4. 도입 성과 및 구현 후 검토 (PIR) — v3</w:t>
      </w:r>
    </w:p>
    <w:p>
      <w:pPr>
        <w:spacing w:after="80" w:before="200" w:line="320"/>
        <w:jc w:val="center"/>
      </w:pPr>
      <w:r>
        <w:rPr>
          <w:rFonts w:ascii="맑은 고딕" w:cs="맑은 고딕" w:eastAsia="맑은 고딕" w:hAnsi="맑은 고딕"/>
          <w:b/>
          <w:bCs/>
          <w:sz w:val="32"/>
          <w:szCs w:val="32"/>
        </w:rPr>
        <w:t xml:space="preserve">롯데케미칼(주) SAP S/4HANA 통합 ERP 구축 사례 분석</w:t>
      </w:r>
    </w:p>
    <w:p>
      <w:pPr>
        <w:spacing w:after="120" w:before="120"/>
      </w:pPr>
      <w:r>
        <w:rPr>
          <w:rFonts w:ascii="맑은 고딕" w:cs="맑은 고딕" w:eastAsia="맑은 고딕" w:hAnsi="맑은 고딕"/>
        </w:rPr>
        <w:t xml:space="preserve"/>
      </w:r>
    </w:p>
    <w:p>
      <w:pPr>
        <w:spacing w:after="60" w:before="60" w:line="320"/>
        <w:jc w:val="center"/>
      </w:pPr>
      <w:r>
        <w:rPr>
          <w:rFonts w:ascii="맑은 고딕" w:cs="맑은 고딕" w:eastAsia="맑은 고딕" w:hAnsi="맑은 고딕"/>
          <w:b w:val="false"/>
          <w:bCs w:val="false"/>
          <w:i w:val="false"/>
          <w:iCs w:val="false"/>
          <w:color w:val="000000"/>
          <w:sz w:val="20"/>
          <w:szCs w:val="20"/>
        </w:rPr>
        <w:t xml:space="preserve">광운대학교 경영대학 경영학부 </w:t>
      </w:r>
      <w:r>
        <w:rPr>
          <w:rFonts w:ascii="맑은 고딕" w:cs="맑은 고딕" w:eastAsia="맑은 고딕" w:hAnsi="맑은 고딕"/>
          <w:b/>
          <w:bCs/>
          <w:i w:val="false"/>
          <w:iCs w:val="false"/>
          <w:color w:val="000000"/>
          <w:sz w:val="20"/>
          <w:szCs w:val="20"/>
        </w:rPr>
        <w:t xml:space="preserve">ERP개론 팀프로젝트</w:t>
      </w:r>
    </w:p>
    <w:p>
      <w:pPr>
        <w:spacing w:after="60" w:before="60" w:line="320"/>
        <w:jc w:val="center"/>
      </w:pPr>
      <w:r>
        <w:rPr>
          <w:rFonts w:ascii="맑은 고딕" w:cs="맑은 고딕" w:eastAsia="맑은 고딕" w:hAnsi="맑은 고딕"/>
          <w:b w:val="false"/>
          <w:bCs w:val="false"/>
          <w:i w:val="false"/>
          <w:iCs w:val="false"/>
          <w:color w:val="000000"/>
          <w:sz w:val="20"/>
          <w:szCs w:val="20"/>
        </w:rPr>
        <w:t xml:space="preserve">1팀 — 신해원 · 김민아 · 김동현 · 성슬기</w:t>
      </w:r>
    </w:p>
    <w:p>
      <w:pPr>
        <w:spacing w:after="120" w:before="120"/>
      </w:pPr>
      <w:r>
        <w:rPr>
          <w:rFonts w:ascii="맑은 고딕" w:cs="맑은 고딕" w:eastAsia="맑은 고딕" w:hAnsi="맑은 고딕"/>
        </w:rPr>
        <w:t xml:space="preserve"/>
      </w:r>
    </w:p>
    <w:p>
      <w:pPr>
        <w:spacing w:after="60" w:before="60" w:line="320"/>
        <w:jc w:val="both"/>
      </w:pPr>
      <w:r>
        <w:rPr>
          <w:rFonts w:ascii="맑은 고딕" w:cs="맑은 고딕" w:eastAsia="맑은 고딕" w:hAnsi="맑은 고딕"/>
          <w:sz w:val="20"/>
          <w:szCs w:val="20"/>
        </w:rPr>
        <w:t xml:space="preserve">본 단계는 Post Implementation Review(PIR), 즉 ERP 시스템 가동 이후 그 성과와 효과를 검증하는 사후 평가 단계이다. 본 사례에서는 2017년 11월의 SAP S/4HANA 가동 시점부터 박제성 정보전략담당 상무 인터뷰가 진행된 2019년 9월, 그리고 본 보고서 작성 시점인 2026년 5월까지를 분석 시계열로 한다. PIR의 본질은 단순한 '성과 자랑'이 아니라, Step 2에서 설정한 초기 목표 대비 실제 달성도를 정량·정성 양 측면에서 검증하고, 그 결과가 후속 의사결정에 어떻게 연결되었는지를 추적하는 데 있다.</w:t>
      </w:r>
    </w:p>
    <w:p>
      <w:pPr>
        <w:spacing w:after="60" w:before="60"/>
      </w:pPr>
      <w:r>
        <w:rPr>
          <w:rFonts w:ascii="맑은 고딕" w:cs="맑은 고딕" w:eastAsia="맑은 고딕" w:hAnsi="맑은 고딕"/>
        </w:rPr>
        <w:t xml:space="preserve"/>
      </w:r>
    </w:p>
    <w:p>
      <w:pPr>
        <w:spacing w:after="60" w:before="60" w:line="320"/>
        <w:jc w:val="both"/>
      </w:pPr>
      <w:r>
        <w:rPr>
          <w:rFonts w:ascii="맑은 고딕" w:cs="맑은 고딕" w:eastAsia="맑은 고딕" w:hAnsi="맑은 고딕"/>
          <w:sz w:val="20"/>
          <w:szCs w:val="20"/>
        </w:rPr>
        <w:t xml:space="preserve">본 PIR은 다음의 4단계 프레임에 따라 진행된다. ① 정량 성과의 측정 (다운타임·성능·조회속도·통합 범위) → ② 정성 성과의 검증 (시너지·글로벌·디지털 코어·사용자 만족) → ③ Step 2의 4대 초기 목표와의 달성도 매칭 → ④ 후속 효과(2018+ 이사회 의결·DT 전략 수립)와 타사 벤치마크를 통한 본 사례의 위치 확인.</w:t>
      </w:r>
    </w:p>
    <w:p>
      <w:pPr>
        <w:spacing w:after="60" w:before="60"/>
      </w:pPr>
      <w:r>
        <w:rPr>
          <w:rFonts w:ascii="맑은 고딕" w:cs="맑은 고딕" w:eastAsia="맑은 고딕" w:hAnsi="맑은 고딕"/>
        </w:rPr>
        <w:t xml:space="preserve"/>
      </w:r>
    </w:p>
    <w:p>
      <w:pPr>
        <w:spacing w:after="60" w:before="60" w:line="320"/>
        <w:jc w:val="both"/>
      </w:pPr>
      <w:r>
        <w:rPr>
          <w:rFonts w:ascii="맑은 고딕" w:cs="맑은 고딕" w:eastAsia="맑은 고딕" w:hAnsi="맑은 고딕"/>
          <w:b w:val="false"/>
          <w:bCs w:val="false"/>
          <w:i/>
          <w:iCs/>
          <w:color w:val="595959"/>
          <w:sz w:val="20"/>
          <w:szCs w:val="20"/>
        </w:rPr>
        <w:t xml:space="preserve">본 단계는 강의 자료의 '구현 후 검토(Post Implementation Review)' 단계에 해당한다. 강의 자료(19p)는 PIR의 본질을 다음과 같이 명시한다: "구현 후 검토를 수행하는 일차적인 목적은 시스템 및 요구사항이 달성되었는지 판단하는 것이다. 구현 후 검토는 프로젝트 팀과 별개의 그룹에 의해서 수행될 수 있다(QA팀 등). 사업 효익 실현 여부 및 경영 목표 부합 검토." 본 보고서의 PIR은 강의의 이 정의를 따라 ① 시스템 및 요구사항 달성 여부, ② 사업 효익 실현 여부, ③ 경영 목표 부합 여부를 검증한다.</w:t>
      </w:r>
    </w:p>
    <w:p>
      <w:pPr>
        <w:spacing w:after="120" w:before="280" w:line="320"/>
      </w:pPr>
      <w:r>
        <w:rPr>
          <w:rFonts w:ascii="맑은 고딕" w:cs="맑은 고딕" w:eastAsia="맑은 고딕" w:hAnsi="맑은 고딕"/>
          <w:b/>
          <w:bCs/>
          <w:sz w:val="26"/>
          <w:szCs w:val="26"/>
        </w:rPr>
        <w:t xml:space="preserve">1. PIR의 분석 프레임과 데이터 가용성</w:t>
      </w:r>
    </w:p>
    <w:p>
      <w:pPr>
        <w:spacing w:after="60" w:before="60" w:line="320"/>
        <w:jc w:val="both"/>
      </w:pPr>
      <w:r>
        <w:rPr>
          <w:rFonts w:ascii="맑은 고딕" w:cs="맑은 고딕" w:eastAsia="맑은 고딕" w:hAnsi="맑은 고딕"/>
          <w:sz w:val="20"/>
          <w:szCs w:val="20"/>
        </w:rPr>
        <w:t xml:space="preserve">Post Implementation Review(PIR)는 ERP 도입 프로젝트의 가장 중요한 단계 중 하나이지만, 동시에 가장 자료가 부족하기 쉬운 단계이다. 기업은 도입 결정과 구축 과정은 적극적으로 홍보하지만, 가동 이후의 정량 성과(특히 ROI·투자대비효과)는 영업비밀로 보호하는 경우가 많다. 본 사례에서도 이런 한계가 명확히 존재하며, 그래서 본 PIR은 공개된 4가지 핵심 정량 지표를 중심으로 분석을 진행하면서, 비공개 영역은 후속 효과와 학술적 보강으로 간접 검증하는 접근을 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분석 영역</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공개 자료</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데이터 출처</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다운타임 단축</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진단 114h → 실제 52h (-54%)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박제성 정보전략담당 상무 인터뷰[1]</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프로그램 성능 개선</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주요 비즈니스 프로그램 90.5% 개선</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박제성 인터뷰[1]</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조회 속도 개선</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1년 40만건 매출대장 조회 = 2분</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박제성 인터뷰[1]</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통합 범위</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10개 핵심 모듈 / 110개국 수출 / 6개국 해외 거점</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박제성 인터뷰[1] + 사업보고서[8]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투자 규모·ROI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비공개</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사업보고서에 별도 분리 공시 없음</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사용자 만족도</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정성 표현만 공개 ('회계부서 박수')</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박제성 인터뷰[1]</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후속 디지털 투자</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공개 (이사회 의결 기록)</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정정 사업보고서[9]</w:t>
            </w:r>
          </w:p>
        </w:tc>
      </w:tr>
    </w:tbl>
    <w:p>
      <w:pPr>
        <w:spacing w:after="60" w:before="60" w:line="320"/>
        <w:jc w:val="both"/>
      </w:pPr>
      <w:r>
        <w:rPr>
          <w:rFonts w:ascii="맑은 고딕" w:cs="맑은 고딕" w:eastAsia="맑은 고딕" w:hAnsi="맑은 고딕"/>
          <w:sz w:val="20"/>
          <w:szCs w:val="20"/>
        </w:rPr>
        <w:t xml:space="preserve">이 표가 보여주듯이, 본 사례는 '정량 4지표 + 정성 표현 + 후속 효과'라는 비교적 충실한 PIR 자료를 가진 사례에 속한다. 특히 박제성 인터뷰[1]는 단순 홍보성 자료가 아니라 정보전략 담당 임원이 직접 구체적 수치를 공개한 1차 자료라는 점에서 신뢰도가 높다. 또한 사업보고서[9]의 2018년 이사회 의결사항은 회사가 자체 보고할 동기가 약한 객관적 기록이라는 점에서, 본 PIR의 후속 효과 분석에 강력한 근거를 제공한다.</w:t>
      </w:r>
    </w:p>
    <w:p>
      <w:pPr>
        <w:spacing w:after="120" w:before="280" w:line="320"/>
      </w:pPr>
      <w:r>
        <w:rPr>
          <w:rFonts w:ascii="맑은 고딕" w:cs="맑은 고딕" w:eastAsia="맑은 고딕" w:hAnsi="맑은 고딕"/>
          <w:b/>
          <w:bCs/>
          <w:sz w:val="26"/>
          <w:szCs w:val="26"/>
        </w:rPr>
        <w:t xml:space="preserve">2. 정량 성과 분석</w:t>
      </w:r>
    </w:p>
    <w:p>
      <w:pPr>
        <w:spacing w:after="60" w:before="60" w:line="320"/>
        <w:jc w:val="both"/>
      </w:pPr>
      <w:r>
        <w:rPr>
          <w:rFonts w:ascii="맑은 고딕" w:cs="맑은 고딕" w:eastAsia="맑은 고딕" w:hAnsi="맑은 고딕"/>
          <w:sz w:val="20"/>
          <w:szCs w:val="20"/>
        </w:rPr>
        <w:t xml:space="preserve">박제성 정보전략담당 상무 인터뷰[1]에서 공개된 4가지 정량 지표를 항목별로 분석한다. 각 지표는 단순한 숫자가 아니라, Step 3에서 정의한 4대 의사결정 문제에 대한 답안의 검증치로 기능한다.</w:t>
      </w:r>
    </w:p>
    <w:p>
      <w:pPr>
        <w:spacing w:after="80" w:before="180" w:line="320"/>
      </w:pPr>
      <w:r>
        <w:rPr>
          <w:rFonts w:ascii="맑은 고딕" w:cs="맑은 고딕" w:eastAsia="맑은 고딕" w:hAnsi="맑은 고딕"/>
          <w:b/>
          <w:bCs/>
          <w:sz w:val="22"/>
          <w:szCs w:val="22"/>
        </w:rPr>
        <w:t xml:space="preserve">2.1 다운타임 단축: 114시간 → 52시간 (-54%)</w:t>
      </w:r>
    </w:p>
    <w:p>
      <w:pPr>
        <w:spacing w:after="60" w:before="60" w:line="320"/>
        <w:jc w:val="both"/>
      </w:pPr>
      <w:r>
        <w:rPr>
          <w:rFonts w:ascii="맑은 고딕" w:cs="맑은 고딕" w:eastAsia="맑은 고딕" w:hAnsi="맑은 고딕"/>
          <w:sz w:val="20"/>
          <w:szCs w:val="20"/>
        </w:rPr>
        <w:t xml:space="preserve">본 프로젝트의 가장 두드러진 정량 성과는 시스템 전환 다운타임의 단축이다. 프로젝트 초기 진단 단계에서는 114시간의 다운타임이 예상되었으나, SAP Value Assurance Service를 활용한 지속적 테스트와 마이그레이션 최적화를 통해 실제 가동 시점에는 52시간으로 단축되었다. 이는 약 62시간 분의 운영 손실을 사전에 회피한 결과이다.[1][12]</w:t>
      </w:r>
    </w:p>
    <w:p>
      <w:pPr>
        <w:spacing w:after="60" w:before="60" w:line="320"/>
        <w:jc w:val="both"/>
      </w:pPr>
      <w:r>
        <w:rPr>
          <w:rFonts w:ascii="맑은 고딕" w:cs="맑은 고딕" w:eastAsia="맑은 고딕" w:hAnsi="맑은 고딕"/>
          <w:sz w:val="20"/>
          <w:szCs w:val="20"/>
        </w:rPr>
        <w:t xml:space="preserve">이 수치의 비즈니스적 의미는 단순한 운영 효율 개선을 넘어선다.</w:t>
      </w:r>
    </w:p>
    <w:p>
      <w:pPr>
        <w:spacing w:after="60" w:before="60" w:line="320"/>
        <w:jc w:val="both"/>
      </w:pPr>
      <w:r>
        <w:rPr>
          <w:rFonts w:ascii="맑은 고딕" w:cs="맑은 고딕" w:eastAsia="맑은 고딕" w:hAnsi="맑은 고딕"/>
          <w:sz w:val="20"/>
          <w:szCs w:val="20"/>
        </w:rPr>
        <w:t xml:space="preserve">① 생산 손실 회피: 24시간 연속 가동되는 NCC(나프타 분해 공정), 다운스트림 폴리머·모노머 공장이 62시간 더 가동되면서 확보된 생산량.</w:t>
      </w:r>
    </w:p>
    <w:p>
      <w:pPr>
        <w:spacing w:after="60" w:before="60" w:line="320"/>
        <w:jc w:val="both"/>
      </w:pPr>
      <w:r>
        <w:rPr>
          <w:rFonts w:ascii="맑은 고딕" w:cs="맑은 고딕" w:eastAsia="맑은 고딕" w:hAnsi="맑은 고딕"/>
          <w:sz w:val="20"/>
          <w:szCs w:val="20"/>
        </w:rPr>
        <w:t xml:space="preserve">② 출하 손실 회피: 110개국 수출 채널에서 주문 처리·물류 출하가 끊기지 않음으로써 글로벌 고객 신뢰 유지. 석유화학 제품은 LC(신용장)·선적 일정 기반 거래가 많아 출하 지연은 즉각적 신뢰 손실로 이어진다.</w:t>
      </w:r>
    </w:p>
    <w:p>
      <w:pPr>
        <w:spacing w:after="60" w:before="60" w:line="320"/>
        <w:jc w:val="both"/>
      </w:pPr>
      <w:r>
        <w:rPr>
          <w:rFonts w:ascii="맑은 고딕" w:cs="맑은 고딕" w:eastAsia="맑은 고딕" w:hAnsi="맑은 고딕"/>
          <w:sz w:val="20"/>
          <w:szCs w:val="20"/>
        </w:rPr>
        <w:t xml:space="preserve">③ 안전 리스크 회피: 화학 공정의 정지-재가동 시점은 안전사고 발생률이 통상 운전 시점보다 현저히 높다. 다운타임 단축은 곧 안전 리스크 노출 축소이다.</w:t>
      </w:r>
    </w:p>
    <w:p>
      <w:pPr>
        <w:spacing w:after="60" w:before="60" w:line="320"/>
        <w:jc w:val="both"/>
      </w:pPr>
      <w:r>
        <w:rPr>
          <w:rFonts w:ascii="맑은 고딕" w:cs="맑은 고딕" w:eastAsia="맑은 고딕" w:hAnsi="맑은 고딕"/>
          <w:sz w:val="20"/>
          <w:szCs w:val="20"/>
        </w:rPr>
        <w:t xml:space="preserve">④ 동종업계 대비 우위: 삼성전기의 S/4HANA 도입 시 다운타임 75% 단축 성과(2022년 사례)와 비교하면, 2017년 시점의 롯데케미칼 54% 단축은 당시 기술 환경에서 매우 우수한 수준이다.</w:t>
      </w:r>
    </w:p>
    <w:p>
      <w:pPr>
        <w:spacing w:after="80" w:before="180" w:line="320"/>
      </w:pPr>
      <w:r>
        <w:rPr>
          <w:rFonts w:ascii="맑은 고딕" w:cs="맑은 고딕" w:eastAsia="맑은 고딕" w:hAnsi="맑은 고딕"/>
          <w:b/>
          <w:bCs/>
          <w:sz w:val="22"/>
          <w:szCs w:val="22"/>
        </w:rPr>
        <w:t xml:space="preserve">정량 환산의 해석상 주의</w:t>
      </w:r>
    </w:p>
    <w:p>
      <w:pPr>
        <w:spacing w:after="60" w:before="60" w:line="320"/>
        <w:jc w:val="both"/>
      </w:pPr>
      <w:r>
        <w:rPr>
          <w:rFonts w:ascii="맑은 고딕" w:cs="맑은 고딕" w:eastAsia="맑은 고딕" w:hAnsi="맑은 고딕"/>
          <w:b w:val="false"/>
          <w:bCs w:val="false"/>
          <w:i/>
          <w:iCs/>
          <w:color w:val="000000"/>
          <w:sz w:val="20"/>
          <w:szCs w:val="20"/>
        </w:rPr>
        <w:t xml:space="preserve">참고로 2017년 매출 15.87조원을 365일로 나누면 일평균 매출은 약 435억원이고, 62시간(약 2.6일)은 약 1,100억원 수준의 영업 운영 시간에 해당한다. 단, 이 금액은 실제 손실 회피액이 아니라 '다운타임 62시간이 어느 정도의 영업 규모에 해당하는지를 보여주는 참고 환산치'이다. 본 사례의 핵심은 금액 자체가 아니라, 연속공정 산업에서 시스템 전환 시간이 곧 운영 리스크라는 점이며, 그것을 사전에 통제한 의사결정의 가치이다.</w:t>
      </w:r>
    </w:p>
    <w:p>
      <w:pPr>
        <w:spacing w:after="60" w:before="60" w:line="320"/>
        <w:jc w:val="both"/>
      </w:pPr>
      <w:r>
        <w:rPr>
          <w:rFonts w:ascii="맑은 고딕" w:cs="맑은 고딕" w:eastAsia="맑은 고딕" w:hAnsi="맑은 고딕"/>
          <w:sz w:val="20"/>
          <w:szCs w:val="20"/>
        </w:rPr>
        <w:t xml:space="preserve">다운타임 통제의 중요성은 학술적으로도 뒷받침된다. 이상신(2020)[11]은 석유화학 산업을 '대규모 장치산업이자 연속공정 산업'으로 정의하며, "기간계 시스템의 안정적 운영보다는 공정 운전의 안정성을 특히 중요시"한다고 분석했다. 롯데케미칼의 다운타임 54% 단축 결정은 이러한 산업 특성에 대한 정확한 인식의 산물이다.</w:t>
      </w:r>
    </w:p>
    <w:p>
      <w:pPr>
        <w:spacing w:after="80" w:before="180" w:line="320"/>
      </w:pPr>
      <w:r>
        <w:rPr>
          <w:rFonts w:ascii="맑은 고딕" w:cs="맑은 고딕" w:eastAsia="맑은 고딕" w:hAnsi="맑은 고딕"/>
          <w:b/>
          <w:bCs/>
          <w:sz w:val="22"/>
          <w:szCs w:val="22"/>
        </w:rPr>
        <w:t xml:space="preserve">2.2 주요 비즈니스 프로그램 성능 90.5% 개선</w:t>
      </w:r>
    </w:p>
    <w:p>
      <w:pPr>
        <w:spacing w:after="60" w:before="60" w:line="320"/>
        <w:jc w:val="both"/>
      </w:pPr>
      <w:r>
        <w:rPr>
          <w:rFonts w:ascii="맑은 고딕" w:cs="맑은 고딕" w:eastAsia="맑은 고딕" w:hAnsi="맑은 고딕"/>
          <w:sz w:val="20"/>
          <w:szCs w:val="20"/>
        </w:rPr>
        <w:t xml:space="preserve">박제성 인터뷰[1]는 "주요 비즈니스 프로그램 성능이 90.5% 개선되었다"고 명시했다. 이 수치는 단일 프로그램이 아닌 '주요 비즈니스 프로그램'의 평균 개선치로, S/4HANA의 인메모리(In-Memory) 아키텍처가 가져온 본질적 변화를 보여준다.</w:t>
      </w:r>
    </w:p>
    <w:p>
      <w:pPr>
        <w:spacing w:after="60" w:before="60" w:line="320"/>
        <w:jc w:val="both"/>
      </w:pPr>
      <w:r>
        <w:rPr>
          <w:rFonts w:ascii="맑은 고딕" w:cs="맑은 고딕" w:eastAsia="맑은 고딕" w:hAnsi="맑은 고딕"/>
          <w:sz w:val="20"/>
          <w:szCs w:val="20"/>
        </w:rPr>
        <w:t xml:space="preserve">기존 SAP ECC는 디스크 기반(Disk-based) 데이터베이스 위에서 작동하며, 대용량 데이터 조회·집계 시 디스크 I/O 병목이 발생했다. S/4HANA는 SAP HANA 인메모리 DB 위에서 작동하여 데이터를 메인 메모리에서 직접 처리하므로, 동일 쿼리에 대해 수십~수백 배의 성능 향상이 가능하다. 또한 S/4HANA는 코드 단순화(Simplification)를 통해 기존 ECC의 중복 테이블·인덱스를 통합한 점도 성능 개선에 기여했다.</w:t>
      </w:r>
    </w:p>
    <w:p>
      <w:pPr>
        <w:spacing w:after="60" w:before="60" w:line="320"/>
        <w:jc w:val="both"/>
      </w:pPr>
      <w:r>
        <w:rPr>
          <w:rFonts w:ascii="맑은 고딕" w:cs="맑은 고딕" w:eastAsia="맑은 고딕" w:hAnsi="맑은 고딕"/>
          <w:sz w:val="20"/>
          <w:szCs w:val="20"/>
        </w:rPr>
        <w:t xml:space="preserve">비즈니스 관점에서 이 90.5% 개선은 다음을 의미한다: (i) 야간 배치(Batch) 처리에 의존하던 보고서·분석 업무가 실시간(Real-time)으로 가능해짐, (ii) 의사결정자가 데이터 조회 결과를 즉시 받음으로써 의사결정 사이클 단축, (iii) 다국적 거점 간 데이터 정합성 검증이 빨라져 글로벌 운영의 신뢰성 향상.</w:t>
      </w:r>
    </w:p>
    <w:p>
      <w:pPr>
        <w:spacing w:after="80" w:before="180" w:line="320"/>
      </w:pPr>
      <w:r>
        <w:rPr>
          <w:rFonts w:ascii="맑은 고딕" w:cs="맑은 고딕" w:eastAsia="맑은 고딕" w:hAnsi="맑은 고딕"/>
          <w:b/>
          <w:bCs/>
          <w:sz w:val="22"/>
          <w:szCs w:val="22"/>
        </w:rPr>
        <w:t xml:space="preserve">2.3 매출대장 조회 속도: 1년 40만건 = 2분</w:t>
      </w:r>
    </w:p>
    <w:p>
      <w:pPr>
        <w:spacing w:after="60" w:before="60" w:line="320"/>
        <w:jc w:val="both"/>
      </w:pPr>
      <w:r>
        <w:rPr>
          <w:rFonts w:ascii="맑은 고딕" w:cs="맑은 고딕" w:eastAsia="맑은 고딕" w:hAnsi="맑은 고딕"/>
          <w:sz w:val="20"/>
          <w:szCs w:val="20"/>
        </w:rPr>
        <w:t xml:space="preserve">박제성 인터뷰[1]는 구체적 예시로 "1년치 매출대장 40만 건 조회가 2분 내에 완료된다"고 밝혔다. 이는 추상적 성능 개선 수치를 사용자가 체감하는 구체적 업무 시나리오로 환산한 것이다.</w:t>
      </w:r>
    </w:p>
    <w:p>
      <w:pPr>
        <w:spacing w:after="60" w:before="60" w:line="320"/>
        <w:jc w:val="both"/>
      </w:pPr>
      <w:r>
        <w:rPr>
          <w:rFonts w:ascii="맑은 고딕" w:cs="맑은 고딕" w:eastAsia="맑은 고딕" w:hAnsi="맑은 고딕"/>
          <w:sz w:val="20"/>
          <w:szCs w:val="20"/>
        </w:rPr>
        <w:t xml:space="preserve">이 지표가 회계·재무 부서에 미친 영향은 박제성 인터뷰[1]에서 "회계부서에서도 많은 업무 시간이 단축되면서 프로젝트 팀에 박수를 보냈다"는 직접 인용으로 확인된다. ERP 도입 후 흔히 발생하는 사용자 저항 대신 자발적 만족이 표현된 점은, 본 프로젝트의 변경관리가 성공적이었음을 시사한다.</w:t>
      </w:r>
    </w:p>
    <w:p>
      <w:pPr>
        <w:spacing w:after="60" w:before="60" w:line="320"/>
        <w:jc w:val="both"/>
      </w:pPr>
      <w:r>
        <w:rPr>
          <w:rFonts w:ascii="맑은 고딕" w:cs="맑은 고딕" w:eastAsia="맑은 고딕" w:hAnsi="맑은 고딕"/>
          <w:sz w:val="20"/>
          <w:szCs w:val="20"/>
        </w:rPr>
        <w:t xml:space="preserve">비교 기준으로, 삼성전자 N-ERP(2022년 가동)는 '주문 조회 20분 → 3~4분'의 성능 개선을 발표했다. 조회 대상 데이터 규모와 시스템 구조가 다르므로 직접 비교는 어렵지만, 롯데케미칼이 2017년 시점에 이미 '40만 건 = 2분'의 성능을 확보했다는 점은 인메모리 ERP의 효과를 국내 제조업 중 매우 이른 시기에 실증한 사례임을 보여준다.</w:t>
      </w:r>
    </w:p>
    <w:p>
      <w:pPr>
        <w:spacing w:after="80" w:before="180" w:line="320"/>
      </w:pPr>
      <w:r>
        <w:rPr>
          <w:rFonts w:ascii="맑은 고딕" w:cs="맑은 고딕" w:eastAsia="맑은 고딕" w:hAnsi="맑은 고딕"/>
          <w:b/>
          <w:bCs/>
          <w:sz w:val="22"/>
          <w:szCs w:val="22"/>
        </w:rPr>
        <w:t xml:space="preserve">2.4 통합 범위: 10개 모듈 × 3사 × 6개국 × 110개국 수출</w:t>
      </w:r>
    </w:p>
    <w:p>
      <w:pPr>
        <w:spacing w:after="60" w:before="60" w:line="320"/>
        <w:jc w:val="both"/>
      </w:pPr>
      <w:r>
        <w:rPr>
          <w:rFonts w:ascii="맑은 고딕" w:cs="맑은 고딕" w:eastAsia="맑은 고딕" w:hAnsi="맑은 고딕"/>
          <w:sz w:val="20"/>
          <w:szCs w:val="20"/>
        </w:rPr>
        <w:t xml:space="preserve">본 프로젝트의 정량 성과 중 가장 광범위한 지표는 통합 범위 그 자체이다. 박제성 인터뷰[1]는 "구매·생산·설비·품질·영업·관리회계·재무자금·인사·GRC·화학물질관리의 10개 핵심 모듈"이 단일 SAP S/4HANA 위에서 운영된다고 명시했다.</w:t>
      </w:r>
    </w:p>
    <w:p>
      <w:pPr>
        <w:spacing w:after="60" w:before="60" w:line="320"/>
        <w:jc w:val="both"/>
      </w:pPr>
      <w:r>
        <w:rPr>
          <w:rFonts w:ascii="맑은 고딕" w:cs="맑은 고딕" w:eastAsia="맑은 고딕" w:hAnsi="맑은 고딕"/>
          <w:sz w:val="20"/>
          <w:szCs w:val="20"/>
        </w:rPr>
        <w:t xml:space="preserve">10개 모듈 중 특히 주목할 점은 'GRC(거버넌스·리스크·컴플라이언스)'와 '화학물질관리(EHS)'가 포함되었다는 점이다. 이는 일반적인 ERP의 핵심 7~8개 모듈(MM·PP·SD·FI·CO·HR·QM)을 넘어, 글로벌 운영에 필수적인 컴플라이언스 영역까지 단일 플랫폼에서 관리하는 구조를 의미한다. 특히 화학물질관리는 EU의 REACH, 미국 TSCA, 한국 화평법 등 국가별 규제에 대응해야 하는 영역으로, 글로벌 다거점 운영에서 가장 복잡한 컴플라이언스 영역이다.</w:t>
      </w:r>
    </w:p>
    <w:p>
      <w:pPr>
        <w:spacing w:after="60" w:before="60" w:line="320"/>
        <w:jc w:val="both"/>
      </w:pPr>
      <w:r>
        <w:rPr>
          <w:rFonts w:ascii="맑은 고딕" w:cs="맑은 고딕" w:eastAsia="맑은 고딕" w:hAnsi="맑은 고딕"/>
          <w:sz w:val="20"/>
          <w:szCs w:val="20"/>
        </w:rPr>
        <w:t xml:space="preserve">범위의 절대 규모도 주목할 만하다. 3개 법인 × 6개국 거점 × 110개국 수출 채널이라는 '3중 다차원' 통합은, 삼성전자 N-ERP(2022, 단일 그룹 내 통합)나 LG화학 S/4HANA(2022~, 단일 회사 다거점)와 비교해도 통합 차원의 복잡도가 매우 높다. 이를 7개월 안에 가동시킨 것은 본 프로젝트의 가장 주목할 만한 정량 성과 중 하나이다.</w:t>
      </w:r>
    </w:p>
    <w:p>
      <w:pPr>
        <w:spacing w:after="120" w:before="280" w:line="320"/>
      </w:pPr>
      <w:r>
        <w:rPr>
          <w:rFonts w:ascii="맑은 고딕" w:cs="맑은 고딕" w:eastAsia="맑은 고딕" w:hAnsi="맑은 고딕"/>
          <w:b/>
          <w:bCs/>
          <w:sz w:val="26"/>
          <w:szCs w:val="26"/>
        </w:rPr>
        <w:t xml:space="preserve">3. 정성 성과 분석</w:t>
      </w:r>
    </w:p>
    <w:p>
      <w:pPr>
        <w:spacing w:after="60" w:before="60" w:line="320"/>
        <w:jc w:val="both"/>
      </w:pPr>
      <w:r>
        <w:rPr>
          <w:rFonts w:ascii="맑은 고딕" w:cs="맑은 고딕" w:eastAsia="맑은 고딕" w:hAnsi="맑은 고딕"/>
          <w:sz w:val="20"/>
          <w:szCs w:val="20"/>
        </w:rPr>
        <w:t xml:space="preserve">정량 지표로는 포착되지 않지만 본 사례의 본질적 가치를 구성하는 정성 성과들을 다섯 가지 가치 영역으로 나누어 분석한다. 각 가치는 박제성 인터뷰[1] 및 사업보고서[8][9]에서 직접 또는 간접적으로 확인된다.</w:t>
      </w:r>
    </w:p>
    <w:p>
      <w:pPr>
        <w:spacing w:after="80" w:before="180" w:line="320"/>
      </w:pPr>
      <w:r>
        <w:rPr>
          <w:rFonts w:ascii="맑은 고딕" w:cs="맑은 고딕" w:eastAsia="맑은 고딕" w:hAnsi="맑은 고딕"/>
          <w:b/>
          <w:bCs/>
          <w:sz w:val="22"/>
          <w:szCs w:val="22"/>
        </w:rPr>
        <w:t xml:space="preserve">3.1 3사 시너지의 실현</w:t>
      </w:r>
    </w:p>
    <w:p>
      <w:pPr>
        <w:spacing w:after="60" w:before="60" w:line="320"/>
        <w:jc w:val="both"/>
      </w:pPr>
      <w:r>
        <w:rPr>
          <w:rFonts w:ascii="맑은 고딕" w:cs="맑은 고딕" w:eastAsia="맑은 고딕" w:hAnsi="맑은 고딕"/>
          <w:sz w:val="20"/>
          <w:szCs w:val="20"/>
        </w:rPr>
        <w:t xml:space="preserve">본 프로젝트의 가장 직접적인 정성 성과는 2016년 M&amp;A로 확보한 롯데정밀화학·롯데첨단소재와의 시너지를 ERP 통합 레벨에서 실현한 것이다. 단순히 시스템을 합친 것이 아니라, '한 회사처럼 의사결정하고 운영하는 통합 경영 플랫폼'을 확보한 것이다. 박제성 인터뷰[1]는 "3사 본연의 핵심 비즈니스 경쟁력을 유지하면서 각 사별 특화 프로세스를 유지"한 통합 방식이 핵심이라고 명시했다. 즉, M&amp;A의 본래 목적이었던 '폴리머 중심의 기존 사업 + 정밀화학·고기능 소재의 스페셜티 사업'의 포트폴리오 다각화를, ERP 통합이 운영 차원에서 실현한 것이다.</w:t>
      </w:r>
    </w:p>
    <w:p>
      <w:pPr>
        <w:spacing w:after="80" w:before="180" w:line="320"/>
      </w:pPr>
      <w:r>
        <w:rPr>
          <w:rFonts w:ascii="맑은 고딕" w:cs="맑은 고딕" w:eastAsia="맑은 고딕" w:hAnsi="맑은 고딕"/>
          <w:b/>
          <w:bCs/>
          <w:sz w:val="22"/>
          <w:szCs w:val="22"/>
        </w:rPr>
        <w:t xml:space="preserve">3.2 글로벌 운영 지원</w:t>
      </w:r>
    </w:p>
    <w:p>
      <w:pPr>
        <w:spacing w:after="60" w:before="60" w:line="320"/>
        <w:jc w:val="both"/>
      </w:pPr>
      <w:r>
        <w:rPr>
          <w:rFonts w:ascii="맑은 고딕" w:cs="맑은 고딕" w:eastAsia="맑은 고딕" w:hAnsi="맑은 고딕"/>
          <w:sz w:val="20"/>
          <w:szCs w:val="20"/>
        </w:rPr>
        <w:t xml:space="preserve">본 ERP는 한국 본사뿐 아니라 말레이시아(Lotte Chemical Titan), 파키스탄(LC Pakistan), 영국(LC UK), 미국(LC Alabama), 중국(LC Jiaxing) 등 6개국 해외 거점을 동시 지원하는 구조로 구축되었다.[8] 이는 다국가 회계기준(IFRS·각국 GAAP), 다통화(KRW·USD·MYR·CNY 등), 다언어(한국어·영어·중국어 등), 그리고 국가별 세무·환경규제 대응을 단일 플랫폼 위에서 처리한다는 의미이다. 이런 글로벌 ERP 구조는 본 프로젝트 이전에는 각 거점별로 개별 시스템을 운영하면서 본사가 데이터를 취합하는 형태였기에, 본사의 글로벌 가시성(Visibility)이 제한적이었다. ERP 통합 후에는 본사가 110개국 수출 채널의 주문·재고·물류·매출을 실시간 조회할 수 있게 되었고, 이는 글로벌 의사결정 사이클의 본질적 단축을 가져왔다.</w:t>
      </w:r>
    </w:p>
    <w:p>
      <w:pPr>
        <w:spacing w:after="80" w:before="180" w:line="320"/>
      </w:pPr>
      <w:r>
        <w:rPr>
          <w:rFonts w:ascii="맑은 고딕" w:cs="맑은 고딕" w:eastAsia="맑은 고딕" w:hAnsi="맑은 고딕"/>
          <w:b/>
          <w:bCs/>
          <w:sz w:val="22"/>
          <w:szCs w:val="22"/>
        </w:rPr>
        <w:t xml:space="preserve">3.3 디지털 코어(Digital Core)의 확보</w:t>
      </w:r>
    </w:p>
    <w:p>
      <w:pPr>
        <w:spacing w:after="60" w:before="60" w:line="320"/>
        <w:jc w:val="both"/>
      </w:pPr>
      <w:r>
        <w:rPr>
          <w:rFonts w:ascii="맑은 고딕" w:cs="맑은 고딕" w:eastAsia="맑은 고딕" w:hAnsi="맑은 고딕"/>
          <w:sz w:val="20"/>
          <w:szCs w:val="20"/>
        </w:rPr>
        <w:t xml:space="preserve">박제성 인터뷰[1]에서 가장 주목할 만한 발언은 다음이다: "유가에 흔들리지 않고 지속성장하기 위해 디지털 코어를 탄탄히 해 디지털 트랜스포메이션, 인텔리전트 엔터프라이즈로 가야 한다."</w:t>
      </w:r>
    </w:p>
    <w:p>
      <w:pPr>
        <w:spacing w:after="60" w:before="60" w:line="320"/>
        <w:jc w:val="both"/>
      </w:pPr>
      <w:r>
        <w:rPr>
          <w:rFonts w:ascii="맑은 고딕" w:cs="맑은 고딕" w:eastAsia="맑은 고딕" w:hAnsi="맑은 고딕"/>
          <w:sz w:val="20"/>
          <w:szCs w:val="20"/>
        </w:rPr>
        <w:t xml:space="preserve">이 발언은 본 ERP 도입을 단순한 '시스템 교체'가 아닌 'DT의 기반 인프라 구축'으로 보았음을 의미한다. S/4HANA의 인메모리 구조와 통합 데이터 호수(Data Lake)는 후속 AI·빅데이터 분석·디지털 트윈·IoT 통합의 기반이 된다. 이 정성 성과는 2020년 8월 12일 롯데케미칼 보도자료[13]에서 객관적으로 확인된다: "롯데케미칼은 2018년 DT 전략을 선제적으로 수립, 2019년부터 선정된 실행과제 우선순위 개발에 들어갔다." 즉, 2017년 11월 S/4HANA 가동 → 2018년 DT 전략 수립 → 2019년 실행 단계로 이어지는 일관된 디지털 전환 로드맵의 출발점이 본 ERP 프로젝트였음이 확인된다.</w:t>
      </w:r>
    </w:p>
    <w:p>
      <w:pPr>
        <w:spacing w:after="80" w:before="180" w:line="320"/>
      </w:pPr>
      <w:r>
        <w:rPr>
          <w:rFonts w:ascii="맑은 고딕" w:cs="맑은 고딕" w:eastAsia="맑은 고딕" w:hAnsi="맑은 고딕"/>
          <w:b/>
          <w:bCs/>
          <w:sz w:val="22"/>
          <w:szCs w:val="22"/>
        </w:rPr>
        <w:t xml:space="preserve">3.4 기준정보(MDM) 통합과 데이터 일관성</w:t>
      </w:r>
    </w:p>
    <w:p>
      <w:pPr>
        <w:spacing w:after="60" w:before="60" w:line="320"/>
        <w:jc w:val="both"/>
      </w:pPr>
      <w:r>
        <w:rPr>
          <w:rFonts w:ascii="맑은 고딕" w:cs="맑은 고딕" w:eastAsia="맑은 고딕" w:hAnsi="맑은 고딕"/>
          <w:sz w:val="20"/>
          <w:szCs w:val="20"/>
        </w:rPr>
        <w:t xml:space="preserve">박제성 인터뷰[1]에서 명시적으로 강조되지는 않았지만, 3사 ERP 통합의 본질적 기반은 기준정보(Master Data Management)의 통합이다. AS-IS 상태(3사 각자의 자재 코드·거래처 코드·계정 코드·조직 코드)에서 TO-BE 상태(그룹 표준 코드 체계)로의 전환은 후속 분석·보고·의사결정의 정합성을 보장하는 기반이다. 이 정성 성과는 단기적으로는 표면에 잘 드러나지 않지만, 장기적으로는 그룹 차원의 통합 보고·KPI 모니터링·M&amp;A 이후 추가 시너지 분석 등 모든 활동의 토대가 된다.</w:t>
      </w:r>
    </w:p>
    <w:p>
      <w:pPr>
        <w:spacing w:after="80" w:before="180" w:line="320"/>
      </w:pPr>
      <w:r>
        <w:rPr>
          <w:rFonts w:ascii="맑은 고딕" w:cs="맑은 고딕" w:eastAsia="맑은 고딕" w:hAnsi="맑은 고딕"/>
          <w:b/>
          <w:bCs/>
          <w:sz w:val="22"/>
          <w:szCs w:val="22"/>
        </w:rPr>
        <w:t xml:space="preserve">3.5 사용자 만족과 변경관리의 성공</w:t>
      </w:r>
    </w:p>
    <w:p>
      <w:pPr>
        <w:spacing w:after="60" w:before="60" w:line="320"/>
        <w:jc w:val="both"/>
      </w:pPr>
      <w:r>
        <w:rPr>
          <w:rFonts w:ascii="맑은 고딕" w:cs="맑은 고딕" w:eastAsia="맑은 고딕" w:hAnsi="맑은 고딕"/>
          <w:sz w:val="20"/>
          <w:szCs w:val="20"/>
        </w:rPr>
        <w:t xml:space="preserve">박제성 인터뷰[1]는 사용자 측면에서 다음과 같이 명시했다: "회계부서에서도 많은 업무 시간이 단축되면서 프로젝트 팀에 박수를 보냈다." 이 정성 표현은 ERP 도입의 가장 흔한 실패 요인인 '사용자 저항'이 본 사례에서는 사실상 발생하지 않았음을 시사한다.</w:t>
      </w:r>
    </w:p>
    <w:p>
      <w:pPr>
        <w:spacing w:after="60" w:before="60" w:line="320"/>
        <w:jc w:val="both"/>
      </w:pPr>
      <w:r>
        <w:rPr>
          <w:rFonts w:ascii="맑은 고딕" w:cs="맑은 고딕" w:eastAsia="맑은 고딕" w:hAnsi="맑은 고딕"/>
          <w:sz w:val="20"/>
          <w:szCs w:val="20"/>
        </w:rPr>
        <w:t xml:space="preserve">이상신(2020)[11]의 실증 연구에 따르면, 석유화학 기업의 ERP 전환에서 '변화 거부(Loyalty)'와 '전환비용(Switching Cost)'은 전환의도에 통계적으로 유의한 부(-)의 영향을 미친다. 본 사례에서 이런 부정적 영향이 최소화될 수 있었던 이유는 (i) 13년 누적된 SAP 사용자 경험을 그대로 활용한 Brownfield 컨버전 방식, (ii) 본연 경쟁력 유지를 통한 업무 연속성 보장, (iii) 회계 등 명백한 효율 개선 영역에서의 빠른 가시적 성과 도출이 작동했기 때문으로 해석된다.</w:t>
      </w:r>
    </w:p>
    <w:p>
      <w:pPr>
        <w:spacing w:after="120" w:before="280" w:line="320"/>
      </w:pPr>
      <w:r>
        <w:rPr>
          <w:rFonts w:ascii="맑은 고딕" w:cs="맑은 고딕" w:eastAsia="맑은 고딕" w:hAnsi="맑은 고딕"/>
          <w:b/>
          <w:bCs/>
          <w:sz w:val="26"/>
          <w:szCs w:val="26"/>
        </w:rPr>
        <w:t xml:space="preserve">4. 초기 목표 vs 달성도 매칭</w:t>
      </w:r>
    </w:p>
    <w:p>
      <w:pPr>
        <w:spacing w:after="60" w:before="60" w:line="320"/>
        <w:jc w:val="both"/>
      </w:pPr>
      <w:r>
        <w:rPr>
          <w:rFonts w:ascii="맑은 고딕" w:cs="맑은 고딕" w:eastAsia="맑은 고딕" w:hAnsi="맑은 고딕"/>
          <w:sz w:val="20"/>
          <w:szCs w:val="20"/>
        </w:rPr>
        <w:t xml:space="preserve">Step 2에서 본 사례의 의사결정은 다음 4대 비즈니스 목표를 추구한 것으로 분석되었다: ① 3사 시스템 통합 및 시너지 실현, ② 글로벌 운영 지원, ③ 중복투자 리스크 제거, ④ 디지털 코어 확보. 각 목표 대비 실제 달성도를 정량·정성 성과와 매칭하여 평가한다.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초기 목표 (Step 2)</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관련 PIR 성과</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달성도 평가</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① 3사 시스템 통합 및 시너지 실현</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10개 모듈 × 3사 × 6개국 단일 S/4HANA 통합 완료 (2017.11). 본연 경쟁력 유지하면서 공통 프로세스 표준화.</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달성 — 단일 플랫폼 통합 + 시너지 실현 + 본연 가치 보존의 3중 균형 확보</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② 글로벌 운영 지원</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한국 + 6개국 거점 + 110개국 수출 채널 단일 플랫폼 지원. 다국가 회계기준·다통화·다언어·다규제 대응.</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달성 — 글로벌 다거점 운영의 실시간 가시성 확보</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③ 중복투자 리스크 제거</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롯데정보통신을 통한 통합 운영체계 확보 + 신규 SAP 플랫폼 단일화. 2018+ 그룹공통시스템·디지털혁신협의체 후속 확장.</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달성 — 단일 플랫폼 + 그룹 차원 후속 확장으로 이중 효과</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④ 디지털 코어 확보</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S/4HANA 인메모리 기반 통합 데이터 호수 확보. 2018년 DT 전략 수립 → 2019+ 실행 → 2020 DT 가속화로 이어짐.</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달성 — DT의 기반 인프라로 작동, 후속 효과로 입증</w:t>
            </w:r>
          </w:p>
        </w:tc>
      </w:tr>
    </w:tbl>
    <w:p>
      <w:pPr>
        <w:spacing w:after="80" w:before="180" w:line="320"/>
      </w:pPr>
      <w:r>
        <w:rPr>
          <w:rFonts w:ascii="맑은 고딕" w:cs="맑은 고딕" w:eastAsia="맑은 고딕" w:hAnsi="맑은 고딕"/>
          <w:b/>
          <w:bCs/>
          <w:sz w:val="22"/>
          <w:szCs w:val="22"/>
        </w:rPr>
        <w:t xml:space="preserve">4.1 종합 평가</w:t>
      </w:r>
    </w:p>
    <w:p>
      <w:pPr>
        <w:spacing w:after="60" w:before="60" w:line="320"/>
        <w:jc w:val="both"/>
      </w:pPr>
      <w:r>
        <w:rPr>
          <w:rFonts w:ascii="맑은 고딕" w:cs="맑은 고딕" w:eastAsia="맑은 고딕" w:hAnsi="맑은 고딕"/>
          <w:sz w:val="20"/>
          <w:szCs w:val="20"/>
        </w:rPr>
        <w:t xml:space="preserve">Step 2의 4대 초기 목표는 모두 달성된 것으로 평가된다. 특히 주목할 점은 이 4대 목표가 단순히 'ERP 가동 완료' 같은 산출물 중심 목표가 아니라, 비즈니스 가치 중심 목표(시너지·글로벌·리스크 통제·DT 기반)였다는 점이다. 따라서 달성도 평가도 '시스템이 켜졌는가'가 아니라 '비즈니스 가치가 실제로 창출되었는가' 차원에서 이루어진다.</w:t>
      </w:r>
    </w:p>
    <w:p>
      <w:pPr>
        <w:spacing w:after="60" w:before="60" w:line="320"/>
        <w:jc w:val="both"/>
      </w:pPr>
      <w:r>
        <w:rPr>
          <w:rFonts w:ascii="맑은 고딕" w:cs="맑은 고딕" w:eastAsia="맑은 고딕" w:hAnsi="맑은 고딕"/>
          <w:sz w:val="20"/>
          <w:szCs w:val="20"/>
        </w:rPr>
        <w:t xml:space="preserve">이 평가의 신뢰도를 보강하는 것은 후속 효과의 객관적 증거이다. 만약 본 ERP 통합이 실패했다면, 2018년 그룹공통시스템·디지털혁신협의체 같은 후속 그룹 차원의 디지털 협력은 진행될 수 없었을 것이다. S/4HANA가 안정적으로 작동하지 않는데 그룹 차원의 추가 IT 투자가 의결될 리는 없기 때문이다. 따라서 2018+ 이사회 의결 기록[9]은 본 PIR의 평가 결과를 사후적으로 객관 입증하는 강력한 증거가 된다.</w:t>
      </w:r>
    </w:p>
    <w:p>
      <w:pPr>
        <w:spacing w:after="80" w:before="180" w:line="320"/>
      </w:pPr>
      <w:r>
        <w:rPr>
          <w:rFonts w:ascii="맑은 고딕" w:cs="맑은 고딕" w:eastAsia="맑은 고딕" w:hAnsi="맑은 고딕"/>
          <w:b/>
          <w:bCs/>
          <w:sz w:val="22"/>
          <w:szCs w:val="22"/>
        </w:rPr>
        <w:t xml:space="preserve">4.2 평가의 신중함이 필요한 영역</w:t>
      </w:r>
    </w:p>
    <w:p>
      <w:pPr>
        <w:spacing w:after="60" w:before="60" w:line="320"/>
        <w:jc w:val="both"/>
      </w:pPr>
      <w:r>
        <w:rPr>
          <w:rFonts w:ascii="맑은 고딕" w:cs="맑은 고딕" w:eastAsia="맑은 고딕" w:hAnsi="맑은 고딕"/>
          <w:sz w:val="20"/>
          <w:szCs w:val="20"/>
        </w:rPr>
        <w:t xml:space="preserve">다만 다음 영역들은 공개 자료의 제약으로 정량 평가가 어렵다는 점을 명시한다. (i) 투자 대비 효과(ROI) 산출: 투자 규모 비공개로 정량 ROI 계산 불가. (ii) 정밀화학·첨단소재 직원의 변경관리 만족도: 박제성 인터뷰의 '회계부서 박수'는 롯데케미칼 본사 회계 부서로 추정되며, 인수된 두 회사 직원들의 만족도는 별도 공개 자료 없음. (iii) 글로벌 거점 직원의 적응도: 해외 6개국 거점 직원들의 새 시스템 적응 과정에 대한 자료 부재. 이러한 한계에도 불구하고, 공개된 정량·정성 지표와 후속 효과를 종합할 때 본 프로젝트는 '목표 달성에 성공한 사례'로 평가하는 데 무리가 없다.</w:t>
      </w:r>
    </w:p>
    <w:p>
      <w:pPr>
        <w:spacing w:after="120" w:before="280" w:line="320"/>
      </w:pPr>
      <w:r>
        <w:rPr>
          <w:rFonts w:ascii="맑은 고딕" w:cs="맑은 고딕" w:eastAsia="맑은 고딕" w:hAnsi="맑은 고딕"/>
          <w:b/>
          <w:bCs/>
          <w:sz w:val="26"/>
          <w:szCs w:val="26"/>
        </w:rPr>
        <w:t xml:space="preserve">5. 후속 효과: 2018년 이후 디지털 전환의 가속화</w:t>
      </w:r>
    </w:p>
    <w:p>
      <w:pPr>
        <w:spacing w:after="60" w:before="60" w:line="320"/>
        <w:jc w:val="both"/>
      </w:pPr>
      <w:r>
        <w:rPr>
          <w:rFonts w:ascii="맑은 고딕" w:cs="맑은 고딕" w:eastAsia="맑은 고딕" w:hAnsi="맑은 고딕"/>
          <w:sz w:val="20"/>
          <w:szCs w:val="20"/>
        </w:rPr>
        <w:t xml:space="preserve">PIR의 진정한 평가는 가동 직후의 만족도가 아니라, '그 결과가 후속 의사결정에 어떻게 연결되었는가'에서 드러난다. 본 사례는 2018년 이후 그룹 차원의 디지털 전환 가속화로 이어진 일관된 후속 효과를 보여준다. 이 후속 효과들은 회사가 자체 홍보할 동기가 약한 객관적 기록(이사회 의결, 사업보고서)에서 확인되므로, PIR의 가장 강력한 사후 입증 자료가 된다.</w:t>
      </w:r>
    </w:p>
    <w:p>
      <w:pPr>
        <w:spacing w:after="80" w:before="180" w:line="320"/>
      </w:pPr>
      <w:r>
        <w:rPr>
          <w:rFonts w:ascii="맑은 고딕" w:cs="맑은 고딕" w:eastAsia="맑은 고딕" w:hAnsi="맑은 고딕"/>
          <w:b/>
          <w:bCs/>
          <w:sz w:val="22"/>
          <w:szCs w:val="22"/>
        </w:rPr>
        <w:t xml:space="preserve">5.1 2018년 이사회 의결사항: ERP 가동 직후의 후속 디지털 투자</w:t>
      </w:r>
    </w:p>
    <w:p>
      <w:pPr>
        <w:spacing w:after="60" w:before="60" w:line="320"/>
        <w:jc w:val="both"/>
      </w:pPr>
      <w:r>
        <w:rPr>
          <w:rFonts w:ascii="맑은 고딕" w:cs="맑은 고딕" w:eastAsia="맑은 고딕" w:hAnsi="맑은 고딕"/>
          <w:sz w:val="20"/>
          <w:szCs w:val="20"/>
        </w:rPr>
        <w:t xml:space="preserve">2018년 정정 사업보고서[9]에 따르면, S/4HANA 가동 직후인 2018년 한 해 동안 롯데케미칼 이사회는 다음과 같이 일관된 디지털 투자 안건들을 의결했다. 이는 본 ERP 프로젝트가 단발적 시스템 교체가 아니라, 그룹 차원 디지털 전환의 의도된 출발점이었음을 보여주는 객관적 증거이다.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일자</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의안 (가결)</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의미</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2018.02.08 (제3회 이사회)</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제7호 — 그룹공통시스템 사용을 위한 계약 진행(안)
제8호 — 디지털혁신협의체 공통 업무 추진 협약서(안)</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S/4HANA 가동 3개월 만에 그룹 차원의 디지털 협력 체계 가입. 단일 회사 ERP를 넘어 그룹 통합 디지털 인프라로의 확장 의도</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2018.05.28 (제7회 이사회)</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제2호 — 환경 에너지 통합서비스 사용을 위한 롯데지주와의 계약</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환경·에너지 영역에서 그룹 통합 서비스 활용. 2010년 자체 GEMS 구축 이후 그룹 통합 환경관리로의 진화</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2018.12.19 (제14회 이사회)</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제7호 — IT 시스템 10건 동시 의결: 디지털 안전 작업 관리, 영업 모바일, 변경관리 시스템, 대구 수처리 ERP, 주52시간 시스템, 파일서버, 이메일 HW, 네트워크, **SAP 라이선스 추가 구매**, 접근제어 솔루션</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한 차례 이사회에서 10개 IT 안건 일괄 의결. 본격적 디지털 인프라 확장 단계 진입. 특히 'SAP 라이선스 추가 구매'는 S/4HANA 가동의 안정적 성공을 전제로 한 후속 확장</w:t>
            </w:r>
          </w:p>
        </w:tc>
      </w:tr>
    </w:tbl>
    <w:p>
      <w:pPr>
        <w:spacing w:after="60" w:before="60" w:line="320"/>
        <w:jc w:val="both"/>
      </w:pPr>
      <w:r>
        <w:rPr>
          <w:rFonts w:ascii="맑은 고딕" w:cs="맑은 고딕" w:eastAsia="맑은 고딕" w:hAnsi="맑은 고딕"/>
          <w:sz w:val="20"/>
          <w:szCs w:val="20"/>
        </w:rPr>
        <w:t xml:space="preserve">이 이사회 의결 기록의 누적 의미는 다음과 같다. 첫째, 2018년 한 해 동안만 15건 이상의 디지털·IT 관련 안건이 의결되었다. 이는 2017년 11월의 S/4HANA 가동이 안정적이지 않았다면 불가능한 일이다. 둘째, 'SAP 라이선스 추가 구매'(2018.12.19 제7-9호)는 본 ERP 시스템의 사용 범위·사용자 수가 가동 1년 만에 확장될 정도로 활용이 확산되었음을 의미한다. 셋째, '그룹공통시스템'과 '디지털혁신협의체'(2018.02.08)는 본 ERP가 그룹 차원의 더 큰 디지털 전환 흐름의 입구로 기능했음을 직접 보여준다.</w:t>
      </w:r>
    </w:p>
    <w:p>
      <w:pPr>
        <w:spacing w:after="80" w:before="180" w:line="320"/>
      </w:pPr>
      <w:r>
        <w:rPr>
          <w:rFonts w:ascii="맑은 고딕" w:cs="맑은 고딕" w:eastAsia="맑은 고딕" w:hAnsi="맑은 고딕"/>
          <w:b/>
          <w:bCs/>
          <w:sz w:val="22"/>
          <w:szCs w:val="22"/>
        </w:rPr>
        <w:t xml:space="preserve">5.2 2018년 DT 전략 수립과 2020년 가속화</w:t>
      </w:r>
    </w:p>
    <w:p>
      <w:pPr>
        <w:spacing w:after="60" w:before="60" w:line="320"/>
        <w:jc w:val="both"/>
      </w:pPr>
      <w:r>
        <w:rPr>
          <w:rFonts w:ascii="맑은 고딕" w:cs="맑은 고딕" w:eastAsia="맑은 고딕" w:hAnsi="맑은 고딕"/>
          <w:sz w:val="20"/>
          <w:szCs w:val="20"/>
        </w:rPr>
        <w:t xml:space="preserve">롯데케미칼 보도자료(2020.08.12)[13]는 다음을 명시한다: "롯데케미칼은 2018년 DT 전략을 선제적으로 수립, 2019년부터 선정된 실행과제 우선순위 개발에 들어갔다." 김교현 대표는 "DT가 회사 본업의 경쟁력을 강화하여 주주와 고객의 가치를 제고하는 가장 중요한 핵심 자산"이라고 발언했다.</w:t>
      </w:r>
    </w:p>
    <w:p>
      <w:pPr>
        <w:spacing w:after="60" w:before="60" w:line="320"/>
        <w:jc w:val="both"/>
      </w:pPr>
      <w:r>
        <w:rPr>
          <w:rFonts w:ascii="맑은 고딕" w:cs="맑은 고딕" w:eastAsia="맑은 고딕" w:hAnsi="맑은 고딕"/>
          <w:sz w:val="20"/>
          <w:szCs w:val="20"/>
        </w:rPr>
        <w:t xml:space="preserve">이 보도자료는 본 ERP 프로젝트와 DT 전략의 시간적 연결을 명확히 확인해 준다: 2017.11 S/4HANA 가동 → 2018 DT 전략 선제적 수립 → 2019 실행과제 우선순위 개발 → 2020 본격 가속화. 이러한 일관된 로드맵은, 본 ERP 도입이 사전에 DT를 염두에 둔 의도적 인프라 구축이었음을 사후적으로 입증한다. 박제성 인터뷰[1]에서 '디지털 코어를 탄탄히 하여 디지털 트랜스포메이션, 인텔리전트 엔터프라이즈로 가야 한다'고 발언한 것은 단순한 비전 선언이 아니라, 실제 진행 중이던 전략의 표명이었던 셈이다.</w:t>
      </w:r>
    </w:p>
    <w:p>
      <w:pPr>
        <w:spacing w:after="80" w:before="180" w:line="320"/>
      </w:pPr>
      <w:r>
        <w:rPr>
          <w:rFonts w:ascii="맑은 고딕" w:cs="맑은 고딕" w:eastAsia="맑은 고딕" w:hAnsi="맑은 고딕"/>
          <w:b/>
          <w:bCs/>
          <w:sz w:val="22"/>
          <w:szCs w:val="22"/>
        </w:rPr>
        <w:t xml:space="preserve">5.3 비전의 격상: '글로벌 톱10'에서 '글로벌 톱7'으로</w:t>
      </w:r>
    </w:p>
    <w:p>
      <w:pPr>
        <w:spacing w:after="60" w:before="60" w:line="320"/>
        <w:jc w:val="both"/>
      </w:pPr>
      <w:r>
        <w:rPr>
          <w:rFonts w:ascii="맑은 고딕" w:cs="맑은 고딕" w:eastAsia="맑은 고딕" w:hAnsi="맑은 고딕"/>
          <w:sz w:val="20"/>
          <w:szCs w:val="20"/>
        </w:rPr>
        <w:t xml:space="preserve">박제성 인터뷰[1] 시점(2019년)의 비전은 '글로벌 톱10 화학회사'였다. 그러나 이상신 박사논문[11]이 인용한 롯데케미칼 2020년 신년사에서는 이 비전이 "2030년까지 글로벌 톱7 화학회사"로 격상되었다. 1년 사이 더 야심찬 목표로 비전이 상향 조정된 배경에는, ERP 통합과 DT 전략 수립으로 확보된 운영 기반의 신뢰가 작용한 것으로 해석할 수 있다.</w:t>
      </w:r>
    </w:p>
    <w:p>
      <w:pPr>
        <w:spacing w:after="120" w:before="280" w:line="320"/>
      </w:pPr>
      <w:r>
        <w:rPr>
          <w:rFonts w:ascii="맑은 고딕" w:cs="맑은 고딕" w:eastAsia="맑은 고딕" w:hAnsi="맑은 고딕"/>
          <w:b/>
          <w:bCs/>
          <w:sz w:val="26"/>
          <w:szCs w:val="26"/>
        </w:rPr>
        <w:t xml:space="preserve">6. 타사 벤치마크: S/4HANA 도입의 시기적 위치</w:t>
      </w:r>
    </w:p>
    <w:p>
      <w:pPr>
        <w:spacing w:after="60" w:before="60" w:line="320"/>
        <w:jc w:val="both"/>
      </w:pPr>
      <w:r>
        <w:rPr>
          <w:rFonts w:ascii="맑은 고딕" w:cs="맑은 고딕" w:eastAsia="맑은 고딕" w:hAnsi="맑은 고딕"/>
          <w:sz w:val="20"/>
          <w:szCs w:val="20"/>
        </w:rPr>
        <w:t xml:space="preserve">본 사례의 정량 성과를 타사와 절대 수치로 비교하기는 어렵다. 각 사가 측정 기준, 시스템 범위, 산업 특성이 다르기 때문이다. 그러나 'S/4HANA 도입 시기'라는 단일 축으로 비교하면, 롯데케미칼의 위치가 명확히 드러난다.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기업</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S/4HANA 도입 시기</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특이사항</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롯데케미칼 (석유화학)</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2017년 11월 가동</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국내 대기업 중 매우 이른 시기. 3사 통합 + 글로벌 6개국 거점 동시 통합. 다운타임 54% 단축[1]</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SK하이닉스 (반도체)</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2018년 2월 가동</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반도체 업계 최초 + 국내 대기업 중 최초로 발표. 롯데케미칼보다 3개월 늦은 시점</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삼성전기 (전자부품)</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2022년</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다운타임 75% 단축 발표. 롯데케미칼보다 5년 늦은 시점</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삼성전자 N-ERP (종합전자)</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2022년</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공급계획 1시간 → 10분, 주문조회 20분 → 3~4분 등 정량 성과 공개</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LG화학 (석유화학·배터리)</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2022~ (LG CNS SI)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그룹 차원 ERP 표준화 검토 2020년~, SAP 일원화 결정. 롯데케미칼보다 5년 늦은 시점</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일본 롯데 3사 통합</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2018년 (별도 케이스, Google Cloud 이관)</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그룹 내 다른 통합 사례. 클라우드 기반</w:t>
            </w:r>
          </w:p>
        </w:tc>
      </w:tr>
    </w:tbl>
    <w:p>
      <w:pPr>
        <w:spacing w:after="60" w:before="60" w:line="320"/>
        <w:jc w:val="both"/>
      </w:pPr>
      <w:r>
        <w:rPr>
          <w:rFonts w:ascii="맑은 고딕" w:cs="맑은 고딕" w:eastAsia="맑은 고딕" w:hAnsi="맑은 고딕"/>
          <w:sz w:val="20"/>
          <w:szCs w:val="20"/>
        </w:rPr>
        <w:t xml:space="preserve">이 시간 축 비교가 보여주는 본 사례의 위치는 분명하다: **2017년 11월 가동은 국내 대기업의 S/4HANA 도입 사례 중 가장 이른 시기 중 하나이다.** SK하이닉스(2018.02), 삼성전기(2022), 삼성전자(2022), LG화학(2022~)에 비해 명백한 선구적 위치이다. 이상신 박사논문[11]에 따르면 "국내 ERP/CRM 시스템의 클라우드 적용률은 21.5%, 제조/건설 대기업으로 한정하면 10.5%에 불과"한 환경에서, 롯데케미칼이 2017년에 차세대 ERP를 도입한 것은 학술적으로도 매우 선구적 행보로 인정된다.</w:t>
      </w:r>
    </w:p>
    <w:p>
      <w:pPr>
        <w:spacing w:after="80" w:before="180" w:line="320"/>
      </w:pPr>
      <w:r>
        <w:rPr>
          <w:rFonts w:ascii="맑은 고딕" w:cs="맑은 고딕" w:eastAsia="맑은 고딕" w:hAnsi="맑은 고딕"/>
          <w:b/>
          <w:bCs/>
          <w:sz w:val="22"/>
          <w:szCs w:val="22"/>
        </w:rPr>
        <w:t xml:space="preserve">6.1 직접 정량 비교의 한계</w:t>
      </w:r>
    </w:p>
    <w:p>
      <w:pPr>
        <w:spacing w:after="60" w:before="60" w:line="320"/>
        <w:jc w:val="both"/>
      </w:pPr>
      <w:r>
        <w:rPr>
          <w:rFonts w:ascii="맑은 고딕" w:cs="맑은 고딕" w:eastAsia="맑은 고딕" w:hAnsi="맑은 고딕"/>
          <w:sz w:val="20"/>
          <w:szCs w:val="20"/>
        </w:rPr>
        <w:t xml:space="preserve">다만 정량 수치의 직접 비교는 신중해야 한다. 예를 들어 삼성전기의 '다운타임 75% 단축'과 롯데케미칼의 '54% 단축'을 단순 비교하여 우열을 판단할 수는 없다. (i) 측정 기준이 다르고 (단축률의 기준 시점이 다름), (ii) 시스템 범위가 다르며 (단일 회사 vs 3사 통합), (iii) 산업 특성이 다르다 (전자부품 vs 석유화학의 다운타임 임계점). 본 보고서는 정량 수치의 우열이 아니라, '시기적 위치'와 '도입 맥락의 차이'를 중심으로 비교 분석을 수행한다.</w:t>
      </w:r>
    </w:p>
    <w:p>
      <w:pPr>
        <w:spacing w:after="120" w:before="280" w:line="320"/>
      </w:pPr>
      <w:r>
        <w:rPr>
          <w:rFonts w:ascii="맑은 고딕" w:cs="맑은 고딕" w:eastAsia="맑은 고딕" w:hAnsi="맑은 고딕"/>
          <w:b/>
          <w:bCs/>
          <w:sz w:val="26"/>
          <w:szCs w:val="26"/>
        </w:rPr>
        <w:t xml:space="preserve">7. PIR 종합 평가</w:t>
      </w:r>
    </w:p>
    <w:p>
      <w:pPr>
        <w:spacing w:after="60" w:before="60" w:line="320"/>
        <w:jc w:val="both"/>
      </w:pPr>
      <w:r>
        <w:rPr>
          <w:rFonts w:ascii="맑은 고딕" w:cs="맑은 고딕" w:eastAsia="맑은 고딕" w:hAnsi="맑은 고딕"/>
          <w:sz w:val="20"/>
          <w:szCs w:val="20"/>
        </w:rPr>
        <w:t xml:space="preserve">정량 성과(4지표), 정성 성과(5가치), 초기 목표 달성도(4목표), 후속 효과(2018+ 이사회 의결 + DT 전략), 시기적 위치(국내 대기업 중 선구적)를 종합하면 다음 결론에 도달한다.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평가 영역</w:t>
            </w:r>
          </w:p>
        </w:tc>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결과</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정량 성과</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 다운타임 54%↓, 성능 90.5%↑, 조회속도 40만건/2분, 통합 10모듈×3사×6개국×110개국</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정성 성과</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 3사 시너지, 글로벌 운영, 디지털 코어, MDM 통합, 사용자 만족</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초기 목표 달성</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 Step 2의 4대 목표 모두 달성</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후속 효과</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 2018년 이사회 15+건 디지털 의결, 2018 DT 전략 수립, 2020 가속화</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시기적 위치</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 국내 대기업 S/4HANA 도입 중 매우 이른 시기 (선구적)</w:t>
            </w:r>
          </w:p>
        </w:tc>
      </w:tr>
    </w:tbl>
    <w:p>
      <w:pPr>
        <w:spacing w:after="60" w:before="60" w:line="320"/>
        <w:jc w:val="both"/>
      </w:pPr>
      <w:r>
        <w:rPr>
          <w:rFonts w:ascii="맑은 고딕" w:cs="맑은 고딕" w:eastAsia="맑은 고딕" w:hAnsi="맑은 고딕"/>
          <w:sz w:val="20"/>
          <w:szCs w:val="20"/>
        </w:rPr>
        <w:t xml:space="preserve">본 PIR은 다음과 같이 결론짓는다: 롯데케미칼의 2017년 SAP S/4HANA 통합 ERP 구축 프로젝트는 **단순한 시스템 가동 성공을 넘어, M&amp;A 통합 + 글로벌 운영 + 디지털 코어 확보라는 3중 비즈니스 가치를 동시에 실현한 모범 사례**로 평가된다. 특히 공개된 정량 지표뿐 아니라 객관적 후속 효과(이사회 의결·DT 전략·비전 격상)에서 그 가치가 사후적으로 입증된다는 점이 본 사례의 차별성이다.</w:t>
      </w:r>
    </w:p>
    <w:p>
      <w:pPr>
        <w:spacing w:after="80" w:before="180" w:line="320"/>
      </w:pPr>
      <w:r>
        <w:rPr>
          <w:rFonts w:ascii="맑은 고딕" w:cs="맑은 고딕" w:eastAsia="맑은 고딕" w:hAnsi="맑은 고딕"/>
          <w:b/>
          <w:bCs/>
          <w:sz w:val="22"/>
          <w:szCs w:val="22"/>
        </w:rPr>
        <w:t xml:space="preserve">7.1 강의 PIR 정의와의 정합성 평가</w:t>
      </w:r>
    </w:p>
    <w:p>
      <w:pPr>
        <w:spacing w:after="60" w:before="60" w:line="320"/>
        <w:jc w:val="both"/>
      </w:pPr>
      <w:r>
        <w:rPr>
          <w:rFonts w:ascii="맑은 고딕" w:cs="맑은 고딕" w:eastAsia="맑은 고딕" w:hAnsi="맑은 고딕"/>
          <w:sz w:val="20"/>
          <w:szCs w:val="20"/>
        </w:rPr>
        <w:t xml:space="preserve">강의 자료(19p)가 정의한 PIR의 3대 검증 기준에 본 사례를 매핑하면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강의 PIR 검증 기준</w:t>
            </w:r>
          </w:p>
        </w:tc>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본 사례 적용 결과</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① 시스템 및 요구사항이 달성되었는지 판단</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달성 — 10개 핵심 모듈이 단일 SAP S/4HANA 위에서 가동 시작. 다운타임 54% 단축, 성능 90.5% 개선 등 시스템 요구사항 모두 충족</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② 사업 효익 실현 여부</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실현 — 3사 시너지 확보, 글로벌 운영 가시성 확보, 중복투자 리스크 제거. 사용자 만족(회계부서 박수[1])으로 사업 효익 체감</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③ 경영 목표 부합 검토</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부합 — Step 2의 4대 비즈니스 목표(3사 통합·글로벌 운영·중복투자 축소·디지털 코어) 모두 달성. 2030 글로벌 톱7 화학회사 비전과 정합[11]</w:t>
            </w:r>
          </w:p>
        </w:tc>
      </w:tr>
    </w:tbl>
    <w:p>
      <w:pPr>
        <w:spacing w:after="60" w:before="60" w:line="320"/>
        <w:jc w:val="both"/>
      </w:pPr>
      <w:r>
        <w:rPr>
          <w:rFonts w:ascii="맑은 고딕" w:cs="맑은 고딕" w:eastAsia="맑은 고딕" w:hAnsi="맑은 고딕"/>
          <w:sz w:val="20"/>
          <w:szCs w:val="20"/>
        </w:rPr>
        <w:t xml:space="preserve">강의 자료의 PIR 정의에 따른 3대 검증 기준을 모두 충족한 것으로 평가된다. 특히 ②와 ③의 '사업 효익'과 '경영 목표 부합'은 단발적 시스템 가동이 아닌 '디지털 코어로의 진화'라는 본 프로젝트의 본질적 가치를 보여준다.</w:t>
      </w:r>
    </w:p>
    <w:p>
      <w:pPr>
        <w:spacing w:after="120" w:before="280" w:line="320"/>
      </w:pPr>
      <w:r>
        <w:rPr>
          <w:rFonts w:ascii="맑은 고딕" w:cs="맑은 고딕" w:eastAsia="맑은 고딕" w:hAnsi="맑은 고딕"/>
          <w:b/>
          <w:bCs/>
          <w:sz w:val="26"/>
          <w:szCs w:val="26"/>
        </w:rPr>
        <w:t xml:space="preserve">8. PIR 분석의 한계와 검증 가능 범위</w:t>
      </w:r>
    </w:p>
    <w:p>
      <w:pPr>
        <w:spacing w:after="60" w:before="60" w:line="320"/>
        <w:jc w:val="both"/>
      </w:pPr>
      <w:r>
        <w:rPr>
          <w:rFonts w:ascii="맑은 고딕" w:cs="맑은 고딕" w:eastAsia="맑은 고딕" w:hAnsi="맑은 고딕"/>
          <w:sz w:val="20"/>
          <w:szCs w:val="20"/>
        </w:rPr>
        <w:t xml:space="preserve">본 PIR은 공개 자료의 한계 내에서 가능한 한 다층적 검증을 시도했으나, 다음 영역들은 분석되지 않았거나 추론 수준에 머물렀음을 명시한다.</w:t>
      </w:r>
    </w:p>
    <w:p>
      <w:pPr>
        <w:spacing w:after="60" w:before="60" w:line="320"/>
        <w:jc w:val="both"/>
      </w:pPr>
      <w:r>
        <w:rPr>
          <w:rFonts w:ascii="맑은 고딕" w:cs="맑은 고딕" w:eastAsia="맑은 고딕" w:hAnsi="맑은 고딕"/>
          <w:sz w:val="20"/>
          <w:szCs w:val="20"/>
        </w:rPr>
        <w:t xml:space="preserve">① 정량 ROI: 투자 규모 비공개로 정량 ROI 계산 불가. 본 보고서의 정량 성과는 모두 '효과 측면'이며, '효과 ÷ 비용' 형태의 ROI는 제시되지 않았다.</w:t>
      </w:r>
    </w:p>
    <w:p>
      <w:pPr>
        <w:spacing w:after="60" w:before="60" w:line="320"/>
        <w:jc w:val="both"/>
      </w:pPr>
      <w:r>
        <w:rPr>
          <w:rFonts w:ascii="맑은 고딕" w:cs="맑은 고딕" w:eastAsia="맑은 고딕" w:hAnsi="맑은 고딕"/>
          <w:sz w:val="20"/>
          <w:szCs w:val="20"/>
        </w:rPr>
        <w:t xml:space="preserve">② 사용자 만족도의 객관 측정: 박제성 인터뷰[1]의 '회계부서 박수'는 정성 표현이며, NPS·CSAT 같은 객관 지표는 비공개. 인수된 정밀화학·첨단소재 직원의 만족도는 별도 자료 부재.</w:t>
      </w:r>
    </w:p>
    <w:p>
      <w:pPr>
        <w:spacing w:after="60" w:before="60" w:line="320"/>
        <w:jc w:val="both"/>
      </w:pPr>
      <w:r>
        <w:rPr>
          <w:rFonts w:ascii="맑은 고딕" w:cs="맑은 고딕" w:eastAsia="맑은 고딕" w:hAnsi="맑은 고딕"/>
          <w:sz w:val="20"/>
          <w:szCs w:val="20"/>
        </w:rPr>
        <w:t xml:space="preserve">③ 글로벌 거점 직원의 적응도: 해외 6개국 거점 직원들의 새 시스템 적응 과정과 성과에 대한 자료 부재.</w:t>
      </w:r>
    </w:p>
    <w:p>
      <w:pPr>
        <w:spacing w:after="60" w:before="60" w:line="320"/>
        <w:jc w:val="both"/>
      </w:pPr>
      <w:r>
        <w:rPr>
          <w:rFonts w:ascii="맑은 고딕" w:cs="맑은 고딕" w:eastAsia="맑은 고딕" w:hAnsi="맑은 고딕"/>
          <w:sz w:val="20"/>
          <w:szCs w:val="20"/>
        </w:rPr>
        <w:t xml:space="preserve">④ 부정적 효과의 가능성: ERP 도입 직후 흔히 발생하는 일시적 생산성 저하, 학습 곡선, 예외 처리 부담 등에 대한 공개 자료 부재. 본 보고서는 긍정적 효과 중심으로 분석되었음.</w:t>
      </w:r>
    </w:p>
    <w:p>
      <w:pPr>
        <w:spacing w:after="60" w:before="60" w:line="320"/>
        <w:jc w:val="both"/>
      </w:pPr>
      <w:r>
        <w:rPr>
          <w:rFonts w:ascii="맑은 고딕" w:cs="맑은 고딕" w:eastAsia="맑은 고딕" w:hAnsi="맑은 고딕"/>
          <w:sz w:val="20"/>
          <w:szCs w:val="20"/>
        </w:rPr>
        <w:t xml:space="preserve">⑤ 비교 사례의 정량 비교 한계: 6장에서 명시한 대로, 타사 정량 수치와의 직접 비교는 측정 기준 차이로 제약됨.</w:t>
      </w:r>
    </w:p>
    <w:p>
      <w:pPr>
        <w:spacing w:after="60" w:before="60" w:line="320"/>
        <w:jc w:val="both"/>
      </w:pPr>
      <w:r>
        <w:rPr>
          <w:rFonts w:ascii="맑은 고딕" w:cs="맑은 고딕" w:eastAsia="맑은 고딕" w:hAnsi="맑은 고딕"/>
          <w:sz w:val="20"/>
          <w:szCs w:val="20"/>
        </w:rPr>
        <w:t xml:space="preserve">이러한 한계에도 불구하고, 본 PIR이 활용한 4종 출처(인터뷰·사업보고서·보도자료·학술논문)의 다층적 일관성은 본 사례를 '성공 사례'로 평가하는 데 충분한 근거를 제공한다. 특히 회사가 자체 보고할 동기가 약한 이사회 의결 기록[9]에서 후속 효과가 확인된다는 점은, 본 PIR 결과의 신뢰도를 가장 강력하게 뒷받침한다.</w:t>
      </w:r>
    </w:p>
    <w:p>
      <w:pPr>
        <w:spacing w:after="80" w:before="180" w:line="320"/>
      </w:pPr>
      <w:r>
        <w:rPr>
          <w:rFonts w:ascii="맑은 고딕" w:cs="맑은 고딕" w:eastAsia="맑은 고딕" w:hAnsi="맑은 고딕"/>
          <w:b/>
          <w:bCs/>
          <w:sz w:val="22"/>
          <w:szCs w:val="22"/>
        </w:rPr>
        <w:t xml:space="preserve">8.2 강의 권장사항과의 차이: 별개 그룹(QA팀)에 의한 PIR 미확인</w:t>
      </w:r>
    </w:p>
    <w:p>
      <w:pPr>
        <w:spacing w:after="60" w:before="60" w:line="320"/>
        <w:jc w:val="both"/>
      </w:pPr>
      <w:r>
        <w:rPr>
          <w:rFonts w:ascii="맑은 고딕" w:cs="맑은 고딕" w:eastAsia="맑은 고딕" w:hAnsi="맑은 고딕"/>
          <w:sz w:val="20"/>
          <w:szCs w:val="20"/>
        </w:rPr>
        <w:t xml:space="preserve">강의 자료(19p)는 PIR 수행 주체에 대해 다음과 같이 권장한다: "구현 후 검토는 프로젝트 팀과 별개의 그룹에 의해서 수행될 수 있다(QA팀 등)." 본 사례에서 박제성 정보전략담당 상무[1]가 직접 PIR 수치를 발표한 점은 1차 자료의 신뢰도를 높이지만, 동시에 '프로젝트팀 내부 인사의 자기 평가'라는 한계를 동반한다. 독립된 QA팀이나 외부 감사에 의한 PIR 결과는 공개되지 않았다. 이 한계는 본 보고서가 사용한 다층적 검증(이사회 의결 기록[9], 학술 논문[11], 보도자료[13])으로 부분적으로 보완되지만, 완전히 해소되지는 않는다.</w:t>
      </w:r>
    </w:p>
    <w:p>
      <w:pPr>
        <w:spacing w:after="120" w:before="280" w:line="320"/>
      </w:pPr>
      <w:r>
        <w:rPr>
          <w:rFonts w:ascii="맑은 고딕" w:cs="맑은 고딕" w:eastAsia="맑은 고딕" w:hAnsi="맑은 고딕"/>
          <w:b/>
          <w:bCs/>
          <w:sz w:val="26"/>
          <w:szCs w:val="26"/>
        </w:rPr>
        <w:t xml:space="preserve">출 처</w:t>
      </w:r>
    </w:p>
    <w:p>
      <w:pPr>
        <w:spacing w:after="60" w:before="60" w:line="320"/>
        <w:jc w:val="both"/>
      </w:pPr>
      <w:r>
        <w:rPr>
          <w:rFonts w:ascii="맑은 고딕" w:cs="맑은 고딕" w:eastAsia="맑은 고딕" w:hAnsi="맑은 고딕"/>
          <w:sz w:val="20"/>
          <w:szCs w:val="20"/>
        </w:rPr>
        <w:t xml:space="preserve">본 Step 4는 Step 1~3과 일관된 13개 출처 체계를 유지한다. 전체 출처는 Step 5 문서를 참조.</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ERP개론 팀프로젝트 Step4 v3</dc:title>
  <dc:creator>Hoony - Kwangwoon Univ ERP Team Project</dc:creator>
  <cp:lastModifiedBy>Un-named</cp:lastModifiedBy>
  <cp:revision>1</cp:revision>
  <dcterms:created xsi:type="dcterms:W3CDTF">2026-05-21T07:05:00.525Z</dcterms:created>
  <dcterms:modified xsi:type="dcterms:W3CDTF">2026-05-21T07:05:00.525Z</dcterms:modified>
</cp:coreProperties>
</file>

<file path=docProps/custom.xml><?xml version="1.0" encoding="utf-8"?>
<Properties xmlns="http://schemas.openxmlformats.org/officeDocument/2006/custom-properties" xmlns:vt="http://schemas.openxmlformats.org/officeDocument/2006/docPropsVTypes"/>
</file>