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rFonts w:ascii="Calibri" w:hAnsi="Calibri"/>
          <w:b/>
          <w:color w:val="1F3864"/>
          <w:sz w:val="72"/>
        </w:rPr>
        <w:t>ASC 606 LLM Training Project</w:t>
      </w:r>
    </w:p>
    <w:p>
      <w:pPr>
        <w:spacing w:after="480"/>
        <w:jc w:val="center"/>
      </w:pPr>
      <w:r>
        <w:rPr>
          <w:color w:val="2E75B6"/>
          <w:sz w:val="40"/>
        </w:rPr>
        <w:t>Complete Project Compendium</w:t>
      </w:r>
    </w:p>
    <w:p>
      <w:pPr>
        <w:jc w:val="center"/>
      </w:pPr>
      <w:r>
        <w:rPr>
          <w:i/>
          <w:color w:val="606060"/>
          <w:sz w:val="28"/>
        </w:rPr>
        <w:t>Fine-tuning Curriculum for Revenue from Contracts with Customers</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Pr>
      <w:tblGrid>
        <w:gridCol w:w="4873"/>
        <w:gridCol w:w="4873"/>
      </w:tblGrid>
      <w:tr>
        <w:tc>
          <w:tcPr>
            <w:tcW w:type="dxa" w:w="4873"/>
          </w:tcPr>
          <w:p>
            <w:pPr>
              <w:jc w:val="right"/>
            </w:pPr>
            <w:r/>
            <w:r>
              <w:rPr>
                <w:b/>
                <w:color w:val="1F3864"/>
                <w:sz w:val="22"/>
              </w:rPr>
              <w:t>Standard:</w:t>
            </w:r>
          </w:p>
        </w:tc>
        <w:tc>
          <w:tcPr>
            <w:tcW w:type="dxa" w:w="4873"/>
          </w:tcPr>
          <w:p>
            <w:r/>
            <w:r>
              <w:rPr>
                <w:sz w:val="22"/>
              </w:rPr>
              <w:t>FASB ASC Topic 606 — Revenue from Contracts with Customers</w:t>
            </w:r>
          </w:p>
        </w:tc>
      </w:tr>
      <w:tr>
        <w:tc>
          <w:tcPr>
            <w:tcW w:type="dxa" w:w="4873"/>
          </w:tcPr>
          <w:p>
            <w:pPr>
              <w:jc w:val="right"/>
            </w:pPr>
            <w:r/>
            <w:r>
              <w:rPr>
                <w:b/>
                <w:color w:val="1F3864"/>
                <w:sz w:val="22"/>
              </w:rPr>
              <w:t>Coverage:</w:t>
            </w:r>
          </w:p>
        </w:tc>
        <w:tc>
          <w:tcPr>
            <w:tcW w:type="dxa" w:w="4873"/>
          </w:tcPr>
          <w:p>
            <w:r/>
            <w:r>
              <w:rPr>
                <w:sz w:val="22"/>
              </w:rPr>
              <w:t>12 modules × 6 difficulty levels (Beginner → PhD/Expert)</w:t>
            </w:r>
          </w:p>
        </w:tc>
      </w:tr>
      <w:tr>
        <w:tc>
          <w:tcPr>
            <w:tcW w:type="dxa" w:w="4873"/>
          </w:tcPr>
          <w:p>
            <w:pPr>
              <w:jc w:val="right"/>
            </w:pPr>
            <w:r/>
            <w:r>
              <w:rPr>
                <w:b/>
                <w:color w:val="1F3864"/>
                <w:sz w:val="22"/>
              </w:rPr>
              <w:t>Training templates:</w:t>
            </w:r>
          </w:p>
        </w:tc>
        <w:tc>
          <w:tcPr>
            <w:tcW w:type="dxa" w:w="4873"/>
          </w:tcPr>
          <w:p>
            <w:r/>
            <w:r>
              <w:rPr>
                <w:sz w:val="22"/>
              </w:rPr>
              <w:t>93 curated records (system / user / assistant)</w:t>
            </w:r>
          </w:p>
        </w:tc>
      </w:tr>
      <w:tr>
        <w:tc>
          <w:tcPr>
            <w:tcW w:type="dxa" w:w="4873"/>
          </w:tcPr>
          <w:p>
            <w:pPr>
              <w:jc w:val="right"/>
            </w:pPr>
            <w:r/>
            <w:r>
              <w:rPr>
                <w:b/>
                <w:color w:val="1F3864"/>
                <w:sz w:val="22"/>
              </w:rPr>
              <w:t>Curriculum target:</w:t>
            </w:r>
          </w:p>
        </w:tc>
        <w:tc>
          <w:tcPr>
            <w:tcW w:type="dxa" w:w="4873"/>
          </w:tcPr>
          <w:p>
            <w:r/>
            <w:r>
              <w:rPr>
                <w:sz w:val="22"/>
              </w:rPr>
              <w:t>10,000 records (configurable generator)</w:t>
            </w:r>
          </w:p>
        </w:tc>
      </w:tr>
      <w:tr>
        <w:tc>
          <w:tcPr>
            <w:tcW w:type="dxa" w:w="4873"/>
          </w:tcPr>
          <w:p>
            <w:pPr>
              <w:jc w:val="right"/>
            </w:pPr>
            <w:r/>
            <w:r>
              <w:rPr>
                <w:b/>
                <w:color w:val="1F3864"/>
                <w:sz w:val="22"/>
              </w:rPr>
              <w:t>Format:</w:t>
            </w:r>
          </w:p>
        </w:tc>
        <w:tc>
          <w:tcPr>
            <w:tcW w:type="dxa" w:w="4873"/>
          </w:tcPr>
          <w:p>
            <w:r/>
            <w:r>
              <w:rPr>
                <w:sz w:val="22"/>
              </w:rPr>
              <w:t>JSONL chat-format + companion manifest</w:t>
            </w:r>
          </w:p>
        </w:tc>
      </w:tr>
      <w:tr>
        <w:tc>
          <w:tcPr>
            <w:tcW w:type="dxa" w:w="4873"/>
          </w:tcPr>
          <w:p>
            <w:pPr>
              <w:jc w:val="right"/>
            </w:pPr>
            <w:r/>
            <w:r>
              <w:rPr>
                <w:b/>
                <w:color w:val="1F3864"/>
                <w:sz w:val="22"/>
              </w:rPr>
              <w:t>Output path:</w:t>
            </w:r>
          </w:p>
        </w:tc>
        <w:tc>
          <w:tcPr>
            <w:tcW w:type="dxa" w:w="4873"/>
          </w:tcPr>
          <w:p>
            <w:r/>
            <w:r>
              <w:rPr>
                <w:sz w:val="22"/>
              </w:rPr>
              <w:t>/home/z/my-project/download/ASC606_LLM_Training_Project_Complete.docx</w:t>
            </w:r>
          </w:p>
        </w:tc>
      </w:tr>
    </w:tbl>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i/>
          <w:color w:val="606060"/>
          <w:sz w:val="18"/>
        </w:rPr>
        <w:t>⚠ Compliance note: This document contains training templates only. Before any record enters production training, verify authoritative ASC paragraph citations against your licensed FASB Codification and have a qualified US-GAAP reviewer approve the technical conclusions.</w:t>
      </w:r>
    </w:p>
    <w:p>
      <w:r>
        <w:br w:type="page"/>
      </w:r>
    </w:p>
    <w:p>
      <w:pPr>
        <w:pStyle w:val="Heading1"/>
      </w:pPr>
      <w:r>
        <w:rPr>
          <w:color w:val="1F3864"/>
        </w:rPr>
        <w:t>Table of Contents</w:t>
      </w:r>
    </w:p>
    <w:p>
      <w:r>
        <w:rPr>
          <w:i/>
          <w:color w:val="606060"/>
        </w:rPr>
        <w:fldChar w:fldCharType="begin"/>
        <w:instrText xml:space="preserve">TOC \o "1-3" \h \z \u</w:instrText>
        <w:fldChar w:fldCharType="separate"/>
        <w:t>Right-click and choose 'Update Field' to refresh the table of contents.</w:t>
        <w:fldChar w:fldCharType="end"/>
      </w:r>
    </w:p>
    <w:p>
      <w:r>
        <w:br w:type="page"/>
      </w:r>
    </w:p>
    <w:p>
      <w:pPr>
        <w:pStyle w:val="Heading1"/>
      </w:pPr>
      <w:r>
        <w:rPr>
          <w:color w:val="1F3864"/>
        </w:rPr>
        <w:t>1. Project Overview</w:t>
      </w:r>
    </w:p>
    <w:p>
      <w:pPr>
        <w:spacing w:line="312" w:lineRule="auto" w:after="120"/>
      </w:pPr>
      <w:r>
        <w:rPr>
          <w:rFonts w:ascii="Calibri" w:hAnsi="Calibri"/>
          <w:b w:val="0"/>
          <w:i w:val="0"/>
          <w:sz w:val="22"/>
        </w:rPr>
        <w:t>This document compiles the complete ASC 606 LLM training project: 93 curated training prompt templates spanning beginner to PhD / expert-level reasoning, the full Python source code (schema, generator, validator, evaluator, training script), configuration files, and project documentation. The project is designed to fine-tune a Large Language Model on FASB ASC Topic 606 — Revenue from Contracts with Customers — across a 12-module curriculum that covers the full five-step revenue recognition model, numerical cases, advanced technical issues, expert memoranda, adversarial review, and research-grade analysis.</w:t>
      </w:r>
    </w:p>
    <w:p>
      <w:pPr>
        <w:pStyle w:val="Heading2"/>
      </w:pPr>
      <w:r>
        <w:rPr>
          <w:color w:val="1F3864"/>
        </w:rPr>
        <w:t>1.1 Curriculum at a Glance</w:t>
      </w:r>
    </w:p>
    <w:p>
      <w:pPr>
        <w:spacing w:line="312" w:lineRule="auto" w:after="120"/>
      </w:pPr>
      <w:r>
        <w:rPr>
          <w:rFonts w:ascii="Calibri" w:hAnsi="Calibri"/>
          <w:b w:val="0"/>
          <w:i w:val="0"/>
          <w:sz w:val="22"/>
        </w:rPr>
        <w:t>The curriculum is organized into 12 modules (M0–M11) covering all ASC 606 sub-topics, and 6 difficulty levels (Beginner, Foundational, Intermediate, Advanced, Expert, Research-grade). Every (module × difficulty) cell in the matrix has at least one curated training template, ensuring balanced coverage of topic breadth and reasoning depth.</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Total curated templates</w:t>
            </w:r>
          </w:p>
        </w:tc>
        <w:tc>
          <w:tcPr>
            <w:tcW w:type="dxa" w:w="4873"/>
          </w:tcPr>
          <w:p>
            <w:r/>
            <w:r>
              <w:rPr>
                <w:sz w:val="20"/>
              </w:rPr>
              <w:t>93</w:t>
            </w:r>
          </w:p>
        </w:tc>
      </w:tr>
      <w:tr>
        <w:tc>
          <w:tcPr>
            <w:tcW w:type="dxa" w:w="4873"/>
          </w:tcPr>
          <w:p>
            <w:r/>
            <w:r>
              <w:rPr>
                <w:b/>
                <w:sz w:val="20"/>
              </w:rPr>
              <w:t>Modules</w:t>
            </w:r>
          </w:p>
        </w:tc>
        <w:tc>
          <w:tcPr>
            <w:tcW w:type="dxa" w:w="4873"/>
          </w:tcPr>
          <w:p>
            <w:r/>
            <w:r>
              <w:rPr>
                <w:sz w:val="20"/>
              </w:rPr>
              <w:t>M0–M11 (12 modules)</w:t>
            </w:r>
          </w:p>
        </w:tc>
      </w:tr>
      <w:tr>
        <w:tc>
          <w:tcPr>
            <w:tcW w:type="dxa" w:w="4873"/>
          </w:tcPr>
          <w:p>
            <w:r/>
            <w:r>
              <w:rPr>
                <w:b/>
                <w:sz w:val="20"/>
              </w:rPr>
              <w:t>Difficulty levels</w:t>
            </w:r>
          </w:p>
        </w:tc>
        <w:tc>
          <w:tcPr>
            <w:tcW w:type="dxa" w:w="4873"/>
          </w:tcPr>
          <w:p>
            <w:r/>
            <w:r>
              <w:rPr>
                <w:sz w:val="20"/>
              </w:rPr>
              <w:t>Beginner / Foundational / Intermediate / Advanced / Expert / Research</w:t>
            </w:r>
          </w:p>
        </w:tc>
      </w:tr>
      <w:tr>
        <w:tc>
          <w:tcPr>
            <w:tcW w:type="dxa" w:w="4873"/>
          </w:tcPr>
          <w:p>
            <w:r/>
            <w:r>
              <w:rPr>
                <w:b/>
                <w:sz w:val="20"/>
              </w:rPr>
              <w:t>Task types</w:t>
            </w:r>
          </w:p>
        </w:tc>
        <w:tc>
          <w:tcPr>
            <w:tcW w:type="dxa" w:w="4873"/>
          </w:tcPr>
          <w:p>
            <w:r/>
            <w:r>
              <w:rPr>
                <w:sz w:val="20"/>
              </w:rPr>
              <w:t>explanation, definition, numerical_case, journal_entry, memo, critique, citation_trap, adversarial, comparative, research</w:t>
            </w:r>
          </w:p>
        </w:tc>
      </w:tr>
      <w:tr>
        <w:tc>
          <w:tcPr>
            <w:tcW w:type="dxa" w:w="4873"/>
          </w:tcPr>
          <w:p>
            <w:r/>
            <w:r>
              <w:rPr>
                <w:b/>
                <w:sz w:val="20"/>
              </w:rPr>
              <w:t>Record schema</w:t>
            </w:r>
          </w:p>
        </w:tc>
        <w:tc>
          <w:tcPr>
            <w:tcW w:type="dxa" w:w="4873"/>
          </w:tcPr>
          <w:p>
            <w:r/>
            <w:r>
              <w:rPr>
                <w:sz w:val="20"/>
              </w:rPr>
              <w:t>OpenAI chat format (system / user / assistant) + manifest metadata</w:t>
            </w:r>
          </w:p>
        </w:tc>
      </w:tr>
      <w:tr>
        <w:tc>
          <w:tcPr>
            <w:tcW w:type="dxa" w:w="4873"/>
          </w:tcPr>
          <w:p>
            <w:r/>
            <w:r>
              <w:rPr>
                <w:b/>
                <w:sz w:val="20"/>
              </w:rPr>
              <w:t>Target dataset size</w:t>
            </w:r>
          </w:p>
        </w:tc>
        <w:tc>
          <w:tcPr>
            <w:tcW w:type="dxa" w:w="4873"/>
          </w:tcPr>
          <w:p>
            <w:r/>
            <w:r>
              <w:rPr>
                <w:sz w:val="20"/>
              </w:rPr>
              <w:t>10,000 records (after programmatic variation)</w:t>
            </w:r>
          </w:p>
        </w:tc>
      </w:tr>
      <w:tr>
        <w:tc>
          <w:tcPr>
            <w:tcW w:type="dxa" w:w="4873"/>
          </w:tcPr>
          <w:p>
            <w:r/>
            <w:r>
              <w:rPr>
                <w:b/>
                <w:sz w:val="20"/>
              </w:rPr>
              <w:t>Train / Val / Test split</w:t>
            </w:r>
          </w:p>
        </w:tc>
        <w:tc>
          <w:tcPr>
            <w:tcW w:type="dxa" w:w="4873"/>
          </w:tcPr>
          <w:p>
            <w:r/>
            <w:r>
              <w:rPr>
                <w:sz w:val="20"/>
              </w:rPr>
              <w:t>85% / 7.5% / 7.5% (stratified by module × difficulty)</w:t>
            </w:r>
          </w:p>
        </w:tc>
      </w:tr>
      <w:tr>
        <w:tc>
          <w:tcPr>
            <w:tcW w:type="dxa" w:w="4873"/>
          </w:tcPr>
          <w:p>
            <w:r/>
            <w:r>
              <w:rPr>
                <w:b/>
                <w:sz w:val="20"/>
              </w:rPr>
              <w:t>Anti-hallucination features</w:t>
            </w:r>
          </w:p>
        </w:tc>
        <w:tc>
          <w:tcPr>
            <w:tcW w:type="dxa" w:w="4873"/>
          </w:tcPr>
          <w:p>
            <w:r/>
            <w:r>
              <w:rPr>
                <w:sz w:val="20"/>
              </w:rPr>
              <w:t>Citation-trap detection, JE balance checker, suspicious-section-99 warnings</w:t>
            </w:r>
          </w:p>
        </w:tc>
      </w:tr>
    </w:tbl>
    <w:p>
      <w:pPr>
        <w:spacing w:after="80"/>
      </w:pPr>
    </w:p>
    <w:p>
      <w:pPr>
        <w:pStyle w:val="Heading1"/>
      </w:pPr>
      <w:r>
        <w:rPr>
          <w:color w:val="1F3864"/>
        </w:rPr>
        <w:t>2. Curriculum Specification</w:t>
      </w:r>
    </w:p>
    <w:p>
      <w:pPr>
        <w:spacing w:line="312" w:lineRule="auto" w:after="120"/>
      </w:pPr>
      <w:r>
        <w:rPr>
          <w:rFonts w:ascii="Calibri" w:hAnsi="Calibri"/>
          <w:b w:val="0"/>
          <w:i w:val="0"/>
          <w:sz w:val="22"/>
        </w:rPr>
        <w:t>The curriculum is defined in config/curriculum.yaml. The 12 modules and 6 difficulty levels below describe the design intent of the training corpus. Each curated template is tagged with both its module_id and difficulty so the generator can produce balanced subsets and the splitter can stratify without leakage.</w:t>
      </w:r>
    </w:p>
    <w:p>
      <w:pPr>
        <w:pStyle w:val="Heading2"/>
      </w:pPr>
      <w:r>
        <w:rPr>
          <w:color w:val="1F3864"/>
        </w:rPr>
        <w:t>2.1 Modules (M0–M11)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sz w:val="20"/>
              </w:rPr>
              <w:t>ID</w:t>
            </w:r>
          </w:p>
        </w:tc>
        <w:tc>
          <w:tcPr>
            <w:tcW w:type="dxa" w:w="2436"/>
          </w:tcPr>
          <w:p>
            <w:r/>
            <w:r>
              <w:rPr>
                <w:b/>
                <w:sz w:val="20"/>
              </w:rPr>
              <w:t>Topic</w:t>
            </w:r>
          </w:p>
        </w:tc>
        <w:tc>
          <w:tcPr>
            <w:tcW w:type="dxa" w:w="2436"/>
          </w:tcPr>
          <w:p>
            <w:r/>
            <w:r>
              <w:rPr>
                <w:b/>
                <w:sz w:val="20"/>
              </w:rPr>
              <w:t>Share</w:t>
            </w:r>
          </w:p>
        </w:tc>
        <w:tc>
          <w:tcPr>
            <w:tcW w:type="dxa" w:w="2436"/>
          </w:tcPr>
          <w:p>
            <w:r/>
            <w:r>
              <w:rPr>
                <w:b/>
                <w:sz w:val="20"/>
              </w:rPr>
              <w:t>Description</w:t>
            </w:r>
          </w:p>
        </w:tc>
      </w:tr>
      <w:tr>
        <w:tc>
          <w:tcPr>
            <w:tcW w:type="dxa" w:w="2436"/>
          </w:tcPr>
          <w:p>
            <w:r/>
            <w:r>
              <w:rPr>
                <w:sz w:val="20"/>
              </w:rPr>
              <w:t>M0</w:t>
            </w:r>
          </w:p>
        </w:tc>
        <w:tc>
          <w:tcPr>
            <w:tcW w:type="dxa" w:w="2436"/>
          </w:tcPr>
          <w:p>
            <w:r/>
            <w:r>
              <w:rPr>
                <w:sz w:val="20"/>
              </w:rPr>
              <w:t>Accounting foundations</w:t>
            </w:r>
          </w:p>
        </w:tc>
        <w:tc>
          <w:tcPr>
            <w:tcW w:type="dxa" w:w="2436"/>
          </w:tcPr>
          <w:p>
            <w:r/>
            <w:r>
              <w:rPr>
                <w:sz w:val="20"/>
              </w:rPr>
              <w:t>5%</w:t>
            </w:r>
          </w:p>
        </w:tc>
        <w:tc>
          <w:tcPr>
            <w:tcW w:type="dxa" w:w="2436"/>
          </w:tcPr>
          <w:p>
            <w:r/>
            <w:r>
              <w:rPr>
                <w:sz w:val="20"/>
              </w:rPr>
              <w:t>Accrual accounting, debit/credit mechanics, revenue vs. cash, receivables, deferred revenue, basic financial statements.</w:t>
            </w:r>
          </w:p>
        </w:tc>
      </w:tr>
      <w:tr>
        <w:tc>
          <w:tcPr>
            <w:tcW w:type="dxa" w:w="2436"/>
          </w:tcPr>
          <w:p>
            <w:r/>
            <w:r>
              <w:rPr>
                <w:sz w:val="20"/>
              </w:rPr>
              <w:t>M1</w:t>
            </w:r>
          </w:p>
        </w:tc>
        <w:tc>
          <w:tcPr>
            <w:tcW w:type="dxa" w:w="2436"/>
          </w:tcPr>
          <w:p>
            <w:r/>
            <w:r>
              <w:rPr>
                <w:sz w:val="20"/>
              </w:rPr>
              <w:t>ASC 606 core concepts &amp; scope</w:t>
            </w:r>
          </w:p>
        </w:tc>
        <w:tc>
          <w:tcPr>
            <w:tcW w:type="dxa" w:w="2436"/>
          </w:tcPr>
          <w:p>
            <w:r/>
            <w:r>
              <w:rPr>
                <w:sz w:val="20"/>
              </w:rPr>
              <w:t>9%</w:t>
            </w:r>
          </w:p>
        </w:tc>
        <w:tc>
          <w:tcPr>
            <w:tcW w:type="dxa" w:w="2436"/>
          </w:tcPr>
          <w:p>
            <w:r/>
            <w:r>
              <w:rPr>
                <w:sz w:val="20"/>
              </w:rPr>
              <w:t>Scope, core principle, five-step model, defined terms, scope exceptions.</w:t>
            </w:r>
          </w:p>
        </w:tc>
      </w:tr>
      <w:tr>
        <w:tc>
          <w:tcPr>
            <w:tcW w:type="dxa" w:w="2436"/>
          </w:tcPr>
          <w:p>
            <w:r/>
            <w:r>
              <w:rPr>
                <w:sz w:val="20"/>
              </w:rPr>
              <w:t>M2</w:t>
            </w:r>
          </w:p>
        </w:tc>
        <w:tc>
          <w:tcPr>
            <w:tcW w:type="dxa" w:w="2436"/>
          </w:tcPr>
          <w:p>
            <w:r/>
            <w:r>
              <w:rPr>
                <w:sz w:val="20"/>
              </w:rPr>
              <w:t>Contract identification</w:t>
            </w:r>
          </w:p>
        </w:tc>
        <w:tc>
          <w:tcPr>
            <w:tcW w:type="dxa" w:w="2436"/>
          </w:tcPr>
          <w:p>
            <w:r/>
            <w:r>
              <w:rPr>
                <w:sz w:val="20"/>
              </w:rPr>
              <w:t>7%</w:t>
            </w:r>
          </w:p>
        </w:tc>
        <w:tc>
          <w:tcPr>
            <w:tcW w:type="dxa" w:w="2436"/>
          </w:tcPr>
          <w:p>
            <w:r/>
            <w:r>
              <w:rPr>
                <w:sz w:val="20"/>
              </w:rPr>
              <w:t>Approval, enforceable rights, payment terms, commercial substance, collectibility, contract combination.</w:t>
            </w:r>
          </w:p>
        </w:tc>
      </w:tr>
      <w:tr>
        <w:tc>
          <w:tcPr>
            <w:tcW w:type="dxa" w:w="2436"/>
          </w:tcPr>
          <w:p>
            <w:r/>
            <w:r>
              <w:rPr>
                <w:sz w:val="20"/>
              </w:rPr>
              <w:t>M3</w:t>
            </w:r>
          </w:p>
        </w:tc>
        <w:tc>
          <w:tcPr>
            <w:tcW w:type="dxa" w:w="2436"/>
          </w:tcPr>
          <w:p>
            <w:r/>
            <w:r>
              <w:rPr>
                <w:sz w:val="20"/>
              </w:rPr>
              <w:t>Performance obligations</w:t>
            </w:r>
          </w:p>
        </w:tc>
        <w:tc>
          <w:tcPr>
            <w:tcW w:type="dxa" w:w="2436"/>
          </w:tcPr>
          <w:p>
            <w:r/>
            <w:r>
              <w:rPr>
                <w:sz w:val="20"/>
              </w:rPr>
              <w:t>11%</w:t>
            </w:r>
          </w:p>
        </w:tc>
        <w:tc>
          <w:tcPr>
            <w:tcW w:type="dxa" w:w="2436"/>
          </w:tcPr>
          <w:p>
            <w:r/>
            <w:r>
              <w:rPr>
                <w:sz w:val="20"/>
              </w:rPr>
              <w:t>Promised goods/services, distinctness, series guidance, material rights, options, bundled arrangements.</w:t>
            </w:r>
          </w:p>
        </w:tc>
      </w:tr>
      <w:tr>
        <w:tc>
          <w:tcPr>
            <w:tcW w:type="dxa" w:w="2436"/>
          </w:tcPr>
          <w:p>
            <w:r/>
            <w:r>
              <w:rPr>
                <w:sz w:val="20"/>
              </w:rPr>
              <w:t>M4</w:t>
            </w:r>
          </w:p>
        </w:tc>
        <w:tc>
          <w:tcPr>
            <w:tcW w:type="dxa" w:w="2436"/>
          </w:tcPr>
          <w:p>
            <w:r/>
            <w:r>
              <w:rPr>
                <w:sz w:val="20"/>
              </w:rPr>
              <w:t>Transaction price &amp; variable consideration</w:t>
            </w:r>
          </w:p>
        </w:tc>
        <w:tc>
          <w:tcPr>
            <w:tcW w:type="dxa" w:w="2436"/>
          </w:tcPr>
          <w:p>
            <w:r/>
            <w:r>
              <w:rPr>
                <w:sz w:val="20"/>
              </w:rPr>
              <w:t>12%</w:t>
            </w:r>
          </w:p>
        </w:tc>
        <w:tc>
          <w:tcPr>
            <w:tcW w:type="dxa" w:w="2436"/>
          </w:tcPr>
          <w:p>
            <w:r/>
            <w:r>
              <w:rPr>
                <w:sz w:val="20"/>
              </w:rPr>
              <w:t>Fixed/variable consideration, expected-value vs. most-likely-amount, constraint, rebates, returns, refunds, financing, noncash consideration.</w:t>
            </w:r>
          </w:p>
        </w:tc>
      </w:tr>
      <w:tr>
        <w:tc>
          <w:tcPr>
            <w:tcW w:type="dxa" w:w="2436"/>
          </w:tcPr>
          <w:p>
            <w:r/>
            <w:r>
              <w:rPr>
                <w:sz w:val="20"/>
              </w:rPr>
              <w:t>M5</w:t>
            </w:r>
          </w:p>
        </w:tc>
        <w:tc>
          <w:tcPr>
            <w:tcW w:type="dxa" w:w="2436"/>
          </w:tcPr>
          <w:p>
            <w:r/>
            <w:r>
              <w:rPr>
                <w:sz w:val="20"/>
              </w:rPr>
              <w:t>Allocation &amp; standalone selling prices</w:t>
            </w:r>
          </w:p>
        </w:tc>
        <w:tc>
          <w:tcPr>
            <w:tcW w:type="dxa" w:w="2436"/>
          </w:tcPr>
          <w:p>
            <w:r/>
            <w:r>
              <w:rPr>
                <w:sz w:val="20"/>
              </w:rPr>
              <w:t>7%</w:t>
            </w:r>
          </w:p>
        </w:tc>
        <w:tc>
          <w:tcPr>
            <w:tcW w:type="dxa" w:w="2436"/>
          </w:tcPr>
          <w:p>
            <w:r/>
            <w:r>
              <w:rPr>
                <w:sz w:val="20"/>
              </w:rPr>
              <w:t>Relative SSPs, observable prices, estimation methods, discounts, variable-consideration allocation, allocation exceptions.</w:t>
            </w:r>
          </w:p>
        </w:tc>
      </w:tr>
      <w:tr>
        <w:tc>
          <w:tcPr>
            <w:tcW w:type="dxa" w:w="2436"/>
          </w:tcPr>
          <w:p>
            <w:r/>
            <w:r>
              <w:rPr>
                <w:sz w:val="20"/>
              </w:rPr>
              <w:t>M6</w:t>
            </w:r>
          </w:p>
        </w:tc>
        <w:tc>
          <w:tcPr>
            <w:tcW w:type="dxa" w:w="2436"/>
          </w:tcPr>
          <w:p>
            <w:r/>
            <w:r>
              <w:rPr>
                <w:sz w:val="20"/>
              </w:rPr>
              <w:t>Recognition timing &amp; progress measures</w:t>
            </w:r>
          </w:p>
        </w:tc>
        <w:tc>
          <w:tcPr>
            <w:tcW w:type="dxa" w:w="2436"/>
          </w:tcPr>
          <w:p>
            <w:r/>
            <w:r>
              <w:rPr>
                <w:sz w:val="20"/>
              </w:rPr>
              <w:t>11%</w:t>
            </w:r>
          </w:p>
        </w:tc>
        <w:tc>
          <w:tcPr>
            <w:tcW w:type="dxa" w:w="2436"/>
          </w:tcPr>
          <w:p>
            <w:r/>
            <w:r>
              <w:rPr>
                <w:sz w:val="20"/>
              </w:rPr>
              <w:t>Point-in-time vs. over-time, control indicators, progress measures, input/output methods, contract acceptance, cutoff.</w:t>
            </w:r>
          </w:p>
        </w:tc>
      </w:tr>
      <w:tr>
        <w:tc>
          <w:tcPr>
            <w:tcW w:type="dxa" w:w="2436"/>
          </w:tcPr>
          <w:p>
            <w:r/>
            <w:r>
              <w:rPr>
                <w:sz w:val="20"/>
              </w:rPr>
              <w:t>M7</w:t>
            </w:r>
          </w:p>
        </w:tc>
        <w:tc>
          <w:tcPr>
            <w:tcW w:type="dxa" w:w="2436"/>
          </w:tcPr>
          <w:p>
            <w:r/>
            <w:r>
              <w:rPr>
                <w:sz w:val="20"/>
              </w:rPr>
              <w:t>Contract modifications &amp; complex arrangements</w:t>
            </w:r>
          </w:p>
        </w:tc>
        <w:tc>
          <w:tcPr>
            <w:tcW w:type="dxa" w:w="2436"/>
          </w:tcPr>
          <w:p>
            <w:r/>
            <w:r>
              <w:rPr>
                <w:sz w:val="20"/>
              </w:rPr>
              <w:t>8%</w:t>
            </w:r>
          </w:p>
        </w:tc>
        <w:tc>
          <w:tcPr>
            <w:tcW w:type="dxa" w:w="2436"/>
          </w:tcPr>
          <w:p>
            <w:r/>
            <w:r>
              <w:rPr>
                <w:sz w:val="20"/>
              </w:rPr>
              <w:t>Modifications (separate-contract vs. prospective vs. cumulative catch-up), termination clauses, renewals.</w:t>
            </w:r>
          </w:p>
        </w:tc>
      </w:tr>
      <w:tr>
        <w:tc>
          <w:tcPr>
            <w:tcW w:type="dxa" w:w="2436"/>
          </w:tcPr>
          <w:p>
            <w:r/>
            <w:r>
              <w:rPr>
                <w:sz w:val="20"/>
              </w:rPr>
              <w:t>M8</w:t>
            </w:r>
          </w:p>
        </w:tc>
        <w:tc>
          <w:tcPr>
            <w:tcW w:type="dxa" w:w="2436"/>
          </w:tcPr>
          <w:p>
            <w:r/>
            <w:r>
              <w:rPr>
                <w:sz w:val="20"/>
              </w:rPr>
              <w:t>Specialized topics</w:t>
            </w:r>
          </w:p>
        </w:tc>
        <w:tc>
          <w:tcPr>
            <w:tcW w:type="dxa" w:w="2436"/>
          </w:tcPr>
          <w:p>
            <w:r/>
            <w:r>
              <w:rPr>
                <w:sz w:val="20"/>
              </w:rPr>
              <w:t>10%</w:t>
            </w:r>
          </w:p>
        </w:tc>
        <w:tc>
          <w:tcPr>
            <w:tcW w:type="dxa" w:w="2436"/>
          </w:tcPr>
          <w:p>
            <w:r/>
            <w:r>
              <w:rPr>
                <w:sz w:val="20"/>
              </w:rPr>
              <w:t>Principal vs. agent, licenses of IP, warranties, right of return, bill-and-hold, consignment, repurchase, contract costs (ASC 340-40), significant financing.</w:t>
            </w:r>
          </w:p>
        </w:tc>
      </w:tr>
      <w:tr>
        <w:tc>
          <w:tcPr>
            <w:tcW w:type="dxa" w:w="2436"/>
          </w:tcPr>
          <w:p>
            <w:r/>
            <w:r>
              <w:rPr>
                <w:sz w:val="20"/>
              </w:rPr>
              <w:t>M9</w:t>
            </w:r>
          </w:p>
        </w:tc>
        <w:tc>
          <w:tcPr>
            <w:tcW w:type="dxa" w:w="2436"/>
          </w:tcPr>
          <w:p>
            <w:r/>
            <w:r>
              <w:rPr>
                <w:sz w:val="20"/>
              </w:rPr>
              <w:t>Presentation, disclosures &amp; controls</w:t>
            </w:r>
          </w:p>
        </w:tc>
        <w:tc>
          <w:tcPr>
            <w:tcW w:type="dxa" w:w="2436"/>
          </w:tcPr>
          <w:p>
            <w:r/>
            <w:r>
              <w:rPr>
                <w:sz w:val="20"/>
              </w:rPr>
              <w:t>6%</w:t>
            </w:r>
          </w:p>
        </w:tc>
        <w:tc>
          <w:tcPr>
            <w:tcW w:type="dxa" w:w="2436"/>
          </w:tcPr>
          <w:p>
            <w:r/>
            <w:r>
              <w:rPr>
                <w:sz w:val="20"/>
              </w:rPr>
              <w:t>Contract assets/liabilities, receivables, disaggregation, remaining POs, significant judgments, disclosures, revenue controls.</w:t>
            </w:r>
          </w:p>
        </w:tc>
      </w:tr>
      <w:tr>
        <w:tc>
          <w:tcPr>
            <w:tcW w:type="dxa" w:w="2436"/>
          </w:tcPr>
          <w:p>
            <w:r/>
            <w:r>
              <w:rPr>
                <w:sz w:val="20"/>
              </w:rPr>
              <w:t>M10</w:t>
            </w:r>
          </w:p>
        </w:tc>
        <w:tc>
          <w:tcPr>
            <w:tcW w:type="dxa" w:w="2436"/>
          </w:tcPr>
          <w:p>
            <w:r/>
            <w:r>
              <w:rPr>
                <w:sz w:val="20"/>
              </w:rPr>
              <w:t>Expert memos, audit &amp; research cases</w:t>
            </w:r>
          </w:p>
        </w:tc>
        <w:tc>
          <w:tcPr>
            <w:tcW w:type="dxa" w:w="2436"/>
          </w:tcPr>
          <w:p>
            <w:r/>
            <w:r>
              <w:rPr>
                <w:sz w:val="20"/>
              </w:rPr>
              <w:t>9%</w:t>
            </w:r>
          </w:p>
        </w:tc>
        <w:tc>
          <w:tcPr>
            <w:tcW w:type="dxa" w:w="2436"/>
          </w:tcPr>
          <w:p>
            <w:r/>
            <w:r>
              <w:rPr>
                <w:sz w:val="20"/>
              </w:rPr>
              <w:t>Technical accounting memos, audit evidence, competing interpretations, SEC-reporting, ASC 606 vs. IFRS 15.</w:t>
            </w:r>
          </w:p>
        </w:tc>
      </w:tr>
      <w:tr>
        <w:tc>
          <w:tcPr>
            <w:tcW w:type="dxa" w:w="2436"/>
          </w:tcPr>
          <w:p>
            <w:r/>
            <w:r>
              <w:rPr>
                <w:sz w:val="20"/>
              </w:rPr>
              <w:t>M11</w:t>
            </w:r>
          </w:p>
        </w:tc>
        <w:tc>
          <w:tcPr>
            <w:tcW w:type="dxa" w:w="2436"/>
          </w:tcPr>
          <w:p>
            <w:r/>
            <w:r>
              <w:rPr>
                <w:sz w:val="20"/>
              </w:rPr>
              <w:t>Adversarial reasoning &amp; error correction</w:t>
            </w:r>
          </w:p>
        </w:tc>
        <w:tc>
          <w:tcPr>
            <w:tcW w:type="dxa" w:w="2436"/>
          </w:tcPr>
          <w:p>
            <w:r/>
            <w:r>
              <w:rPr>
                <w:sz w:val="20"/>
              </w:rPr>
              <w:t>5%</w:t>
            </w:r>
          </w:p>
        </w:tc>
        <w:tc>
          <w:tcPr>
            <w:tcW w:type="dxa" w:w="2436"/>
          </w:tcPr>
          <w:p>
            <w:r/>
            <w:r>
              <w:rPr>
                <w:sz w:val="20"/>
              </w:rPr>
              <w:t>Hallucinated citations, misleading premises, insufficient facts, contradictory evidence, arithmetic traps.</w:t>
            </w:r>
          </w:p>
        </w:tc>
      </w:tr>
    </w:tbl>
    <w:p>
      <w:pPr>
        <w:spacing w:after="160"/>
      </w:pPr>
    </w:p>
    <w:p>
      <w:pPr>
        <w:pStyle w:val="Heading2"/>
      </w:pPr>
      <w:r>
        <w:rPr>
          <w:color w:val="1F3864"/>
        </w:rPr>
        <w:t>2.2 Difficulty Levels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Level</w:t>
            </w:r>
          </w:p>
        </w:tc>
        <w:tc>
          <w:tcPr>
            <w:tcW w:type="dxa" w:w="3249"/>
          </w:tcPr>
          <w:p>
            <w:r/>
            <w:r>
              <w:rPr>
                <w:b/>
                <w:sz w:val="20"/>
              </w:rPr>
              <w:t>Share</w:t>
            </w:r>
          </w:p>
        </w:tc>
        <w:tc>
          <w:tcPr>
            <w:tcW w:type="dxa" w:w="3249"/>
          </w:tcPr>
          <w:p>
            <w:r/>
            <w:r>
              <w:rPr>
                <w:b/>
                <w:sz w:val="20"/>
              </w:rPr>
              <w:t>Required behavior</w:t>
            </w:r>
          </w:p>
        </w:tc>
      </w:tr>
      <w:tr>
        <w:tc>
          <w:tcPr>
            <w:tcW w:type="dxa" w:w="3249"/>
          </w:tcPr>
          <w:p>
            <w:r/>
            <w:r>
              <w:rPr>
                <w:sz w:val="20"/>
              </w:rPr>
              <w:t>Beginner</w:t>
            </w:r>
          </w:p>
        </w:tc>
        <w:tc>
          <w:tcPr>
            <w:tcW w:type="dxa" w:w="3249"/>
          </w:tcPr>
          <w:p>
            <w:r/>
            <w:r>
              <w:rPr>
                <w:sz w:val="20"/>
              </w:rPr>
              <w:t>10%</w:t>
            </w:r>
          </w:p>
        </w:tc>
        <w:tc>
          <w:tcPr>
            <w:tcW w:type="dxa" w:w="3249"/>
          </w:tcPr>
          <w:p>
            <w:r/>
            <w:r>
              <w:rPr>
                <w:sz w:val="20"/>
              </w:rPr>
              <w:t>Define, classify, explain.</w:t>
            </w:r>
          </w:p>
        </w:tc>
      </w:tr>
      <w:tr>
        <w:tc>
          <w:tcPr>
            <w:tcW w:type="dxa" w:w="3249"/>
          </w:tcPr>
          <w:p>
            <w:r/>
            <w:r>
              <w:rPr>
                <w:sz w:val="20"/>
              </w:rPr>
              <w:t>Foundational</w:t>
            </w:r>
          </w:p>
        </w:tc>
        <w:tc>
          <w:tcPr>
            <w:tcW w:type="dxa" w:w="3249"/>
          </w:tcPr>
          <w:p>
            <w:r/>
            <w:r>
              <w:rPr>
                <w:sz w:val="20"/>
              </w:rPr>
              <w:t>20%</w:t>
            </w:r>
          </w:p>
        </w:tc>
        <w:tc>
          <w:tcPr>
            <w:tcW w:type="dxa" w:w="3249"/>
          </w:tcPr>
          <w:p>
            <w:r/>
            <w:r>
              <w:rPr>
                <w:sz w:val="20"/>
              </w:rPr>
              <w:t>Apply rules to simple fact patterns.</w:t>
            </w:r>
          </w:p>
        </w:tc>
      </w:tr>
      <w:tr>
        <w:tc>
          <w:tcPr>
            <w:tcW w:type="dxa" w:w="3249"/>
          </w:tcPr>
          <w:p>
            <w:r/>
            <w:r>
              <w:rPr>
                <w:sz w:val="20"/>
              </w:rPr>
              <w:t>Intermediate</w:t>
            </w:r>
          </w:p>
        </w:tc>
        <w:tc>
          <w:tcPr>
            <w:tcW w:type="dxa" w:w="3249"/>
          </w:tcPr>
          <w:p>
            <w:r/>
            <w:r>
              <w:rPr>
                <w:sz w:val="20"/>
              </w:rPr>
              <w:t>25%</w:t>
            </w:r>
          </w:p>
        </w:tc>
        <w:tc>
          <w:tcPr>
            <w:tcW w:type="dxa" w:w="3249"/>
          </w:tcPr>
          <w:p>
            <w:r/>
            <w:r>
              <w:rPr>
                <w:sz w:val="20"/>
              </w:rPr>
              <w:t>Calculate, allocate, prepare entries.</w:t>
            </w:r>
          </w:p>
        </w:tc>
      </w:tr>
      <w:tr>
        <w:tc>
          <w:tcPr>
            <w:tcW w:type="dxa" w:w="3249"/>
          </w:tcPr>
          <w:p>
            <w:r/>
            <w:r>
              <w:rPr>
                <w:sz w:val="20"/>
              </w:rPr>
              <w:t>Advanced</w:t>
            </w:r>
          </w:p>
        </w:tc>
        <w:tc>
          <w:tcPr>
            <w:tcW w:type="dxa" w:w="3249"/>
          </w:tcPr>
          <w:p>
            <w:r/>
            <w:r>
              <w:rPr>
                <w:sz w:val="20"/>
              </w:rPr>
              <w:t>25%</w:t>
            </w:r>
          </w:p>
        </w:tc>
        <w:tc>
          <w:tcPr>
            <w:tcW w:type="dxa" w:w="3249"/>
          </w:tcPr>
          <w:p>
            <w:r/>
            <w:r>
              <w:rPr>
                <w:sz w:val="20"/>
              </w:rPr>
              <w:t>Resolve interacting issues and ambiguous facts.</w:t>
            </w:r>
          </w:p>
        </w:tc>
      </w:tr>
      <w:tr>
        <w:tc>
          <w:tcPr>
            <w:tcW w:type="dxa" w:w="3249"/>
          </w:tcPr>
          <w:p>
            <w:r/>
            <w:r>
              <w:rPr>
                <w:sz w:val="20"/>
              </w:rPr>
              <w:t>Expert</w:t>
            </w:r>
          </w:p>
        </w:tc>
        <w:tc>
          <w:tcPr>
            <w:tcW w:type="dxa" w:w="3249"/>
          </w:tcPr>
          <w:p>
            <w:r/>
            <w:r>
              <w:rPr>
                <w:sz w:val="20"/>
              </w:rPr>
              <w:t>15%</w:t>
            </w:r>
          </w:p>
        </w:tc>
        <w:tc>
          <w:tcPr>
            <w:tcW w:type="dxa" w:w="3249"/>
          </w:tcPr>
          <w:p>
            <w:r/>
            <w:r>
              <w:rPr>
                <w:sz w:val="20"/>
              </w:rPr>
              <w:t>Prepare technical memos and evaluate alternatives.</w:t>
            </w:r>
          </w:p>
        </w:tc>
      </w:tr>
      <w:tr>
        <w:tc>
          <w:tcPr>
            <w:tcW w:type="dxa" w:w="3249"/>
          </w:tcPr>
          <w:p>
            <w:r/>
            <w:r>
              <w:rPr>
                <w:sz w:val="20"/>
              </w:rPr>
              <w:t>Research-grade</w:t>
            </w:r>
          </w:p>
        </w:tc>
        <w:tc>
          <w:tcPr>
            <w:tcW w:type="dxa" w:w="3249"/>
          </w:tcPr>
          <w:p>
            <w:r/>
            <w:r>
              <w:rPr>
                <w:sz w:val="20"/>
              </w:rPr>
              <w:t>5%</w:t>
            </w:r>
          </w:p>
        </w:tc>
        <w:tc>
          <w:tcPr>
            <w:tcW w:type="dxa" w:w="3249"/>
          </w:tcPr>
          <w:p>
            <w:r/>
            <w:r>
              <w:rPr>
                <w:sz w:val="20"/>
              </w:rPr>
              <w:t>Critique assumptions, evidence, and conceptual arguments.</w:t>
            </w:r>
          </w:p>
        </w:tc>
      </w:tr>
    </w:tbl>
    <w:p>
      <w:pPr>
        <w:spacing w:after="160"/>
      </w:pPr>
    </w:p>
    <w:p>
      <w:pPr>
        <w:pStyle w:val="Heading2"/>
      </w:pPr>
      <w:r>
        <w:rPr>
          <w:color w:val="1F3864"/>
        </w:rPr>
        <w:t>2.3 Phased Generation Plan (target 10,000 records)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Phase</w:t>
            </w:r>
          </w:p>
        </w:tc>
        <w:tc>
          <w:tcPr>
            <w:tcW w:type="dxa" w:w="3249"/>
          </w:tcPr>
          <w:p>
            <w:r/>
            <w:r>
              <w:rPr>
                <w:b/>
                <w:sz w:val="20"/>
              </w:rPr>
              <w:t>Records</w:t>
            </w:r>
          </w:p>
        </w:tc>
        <w:tc>
          <w:tcPr>
            <w:tcW w:type="dxa" w:w="3249"/>
          </w:tcPr>
          <w:p>
            <w:r/>
            <w:r>
              <w:rPr>
                <w:b/>
                <w:sz w:val="20"/>
              </w:rPr>
              <w:t>Focus</w:t>
            </w:r>
          </w:p>
        </w:tc>
      </w:tr>
      <w:tr>
        <w:tc>
          <w:tcPr>
            <w:tcW w:type="dxa" w:w="3249"/>
          </w:tcPr>
          <w:p>
            <w:r/>
            <w:r>
              <w:rPr>
                <w:sz w:val="20"/>
              </w:rPr>
              <w:t>P1</w:t>
            </w:r>
          </w:p>
        </w:tc>
        <w:tc>
          <w:tcPr>
            <w:tcW w:type="dxa" w:w="3249"/>
          </w:tcPr>
          <w:p>
            <w:r/>
            <w:r>
              <w:rPr>
                <w:sz w:val="20"/>
              </w:rPr>
              <w:t>100</w:t>
            </w:r>
          </w:p>
        </w:tc>
        <w:tc>
          <w:tcPr>
            <w:tcW w:type="dxa" w:w="3249"/>
          </w:tcPr>
          <w:p>
            <w:r/>
            <w:r>
              <w:rPr>
                <w:sz w:val="20"/>
              </w:rPr>
              <w:t>Schema, templates, smoke test</w:t>
            </w:r>
          </w:p>
        </w:tc>
      </w:tr>
      <w:tr>
        <w:tc>
          <w:tcPr>
            <w:tcW w:type="dxa" w:w="3249"/>
          </w:tcPr>
          <w:p>
            <w:r/>
            <w:r>
              <w:rPr>
                <w:sz w:val="20"/>
              </w:rPr>
              <w:t>P2</w:t>
            </w:r>
          </w:p>
        </w:tc>
        <w:tc>
          <w:tcPr>
            <w:tcW w:type="dxa" w:w="3249"/>
          </w:tcPr>
          <w:p>
            <w:r/>
            <w:r>
              <w:rPr>
                <w:sz w:val="20"/>
              </w:rPr>
              <w:t>1,900</w:t>
            </w:r>
          </w:p>
        </w:tc>
        <w:tc>
          <w:tcPr>
            <w:tcW w:type="dxa" w:w="3249"/>
          </w:tcPr>
          <w:p>
            <w:r/>
            <w:r>
              <w:rPr>
                <w:sz w:val="20"/>
              </w:rPr>
              <w:t>M0–M2 (foundations)</w:t>
            </w:r>
          </w:p>
        </w:tc>
      </w:tr>
      <w:tr>
        <w:tc>
          <w:tcPr>
            <w:tcW w:type="dxa" w:w="3249"/>
          </w:tcPr>
          <w:p>
            <w:r/>
            <w:r>
              <w:rPr>
                <w:sz w:val="20"/>
              </w:rPr>
              <w:t>P3</w:t>
            </w:r>
          </w:p>
        </w:tc>
        <w:tc>
          <w:tcPr>
            <w:tcW w:type="dxa" w:w="3249"/>
          </w:tcPr>
          <w:p>
            <w:r/>
            <w:r>
              <w:rPr>
                <w:sz w:val="20"/>
              </w:rPr>
              <w:t>3,000</w:t>
            </w:r>
          </w:p>
        </w:tc>
        <w:tc>
          <w:tcPr>
            <w:tcW w:type="dxa" w:w="3249"/>
          </w:tcPr>
          <w:p>
            <w:r/>
            <w:r>
              <w:rPr>
                <w:sz w:val="20"/>
              </w:rPr>
              <w:t>M3–M6 (core application)</w:t>
            </w:r>
          </w:p>
        </w:tc>
      </w:tr>
      <w:tr>
        <w:tc>
          <w:tcPr>
            <w:tcW w:type="dxa" w:w="3249"/>
          </w:tcPr>
          <w:p>
            <w:r/>
            <w:r>
              <w:rPr>
                <w:sz w:val="20"/>
              </w:rPr>
              <w:t>P4</w:t>
            </w:r>
          </w:p>
        </w:tc>
        <w:tc>
          <w:tcPr>
            <w:tcW w:type="dxa" w:w="3249"/>
          </w:tcPr>
          <w:p>
            <w:r/>
            <w:r>
              <w:rPr>
                <w:sz w:val="20"/>
              </w:rPr>
              <w:t>2,400</w:t>
            </w:r>
          </w:p>
        </w:tc>
        <w:tc>
          <w:tcPr>
            <w:tcW w:type="dxa" w:w="3249"/>
          </w:tcPr>
          <w:p>
            <w:r/>
            <w:r>
              <w:rPr>
                <w:sz w:val="20"/>
              </w:rPr>
              <w:t>M7–M9 (advanced technical)</w:t>
            </w:r>
          </w:p>
        </w:tc>
      </w:tr>
      <w:tr>
        <w:tc>
          <w:tcPr>
            <w:tcW w:type="dxa" w:w="3249"/>
          </w:tcPr>
          <w:p>
            <w:r/>
            <w:r>
              <w:rPr>
                <w:sz w:val="20"/>
              </w:rPr>
              <w:t>P5</w:t>
            </w:r>
          </w:p>
        </w:tc>
        <w:tc>
          <w:tcPr>
            <w:tcW w:type="dxa" w:w="3249"/>
          </w:tcPr>
          <w:p>
            <w:r/>
            <w:r>
              <w:rPr>
                <w:sz w:val="20"/>
              </w:rPr>
              <w:t>1,600</w:t>
            </w:r>
          </w:p>
        </w:tc>
        <w:tc>
          <w:tcPr>
            <w:tcW w:type="dxa" w:w="3249"/>
          </w:tcPr>
          <w:p>
            <w:r/>
            <w:r>
              <w:rPr>
                <w:sz w:val="20"/>
              </w:rPr>
              <w:t>M10–M11 (expert &amp; adversarial)</w:t>
            </w:r>
          </w:p>
        </w:tc>
      </w:tr>
      <w:tr>
        <w:tc>
          <w:tcPr>
            <w:tcW w:type="dxa" w:w="3249"/>
          </w:tcPr>
          <w:p>
            <w:r/>
            <w:r>
              <w:rPr>
                <w:sz w:val="20"/>
              </w:rPr>
              <w:t>P6</w:t>
            </w:r>
          </w:p>
        </w:tc>
        <w:tc>
          <w:tcPr>
            <w:tcW w:type="dxa" w:w="3249"/>
          </w:tcPr>
          <w:p>
            <w:r/>
            <w:r>
              <w:rPr>
                <w:sz w:val="20"/>
              </w:rPr>
              <w:t>0</w:t>
            </w:r>
          </w:p>
        </w:tc>
        <w:tc>
          <w:tcPr>
            <w:tcW w:type="dxa" w:w="3249"/>
          </w:tcPr>
          <w:p>
            <w:r/>
            <w:r>
              <w:rPr>
                <w:sz w:val="20"/>
              </w:rPr>
              <w:t>Consolidate, dedup, audit, release 10,000</w:t>
            </w:r>
          </w:p>
        </w:tc>
      </w:tr>
    </w:tbl>
    <w:p>
      <w:pPr>
        <w:spacing w:after="160"/>
      </w:pPr>
    </w:p>
    <w:p>
      <w:pPr>
        <w:pStyle w:val="Heading1"/>
      </w:pPr>
      <w:r>
        <w:rPr>
          <w:color w:val="1F3864"/>
        </w:rPr>
        <w:t>3. JSONL + Manifest Schema</w:t>
      </w:r>
    </w:p>
    <w:p>
      <w:pPr>
        <w:spacing w:line="312" w:lineRule="auto" w:after="120"/>
      </w:pPr>
      <w:r>
        <w:rPr>
          <w:rFonts w:ascii="Calibri" w:hAnsi="Calibri"/>
          <w:b w:val="0"/>
          <w:i w:val="0"/>
          <w:sz w:val="22"/>
        </w:rPr>
        <w:t>Each training record is stored as a JSONL line in OpenAI chat-format (exactly 3 messages: system, user, assistant). A companion manifest stores per-record metadata (module, difficulty, task_type, candidate ASC paragraph references, verification flags) — the manifest is NOT fed to the trainer; it stays alongside the JSONL for reviewer workflow.</w:t>
      </w:r>
    </w:p>
    <w:p>
      <w:pPr>
        <w:pStyle w:val="Heading2"/>
      </w:pPr>
      <w:r>
        <w:rPr>
          <w:color w:val="1F3864"/>
        </w:rPr>
        <w:t>3.1 Canonical Training Record</w:t>
      </w:r>
    </w:p>
    <w:p>
      <w:pPr>
        <w:spacing w:before="120" w:after="40"/>
      </w:pPr>
      <w:r>
        <w:rPr>
          <w:i/>
          <w:color w:val="606060"/>
          <w:sz w:val="18"/>
        </w:rPr>
        <w:t xml:space="preserve">  json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w:t>
            </w:r>
          </w:p>
          <w:p>
            <w:pPr>
              <w:spacing w:line="240" w:lineRule="auto" w:after="0"/>
              <w:ind w:left="0"/>
            </w:pPr>
            <w:r>
              <w:rPr>
                <w:rFonts w:ascii="Consolas" w:hAnsi="Consolas"/>
                <w:color w:val="1F3535"/>
                <w:sz w:val="18"/>
              </w:rPr>
              <w:t xml:space="preserve">  "messages": [</w:t>
            </w:r>
          </w:p>
          <w:p>
            <w:pPr>
              <w:spacing w:line="240" w:lineRule="auto" w:after="0"/>
              <w:ind w:left="0"/>
            </w:pPr>
            <w:r>
              <w:rPr>
                <w:rFonts w:ascii="Consolas" w:hAnsi="Consolas"/>
                <w:color w:val="1F3535"/>
                <w:sz w:val="18"/>
              </w:rPr>
              <w:t xml:space="preserve">    {"role": "system",    "content": "You are an expert US-GAAP ASC 606 assistant..."},</w:t>
            </w:r>
          </w:p>
          <w:p>
            <w:pPr>
              <w:spacing w:line="240" w:lineRule="auto" w:after="0"/>
              <w:ind w:left="0"/>
            </w:pPr>
            <w:r>
              <w:rPr>
                <w:rFonts w:ascii="Consolas" w:hAnsi="Consolas"/>
                <w:color w:val="1F3535"/>
                <w:sz w:val="18"/>
              </w:rPr>
              <w:t xml:space="preserve">    {"role": "user",      "content": "&lt;prompt&gt;"},</w:t>
            </w:r>
          </w:p>
          <w:p>
            <w:pPr>
              <w:spacing w:line="240" w:lineRule="auto" w:after="0"/>
              <w:ind w:left="0"/>
            </w:pPr>
            <w:r>
              <w:rPr>
                <w:rFonts w:ascii="Consolas" w:hAnsi="Consolas"/>
                <w:color w:val="1F3535"/>
                <w:sz w:val="18"/>
              </w:rPr>
              <w:t xml:space="preserve">    {"role": "assistant", "content": "&lt;detailed answer with citations &amp; calculations&gt;"}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tc>
      </w:tr>
    </w:tbl>
    <w:p>
      <w:pPr>
        <w:spacing w:after="80"/>
      </w:pPr>
    </w:p>
    <w:p>
      <w:pPr>
        <w:pStyle w:val="Heading2"/>
      </w:pPr>
      <w:r>
        <w:rPr>
          <w:color w:val="1F3864"/>
        </w:rPr>
        <w:t>3.2 Manifest Record</w:t>
      </w:r>
    </w:p>
    <w:p>
      <w:pPr>
        <w:spacing w:before="120" w:after="40"/>
      </w:pPr>
      <w:r>
        <w:rPr>
          <w:i/>
          <w:color w:val="606060"/>
          <w:sz w:val="18"/>
        </w:rPr>
        <w:t xml:space="preserve">  json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w:t>
            </w:r>
          </w:p>
          <w:p>
            <w:pPr>
              <w:spacing w:line="240" w:lineRule="auto" w:after="0"/>
              <w:ind w:left="0"/>
            </w:pPr>
            <w:r>
              <w:rPr>
                <w:rFonts w:ascii="Consolas" w:hAnsi="Consolas"/>
                <w:color w:val="1F3535"/>
                <w:sz w:val="18"/>
              </w:rPr>
              <w:t xml:space="preserve">  "record_id": "ASC606-M4-A-0042",</w:t>
            </w:r>
          </w:p>
          <w:p>
            <w:pPr>
              <w:spacing w:line="240" w:lineRule="auto" w:after="0"/>
              <w:ind w:left="0"/>
            </w:pPr>
            <w:r>
              <w:rPr>
                <w:rFonts w:ascii="Consolas" w:hAnsi="Consolas"/>
                <w:color w:val="1F3535"/>
                <w:sz w:val="18"/>
              </w:rPr>
              <w:t xml:space="preserve">  "module_id": "M4",</w:t>
            </w:r>
          </w:p>
          <w:p>
            <w:pPr>
              <w:spacing w:line="240" w:lineRule="auto" w:after="0"/>
              <w:ind w:left="0"/>
            </w:pPr>
            <w:r>
              <w:rPr>
                <w:rFonts w:ascii="Consolas" w:hAnsi="Consolas"/>
                <w:color w:val="1F3535"/>
                <w:sz w:val="18"/>
              </w:rPr>
              <w:t xml:space="preserve">  "difficulty": "advanced",</w:t>
            </w:r>
          </w:p>
          <w:p>
            <w:pPr>
              <w:spacing w:line="240" w:lineRule="auto" w:after="0"/>
              <w:ind w:left="0"/>
            </w:pPr>
            <w:r>
              <w:rPr>
                <w:rFonts w:ascii="Consolas" w:hAnsi="Consolas"/>
                <w:color w:val="1F3535"/>
                <w:sz w:val="18"/>
              </w:rPr>
              <w:t xml:space="preserve">  "task_type": "numerical_case",</w:t>
            </w:r>
          </w:p>
          <w:p>
            <w:pPr>
              <w:spacing w:line="240" w:lineRule="auto" w:after="0"/>
              <w:ind w:left="0"/>
            </w:pPr>
            <w:r>
              <w:rPr>
                <w:rFonts w:ascii="Consolas" w:hAnsi="Consolas"/>
                <w:color w:val="1F3535"/>
                <w:sz w:val="18"/>
              </w:rPr>
              <w:t xml:space="preserve">  "topic_tags": ["variable_consideration", "constraint"],</w:t>
            </w:r>
          </w:p>
          <w:p>
            <w:pPr>
              <w:spacing w:line="240" w:lineRule="auto" w:after="0"/>
              <w:ind w:left="0"/>
            </w:pPr>
            <w:r>
              <w:rPr>
                <w:rFonts w:ascii="Consolas" w:hAnsi="Consolas"/>
                <w:color w:val="1F3535"/>
                <w:sz w:val="18"/>
              </w:rPr>
              <w:t xml:space="preserve">  "authoritative_references": ["ASC 606-10-32-8", "ASC 606-10-32-11"],</w:t>
            </w:r>
          </w:p>
          <w:p>
            <w:pPr>
              <w:spacing w:line="240" w:lineRule="auto" w:after="0"/>
              <w:ind w:left="0"/>
            </w:pPr>
            <w:r>
              <w:rPr>
                <w:rFonts w:ascii="Consolas" w:hAnsi="Consolas"/>
                <w:color w:val="1F3535"/>
                <w:sz w:val="18"/>
              </w:rPr>
              <w:t xml:space="preserve">  "citation_verified":    false,</w:t>
            </w:r>
          </w:p>
          <w:p>
            <w:pPr>
              <w:spacing w:line="240" w:lineRule="auto" w:after="0"/>
              <w:ind w:left="0"/>
            </w:pPr>
            <w:r>
              <w:rPr>
                <w:rFonts w:ascii="Consolas" w:hAnsi="Consolas"/>
                <w:color w:val="1F3535"/>
                <w:sz w:val="18"/>
              </w:rPr>
              <w:t xml:space="preserve">  "answer_verified":      false,</w:t>
            </w:r>
          </w:p>
          <w:p>
            <w:pPr>
              <w:spacing w:line="240" w:lineRule="auto" w:after="0"/>
              <w:ind w:left="0"/>
            </w:pPr>
            <w:r>
              <w:rPr>
                <w:rFonts w:ascii="Consolas" w:hAnsi="Consolas"/>
                <w:color w:val="1F3535"/>
                <w:sz w:val="18"/>
              </w:rPr>
              <w:t xml:space="preserve">  "calculation_verified": false,</w:t>
            </w:r>
          </w:p>
          <w:p>
            <w:pPr>
              <w:spacing w:line="240" w:lineRule="auto" w:after="0"/>
              <w:ind w:left="0"/>
            </w:pPr>
            <w:r>
              <w:rPr>
                <w:rFonts w:ascii="Consolas" w:hAnsi="Consolas"/>
                <w:color w:val="1F3535"/>
                <w:sz w:val="18"/>
              </w:rPr>
              <w:t xml:space="preserve">  "standard_version": "US-GAAP-2024",</w:t>
            </w:r>
          </w:p>
          <w:p>
            <w:pPr>
              <w:spacing w:line="240" w:lineRule="auto" w:after="0"/>
              <w:ind w:left="0"/>
            </w:pPr>
            <w:r>
              <w:rPr>
                <w:rFonts w:ascii="Consolas" w:hAnsi="Consolas"/>
                <w:color w:val="1F3535"/>
                <w:sz w:val="18"/>
              </w:rPr>
              <w:t xml:space="preserve">  "split": "train",</w:t>
            </w:r>
          </w:p>
          <w:p>
            <w:pPr>
              <w:spacing w:line="240" w:lineRule="auto" w:after="0"/>
              <w:ind w:left="0"/>
            </w:pPr>
            <w:r>
              <w:rPr>
                <w:rFonts w:ascii="Consolas" w:hAnsi="Consolas"/>
                <w:color w:val="1F3535"/>
                <w:sz w:val="18"/>
              </w:rPr>
              <w:t xml:space="preserve">  "provenance": "template-generated",</w:t>
            </w:r>
          </w:p>
          <w:p>
            <w:pPr>
              <w:spacing w:line="240" w:lineRule="auto" w:after="0"/>
              <w:ind w:left="0"/>
            </w:pPr>
            <w:r>
              <w:rPr>
                <w:rFonts w:ascii="Consolas" w:hAnsi="Consolas"/>
                <w:color w:val="1F3535"/>
                <w:sz w:val="18"/>
              </w:rPr>
              <w:t xml:space="preserve">  "grading_rubric": {</w:t>
            </w:r>
          </w:p>
          <w:p>
            <w:pPr>
              <w:spacing w:line="240" w:lineRule="auto" w:after="0"/>
              <w:ind w:left="0"/>
            </w:pPr>
            <w:r>
              <w:rPr>
                <w:rFonts w:ascii="Consolas" w:hAnsi="Consolas"/>
                <w:color w:val="1F3535"/>
                <w:sz w:val="18"/>
              </w:rPr>
              <w:t xml:space="preserve">    "technical_accuracy":   30,</w:t>
            </w:r>
          </w:p>
          <w:p>
            <w:pPr>
              <w:spacing w:line="240" w:lineRule="auto" w:after="0"/>
              <w:ind w:left="0"/>
            </w:pPr>
            <w:r>
              <w:rPr>
                <w:rFonts w:ascii="Consolas" w:hAnsi="Consolas"/>
                <w:color w:val="1F3535"/>
                <w:sz w:val="18"/>
              </w:rPr>
              <w:t xml:space="preserve">    "citation_accuracy":    20,</w:t>
            </w:r>
          </w:p>
          <w:p>
            <w:pPr>
              <w:spacing w:line="240" w:lineRule="auto" w:after="0"/>
              <w:ind w:left="0"/>
            </w:pPr>
            <w:r>
              <w:rPr>
                <w:rFonts w:ascii="Consolas" w:hAnsi="Consolas"/>
                <w:color w:val="1F3535"/>
                <w:sz w:val="18"/>
              </w:rPr>
              <w:t xml:space="preserve">    "numerical_accuracy":   15,</w:t>
            </w:r>
          </w:p>
          <w:p>
            <w:pPr>
              <w:spacing w:line="240" w:lineRule="auto" w:after="0"/>
              <w:ind w:left="0"/>
            </w:pPr>
            <w:r>
              <w:rPr>
                <w:rFonts w:ascii="Consolas" w:hAnsi="Consolas"/>
                <w:color w:val="1F3535"/>
                <w:sz w:val="18"/>
              </w:rPr>
              <w:t xml:space="preserve">    "fact_analysis":        15,</w:t>
            </w:r>
          </w:p>
          <w:p>
            <w:pPr>
              <w:spacing w:line="240" w:lineRule="auto" w:after="0"/>
              <w:ind w:left="0"/>
            </w:pPr>
            <w:r>
              <w:rPr>
                <w:rFonts w:ascii="Consolas" w:hAnsi="Consolas"/>
                <w:color w:val="1F3535"/>
                <w:sz w:val="18"/>
              </w:rPr>
              <w:t xml:space="preserve">    "alternative_analysis": 10,</w:t>
            </w:r>
          </w:p>
          <w:p>
            <w:pPr>
              <w:spacing w:line="240" w:lineRule="auto" w:after="0"/>
              <w:ind w:left="0"/>
            </w:pPr>
            <w:r>
              <w:rPr>
                <w:rFonts w:ascii="Consolas" w:hAnsi="Consolas"/>
                <w:color w:val="1F3535"/>
                <w:sz w:val="18"/>
              </w:rPr>
              <w:t xml:space="preserve">    "presentation":         10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tc>
      </w:tr>
    </w:tbl>
    <w:p>
      <w:pPr>
        <w:spacing w:after="80"/>
      </w:pPr>
    </w:p>
    <w:p>
      <w:pPr>
        <w:pStyle w:val="Heading2"/>
      </w:pPr>
      <w:r>
        <w:rPr>
          <w:color w:val="1F3864"/>
        </w:rPr>
        <w:t>3.3 Quality Gates</w:t>
      </w:r>
    </w:p>
    <w:p>
      <w:pPr>
        <w:pStyle w:val="ListBullet"/>
        <w:spacing w:line="312" w:lineRule="auto"/>
      </w:pPr>
      <w:r>
        <w:t>JSONL parse: 100% of lines valid.</w:t>
      </w:r>
    </w:p>
    <w:p>
      <w:pPr>
        <w:pStyle w:val="ListBullet"/>
        <w:spacing w:line="312" w:lineRule="auto"/>
      </w:pPr>
      <w:r>
        <w:t>Citation verification: every cited ASC paragraph must exist in the Codification and support the claim.</w:t>
      </w:r>
    </w:p>
    <w:p>
      <w:pPr>
        <w:pStyle w:val="ListBullet"/>
        <w:spacing w:line="312" w:lineRule="auto"/>
      </w:pPr>
      <w:r>
        <w:t>Independent calculation check: allocations, schedules, financing math reconciled.</w:t>
      </w:r>
    </w:p>
    <w:p>
      <w:pPr>
        <w:pStyle w:val="ListBullet"/>
        <w:spacing w:line="312" w:lineRule="auto"/>
      </w:pPr>
      <w:r>
        <w:t>Reviewer approval: qualified US-GAAP reviewer signs off conclusion, assumptions, alternatives.</w:t>
      </w:r>
    </w:p>
    <w:p>
      <w:pPr>
        <w:pStyle w:val="ListBullet"/>
        <w:spacing w:line="312" w:lineRule="auto"/>
      </w:pPr>
      <w:r>
        <w:t>Deduplication: no near-duplicate prompts across splits.</w:t>
      </w:r>
    </w:p>
    <w:p>
      <w:pPr>
        <w:pStyle w:val="Heading1"/>
      </w:pPr>
      <w:r>
        <w:rPr>
          <w:color w:val="1F3864"/>
        </w:rPr>
        <w:t>4. Evaluation Framework</w:t>
      </w:r>
    </w:p>
    <w:p>
      <w:pPr>
        <w:spacing w:line="312" w:lineRule="auto" w:after="120"/>
      </w:pPr>
      <w:r>
        <w:rPr>
          <w:rFonts w:ascii="Calibri" w:hAnsi="Calibri"/>
          <w:b w:val="0"/>
          <w:i w:val="0"/>
          <w:sz w:val="22"/>
        </w:rPr>
        <w:t>Each model answer is scored on six dimensions (weights sum to 100%): technical accuracy, citation accuracy, numerical accuracy, fact analysis, alternative analysis, and presentation. Each dimension is scored 0–4 (raw). The weighted score is then computed: weighted = (Σ dim_score × weight) / 4 × 100, yielding a 0–100 score per record.</w:t>
      </w:r>
    </w:p>
    <w:p>
      <w:pPr>
        <w:pStyle w:val="Heading2"/>
      </w:pPr>
      <w:r>
        <w:rPr>
          <w:color w:val="1F3864"/>
        </w:rPr>
        <w:t>4.1 Rubric Weights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Dimension</w:t>
            </w:r>
          </w:p>
        </w:tc>
        <w:tc>
          <w:tcPr>
            <w:tcW w:type="dxa" w:w="3249"/>
          </w:tcPr>
          <w:p>
            <w:r/>
            <w:r>
              <w:rPr>
                <w:b/>
                <w:sz w:val="20"/>
              </w:rPr>
              <w:t>Weight</w:t>
            </w:r>
          </w:p>
        </w:tc>
        <w:tc>
          <w:tcPr>
            <w:tcW w:type="dxa" w:w="3249"/>
          </w:tcPr>
          <w:p>
            <w:r/>
            <w:r>
              <w:rPr>
                <w:b/>
                <w:sz w:val="20"/>
              </w:rPr>
              <w:t>What it measures</w:t>
            </w:r>
          </w:p>
        </w:tc>
      </w:tr>
      <w:tr>
        <w:tc>
          <w:tcPr>
            <w:tcW w:type="dxa" w:w="3249"/>
          </w:tcPr>
          <w:p>
            <w:r/>
            <w:r>
              <w:rPr>
                <w:sz w:val="20"/>
              </w:rPr>
              <w:t>technical_accuracy</w:t>
            </w:r>
          </w:p>
        </w:tc>
        <w:tc>
          <w:tcPr>
            <w:tcW w:type="dxa" w:w="3249"/>
          </w:tcPr>
          <w:p>
            <w:r/>
            <w:r>
              <w:rPr>
                <w:sz w:val="20"/>
              </w:rPr>
              <w:t>30%</w:t>
            </w:r>
          </w:p>
        </w:tc>
        <w:tc>
          <w:tcPr>
            <w:tcW w:type="dxa" w:w="3249"/>
          </w:tcPr>
          <w:p>
            <w:r/>
            <w:r>
              <w:rPr>
                <w:sz w:val="20"/>
              </w:rPr>
              <w:t>Is the accounting conclusion correct under ASC 606?</w:t>
            </w:r>
          </w:p>
        </w:tc>
      </w:tr>
      <w:tr>
        <w:tc>
          <w:tcPr>
            <w:tcW w:type="dxa" w:w="3249"/>
          </w:tcPr>
          <w:p>
            <w:r/>
            <w:r>
              <w:rPr>
                <w:sz w:val="20"/>
              </w:rPr>
              <w:t>citation_accuracy</w:t>
            </w:r>
          </w:p>
        </w:tc>
        <w:tc>
          <w:tcPr>
            <w:tcW w:type="dxa" w:w="3249"/>
          </w:tcPr>
          <w:p>
            <w:r/>
            <w:r>
              <w:rPr>
                <w:sz w:val="20"/>
              </w:rPr>
              <w:t>20%</w:t>
            </w:r>
          </w:p>
        </w:tc>
        <w:tc>
          <w:tcPr>
            <w:tcW w:type="dxa" w:w="3249"/>
          </w:tcPr>
          <w:p>
            <w:r/>
            <w:r>
              <w:rPr>
                <w:sz w:val="20"/>
              </w:rPr>
              <w:t>Are cited ASC paragraphs real, applicable, and supporting the claim?</w:t>
            </w:r>
          </w:p>
        </w:tc>
      </w:tr>
      <w:tr>
        <w:tc>
          <w:tcPr>
            <w:tcW w:type="dxa" w:w="3249"/>
          </w:tcPr>
          <w:p>
            <w:r/>
            <w:r>
              <w:rPr>
                <w:sz w:val="20"/>
              </w:rPr>
              <w:t>numerical_accuracy</w:t>
            </w:r>
          </w:p>
        </w:tc>
        <w:tc>
          <w:tcPr>
            <w:tcW w:type="dxa" w:w="3249"/>
          </w:tcPr>
          <w:p>
            <w:r/>
            <w:r>
              <w:rPr>
                <w:sz w:val="20"/>
              </w:rPr>
              <w:t>15%</w:t>
            </w:r>
          </w:p>
        </w:tc>
        <w:tc>
          <w:tcPr>
            <w:tcW w:type="dxa" w:w="3249"/>
          </w:tcPr>
          <w:p>
            <w:r/>
            <w:r>
              <w:rPr>
                <w:sz w:val="20"/>
              </w:rPr>
              <w:t>Are allocations, schedules, financing math correct and reconciled?</w:t>
            </w:r>
          </w:p>
        </w:tc>
      </w:tr>
      <w:tr>
        <w:tc>
          <w:tcPr>
            <w:tcW w:type="dxa" w:w="3249"/>
          </w:tcPr>
          <w:p>
            <w:r/>
            <w:r>
              <w:rPr>
                <w:sz w:val="20"/>
              </w:rPr>
              <w:t>fact_analysis</w:t>
            </w:r>
          </w:p>
        </w:tc>
        <w:tc>
          <w:tcPr>
            <w:tcW w:type="dxa" w:w="3249"/>
          </w:tcPr>
          <w:p>
            <w:r/>
            <w:r>
              <w:rPr>
                <w:sz w:val="20"/>
              </w:rPr>
              <w:t>15%</w:t>
            </w:r>
          </w:p>
        </w:tc>
        <w:tc>
          <w:tcPr>
            <w:tcW w:type="dxa" w:w="3249"/>
          </w:tcPr>
          <w:p>
            <w:r/>
            <w:r>
              <w:rPr>
                <w:sz w:val="20"/>
              </w:rPr>
              <w:t>Are relevant facts identified and irrelevant facts distinguished?</w:t>
            </w:r>
          </w:p>
        </w:tc>
      </w:tr>
      <w:tr>
        <w:tc>
          <w:tcPr>
            <w:tcW w:type="dxa" w:w="3249"/>
          </w:tcPr>
          <w:p>
            <w:r/>
            <w:r>
              <w:rPr>
                <w:sz w:val="20"/>
              </w:rPr>
              <w:t>alternative_analysis</w:t>
            </w:r>
          </w:p>
        </w:tc>
        <w:tc>
          <w:tcPr>
            <w:tcW w:type="dxa" w:w="3249"/>
          </w:tcPr>
          <w:p>
            <w:r/>
            <w:r>
              <w:rPr>
                <w:sz w:val="20"/>
              </w:rPr>
              <w:t>10%</w:t>
            </w:r>
          </w:p>
        </w:tc>
        <w:tc>
          <w:tcPr>
            <w:tcW w:type="dxa" w:w="3249"/>
          </w:tcPr>
          <w:p>
            <w:r/>
            <w:r>
              <w:rPr>
                <w:sz w:val="20"/>
              </w:rPr>
              <w:t>Are competing interpretations considered and dismissed with reason?</w:t>
            </w:r>
          </w:p>
        </w:tc>
      </w:tr>
      <w:tr>
        <w:tc>
          <w:tcPr>
            <w:tcW w:type="dxa" w:w="3249"/>
          </w:tcPr>
          <w:p>
            <w:r/>
            <w:r>
              <w:rPr>
                <w:sz w:val="20"/>
              </w:rPr>
              <w:t>presentation</w:t>
            </w:r>
          </w:p>
        </w:tc>
        <w:tc>
          <w:tcPr>
            <w:tcW w:type="dxa" w:w="3249"/>
          </w:tcPr>
          <w:p>
            <w:r/>
            <w:r>
              <w:rPr>
                <w:sz w:val="20"/>
              </w:rPr>
              <w:t>10%</w:t>
            </w:r>
          </w:p>
        </w:tc>
        <w:tc>
          <w:tcPr>
            <w:tcW w:type="dxa" w:w="3249"/>
          </w:tcPr>
          <w:p>
            <w:r/>
            <w:r>
              <w:rPr>
                <w:sz w:val="20"/>
              </w:rPr>
              <w:t>Is the response structured, professional, and complete?</w:t>
            </w:r>
          </w:p>
        </w:tc>
      </w:tr>
    </w:tbl>
    <w:p>
      <w:pPr>
        <w:spacing w:after="160"/>
      </w:pPr>
    </w:p>
    <w:p>
      <w:pPr>
        <w:pStyle w:val="Heading2"/>
      </w:pPr>
      <w:r>
        <w:rPr>
          <w:color w:val="1F3864"/>
        </w:rPr>
        <w:t>4.2 Scoring Bands (0–4)</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sz w:val="20"/>
              </w:rPr>
              <w:t>Score</w:t>
            </w:r>
          </w:p>
        </w:tc>
        <w:tc>
          <w:tcPr>
            <w:tcW w:type="dxa" w:w="3249"/>
          </w:tcPr>
          <w:p>
            <w:r/>
            <w:r>
              <w:rPr>
                <w:b/>
                <w:sz w:val="20"/>
              </w:rPr>
              <w:t>Band</w:t>
            </w:r>
          </w:p>
        </w:tc>
        <w:tc>
          <w:tcPr>
            <w:tcW w:type="dxa" w:w="3249"/>
          </w:tcPr>
          <w:p>
            <w:r/>
            <w:r>
              <w:rPr>
                <w:b/>
                <w:sz w:val="20"/>
              </w:rPr>
              <w:t>Description</w:t>
            </w:r>
          </w:p>
        </w:tc>
      </w:tr>
      <w:tr>
        <w:tc>
          <w:tcPr>
            <w:tcW w:type="dxa" w:w="3249"/>
          </w:tcPr>
          <w:p>
            <w:r/>
            <w:r>
              <w:rPr>
                <w:sz w:val="20"/>
              </w:rPr>
              <w:t>0</w:t>
            </w:r>
          </w:p>
        </w:tc>
        <w:tc>
          <w:tcPr>
            <w:tcW w:type="dxa" w:w="3249"/>
          </w:tcPr>
          <w:p>
            <w:r/>
            <w:r>
              <w:rPr>
                <w:sz w:val="20"/>
              </w:rPr>
              <w:t>Incorrect</w:t>
            </w:r>
          </w:p>
        </w:tc>
        <w:tc>
          <w:tcPr>
            <w:tcW w:type="dxa" w:w="3249"/>
          </w:tcPr>
          <w:p>
            <w:r/>
            <w:r>
              <w:rPr>
                <w:sz w:val="20"/>
              </w:rPr>
              <w:t>Materially wrong accounting or fabricated authority.</w:t>
            </w:r>
          </w:p>
        </w:tc>
      </w:tr>
      <w:tr>
        <w:tc>
          <w:tcPr>
            <w:tcW w:type="dxa" w:w="3249"/>
          </w:tcPr>
          <w:p>
            <w:r/>
            <w:r>
              <w:rPr>
                <w:sz w:val="20"/>
              </w:rPr>
              <w:t>1</w:t>
            </w:r>
          </w:p>
        </w:tc>
        <w:tc>
          <w:tcPr>
            <w:tcW w:type="dxa" w:w="3249"/>
          </w:tcPr>
          <w:p>
            <w:r/>
            <w:r>
              <w:rPr>
                <w:sz w:val="20"/>
              </w:rPr>
              <w:t>Weak</w:t>
            </w:r>
          </w:p>
        </w:tc>
        <w:tc>
          <w:tcPr>
            <w:tcW w:type="dxa" w:w="3249"/>
          </w:tcPr>
          <w:p>
            <w:r/>
            <w:r>
              <w:rPr>
                <w:sz w:val="20"/>
              </w:rPr>
              <w:t>Identifies the general issue but misses essential requirements.</w:t>
            </w:r>
          </w:p>
        </w:tc>
      </w:tr>
      <w:tr>
        <w:tc>
          <w:tcPr>
            <w:tcW w:type="dxa" w:w="3249"/>
          </w:tcPr>
          <w:p>
            <w:r/>
            <w:r>
              <w:rPr>
                <w:sz w:val="20"/>
              </w:rPr>
              <w:t>2</w:t>
            </w:r>
          </w:p>
        </w:tc>
        <w:tc>
          <w:tcPr>
            <w:tcW w:type="dxa" w:w="3249"/>
          </w:tcPr>
          <w:p>
            <w:r/>
            <w:r>
              <w:rPr>
                <w:sz w:val="20"/>
              </w:rPr>
              <w:t>Partial</w:t>
            </w:r>
          </w:p>
        </w:tc>
        <w:tc>
          <w:tcPr>
            <w:tcW w:type="dxa" w:w="3249"/>
          </w:tcPr>
          <w:p>
            <w:r/>
            <w:r>
              <w:rPr>
                <w:sz w:val="20"/>
              </w:rPr>
              <w:t>Mostly correct, with material omissions or unsupported assumptions.</w:t>
            </w:r>
          </w:p>
        </w:tc>
      </w:tr>
      <w:tr>
        <w:tc>
          <w:tcPr>
            <w:tcW w:type="dxa" w:w="3249"/>
          </w:tcPr>
          <w:p>
            <w:r/>
            <w:r>
              <w:rPr>
                <w:sz w:val="20"/>
              </w:rPr>
              <w:t>3</w:t>
            </w:r>
          </w:p>
        </w:tc>
        <w:tc>
          <w:tcPr>
            <w:tcW w:type="dxa" w:w="3249"/>
          </w:tcPr>
          <w:p>
            <w:r/>
            <w:r>
              <w:rPr>
                <w:sz w:val="20"/>
              </w:rPr>
              <w:t>Strong</w:t>
            </w:r>
          </w:p>
        </w:tc>
        <w:tc>
          <w:tcPr>
            <w:tcW w:type="dxa" w:w="3249"/>
          </w:tcPr>
          <w:p>
            <w:r/>
            <w:r>
              <w:rPr>
                <w:sz w:val="20"/>
              </w:rPr>
              <w:t>Technically sound, properly supported, reasonably complete.</w:t>
            </w:r>
          </w:p>
        </w:tc>
      </w:tr>
      <w:tr>
        <w:tc>
          <w:tcPr>
            <w:tcW w:type="dxa" w:w="3249"/>
          </w:tcPr>
          <w:p>
            <w:r/>
            <w:r>
              <w:rPr>
                <w:sz w:val="20"/>
              </w:rPr>
              <w:t>4</w:t>
            </w:r>
          </w:p>
        </w:tc>
        <w:tc>
          <w:tcPr>
            <w:tcW w:type="dxa" w:w="3249"/>
          </w:tcPr>
          <w:p>
            <w:r/>
            <w:r>
              <w:rPr>
                <w:sz w:val="20"/>
              </w:rPr>
              <w:t>Expert</w:t>
            </w:r>
          </w:p>
        </w:tc>
        <w:tc>
          <w:tcPr>
            <w:tcW w:type="dxa" w:w="3249"/>
          </w:tcPr>
          <w:p>
            <w:r/>
            <w:r>
              <w:rPr>
                <w:sz w:val="20"/>
              </w:rPr>
              <w:t>Precise, comprehensive, appropriately qualified, defensible under review.</w:t>
            </w:r>
          </w:p>
        </w:tc>
      </w:tr>
    </w:tbl>
    <w:p>
      <w:pPr>
        <w:spacing w:after="160"/>
      </w:pPr>
    </w:p>
    <w:p>
      <w:pPr>
        <w:pStyle w:val="Heading1"/>
      </w:pPr>
      <w:r>
        <w:rPr>
          <w:color w:val="1F3864"/>
        </w:rPr>
        <w:t>5. Complete Training Prompt Library</w:t>
      </w:r>
    </w:p>
    <w:p>
      <w:pPr>
        <w:spacing w:line="312" w:lineRule="auto" w:after="120"/>
      </w:pPr>
      <w:r>
        <w:rPr>
          <w:rFonts w:ascii="Calibri" w:hAnsi="Calibri"/>
          <w:b w:val="0"/>
          <w:i w:val="0"/>
          <w:sz w:val="22"/>
        </w:rPr>
        <w:t>This section contains all 93 curated training prompt templates. Each template includes: a record ID, the module and difficulty classification, the task type, the system prompt (role), the user prompt (the actual question/scenario), and the detailed assistant answer (gold answer for the model to learn). Templates are organized by module (M0–M11) then by difficulty (Beginner → Research-grade). Each template is presented as a self-contained unit that can be reviewed, edited, and verified before being used for fine-tuning.</w:t>
      </w:r>
    </w:p>
    <w:p>
      <w:pPr>
        <w:pStyle w:val="Heading2"/>
      </w:pPr>
      <w:r>
        <w:rPr>
          <w:color w:val="1F3864"/>
        </w:rPr>
        <w:t>5.1 M0 — Accounting Foundations</w:t>
      </w:r>
    </w:p>
    <w:p>
      <w:pPr>
        <w:spacing w:line="312" w:lineRule="auto" w:after="120"/>
      </w:pPr>
      <w:r>
        <w:rPr>
          <w:rFonts w:ascii="Calibri" w:hAnsi="Calibri"/>
          <w:b w:val="0"/>
          <w:i w:val="0"/>
          <w:sz w:val="22"/>
        </w:rPr>
        <w:t>This module contains 11 curated training template(s) at the following difficulty levels: beginner, foundational, intermediate, advanced, expert.</w:t>
      </w:r>
    </w:p>
    <w:p>
      <w:pPr>
        <w:pStyle w:val="Heading3"/>
      </w:pPr>
      <w:r>
        <w:rPr>
          <w:color w:val="1F3864"/>
        </w:rPr>
        <w:t>M0-B-0001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revenue, accrual, deferred_revenue, receivables</w:t>
            </w:r>
          </w:p>
        </w:tc>
      </w:tr>
      <w:tr>
        <w:tc>
          <w:tcPr>
            <w:tcW w:type="dxa" w:w="4873"/>
          </w:tcPr>
          <w:p>
            <w:r/>
            <w:r>
              <w:rPr>
                <w:b/>
                <w:sz w:val="20"/>
              </w:rPr>
              <w:t>Required skills</w:t>
            </w:r>
          </w:p>
        </w:tc>
        <w:tc>
          <w:tcPr>
            <w:tcW w:type="dxa" w:w="4873"/>
          </w:tcPr>
          <w:p>
            <w:r/>
            <w:r>
              <w:rPr>
                <w:sz w:val="20"/>
              </w:rPr>
              <w:t>conceptual_understanding, journal_mechanics</w:t>
            </w:r>
          </w:p>
        </w:tc>
      </w:tr>
      <w:tr>
        <w:tc>
          <w:tcPr>
            <w:tcW w:type="dxa" w:w="4873"/>
          </w:tcPr>
          <w:p>
            <w:r/>
            <w:r>
              <w:rPr>
                <w:b/>
                <w:sz w:val="20"/>
              </w:rPr>
              <w:t>Authoritative refs</w:t>
            </w:r>
          </w:p>
        </w:tc>
        <w:tc>
          <w:tcPr>
            <w:tcW w:type="dxa" w:w="4873"/>
          </w:tcPr>
          <w:p>
            <w:r/>
            <w:r>
              <w:rPr>
                <w:sz w:val="20"/>
              </w:rPr>
              <w:t>— (verify before use)</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accounting tutor. Explain concepts accurately, use clear examples, and distinguish cash collection from revenue recognition.</w:t>
      </w:r>
    </w:p>
    <w:p>
      <w:pPr>
        <w:pStyle w:val="Heading4"/>
      </w:pPr>
      <w:r>
        <w:rPr>
          <w:color w:val="1F3864"/>
        </w:rPr>
        <w:t>User Prompt</w:t>
      </w:r>
    </w:p>
    <w:p>
      <w:pPr>
        <w:spacing w:line="312" w:lineRule="auto" w:after="120"/>
      </w:pPr>
      <w:r>
        <w:rPr>
          <w:rFonts w:ascii="Calibri" w:hAnsi="Calibri"/>
          <w:b w:val="0"/>
          <w:i w:val="0"/>
          <w:sz w:val="22"/>
        </w:rPr>
        <w:t>Explain revenue in accrual accounting to a complete beginner. Distinguish revenue from (a) cash receipts, (b) accounts receivable, (c) deferred revenue, and (d) profit. Provide two numerical examples — one where cash is received before revenue is earned, and one where revenue is earned before cash is received.</w:t>
      </w:r>
    </w:p>
    <w:p>
      <w:pPr>
        <w:pStyle w:val="Heading4"/>
      </w:pPr>
      <w:r>
        <w:rPr>
          <w:color w:val="1F3864"/>
        </w:rPr>
        <w:t>Assistant Answer (gold target)</w:t>
      </w:r>
    </w:p>
    <w:p>
      <w:pPr>
        <w:spacing w:line="312" w:lineRule="auto" w:after="120"/>
      </w:pPr>
      <w:r>
        <w:rPr>
          <w:rFonts w:ascii="Calibri" w:hAnsi="Calibri"/>
          <w:b w:val="0"/>
          <w:i w:val="0"/>
          <w:sz w:val="22"/>
        </w:rPr>
        <w:t>Revenue is the gross inflow of economic benefits arising in the course of an entity's ordinary activities when those inflows result in increases in equity, other than increases relating to contributions from equity participants.</w:t>
        <w:br/>
        <w:br/>
        <w:t>Key distinctions:</w:t>
        <w:br/>
        <w:t>1. Cash receipts are physical or electronic inflows of cash. Receiving cash does not, by itself, mean revenue has been earned — it may be a deposit, an advance, or a collection of a prior receivable.</w:t>
        <w:br/>
        <w:t>2. Accounts receivable is the entity's unconditional right to consideration in exchange for goods or services already transferred. Revenue may be recognized before the cash is collected, producing a receivable.</w:t>
        <w:br/>
        <w:t>3. Deferred (unearned) revenue is a contract liability: cash has been received, but goods or services are still to be transferred. Revenue is recognized later, as performance occurs.</w:t>
        <w:br/>
        <w:t>4. Profit is the residual after expenses are subtracted from revenue. A transaction can produce revenue without producing profit (e.g., if costs exceed the price).</w:t>
        <w:br/>
        <w:br/>
        <w:t>Example 1 — Cash before revenue: A magazine publisher collects $120 on January 1 for a 12-month subscription. On January 1 it records Dr Cash $120 / Cr Contract Liability $120. Revenue is recognized $10 per month as each issue is delivered. Cash inflow and revenue recognition are decoupled.</w:t>
        <w:br/>
        <w:br/>
        <w:t>Example 2 — Revenue before cash: A consultant completes a $5,000 engagement in March and invoices the client on March 31; the client pays in April. The consultant recognizes $5,000 of revenue in March with Dr Accounts Receivable $5,000 / Cr Revenue $5,000. The April collection (Dr Cash / Cr Accounts Receivable) does not affect March revenue.</w:t>
        <w:br/>
        <w:br/>
        <w:t>The general rule under accrual accounting and ASC 606 is: revenue is recognized when (or as) the entity satisfies a performance obligation by transferring a promised good or service to a customer — the timing of cash is a separate fact.</w:t>
      </w:r>
    </w:p>
    <w:p>
      <w:pPr>
        <w:pStyle w:val="Heading3"/>
      </w:pPr>
      <w:r>
        <w:rPr>
          <w:color w:val="1F3864"/>
        </w:rPr>
        <w:t>M0-B-0002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journal_entry</w:t>
            </w:r>
          </w:p>
        </w:tc>
      </w:tr>
      <w:tr>
        <w:tc>
          <w:tcPr>
            <w:tcW w:type="dxa" w:w="4873"/>
          </w:tcPr>
          <w:p>
            <w:r/>
            <w:r>
              <w:rPr>
                <w:b/>
                <w:sz w:val="20"/>
              </w:rPr>
              <w:t>Topic tags</w:t>
            </w:r>
          </w:p>
        </w:tc>
        <w:tc>
          <w:tcPr>
            <w:tcW w:type="dxa" w:w="4873"/>
          </w:tcPr>
          <w:p>
            <w:r/>
            <w:r>
              <w:rPr>
                <w:sz w:val="20"/>
              </w:rPr>
              <w:t>subscription, deferred_revenue, contract_liability</w:t>
            </w:r>
          </w:p>
        </w:tc>
      </w:tr>
      <w:tr>
        <w:tc>
          <w:tcPr>
            <w:tcW w:type="dxa" w:w="4873"/>
          </w:tcPr>
          <w:p>
            <w:r/>
            <w:r>
              <w:rPr>
                <w:b/>
                <w:sz w:val="20"/>
              </w:rPr>
              <w:t>Required skills</w:t>
            </w:r>
          </w:p>
        </w:tc>
        <w:tc>
          <w:tcPr>
            <w:tcW w:type="dxa" w:w="4873"/>
          </w:tcPr>
          <w:p>
            <w:r/>
            <w:r>
              <w:rPr>
                <w:sz w:val="20"/>
              </w:rPr>
              <w:t>journal_mechanics, ratability</w:t>
            </w:r>
          </w:p>
        </w:tc>
      </w:tr>
      <w:tr>
        <w:tc>
          <w:tcPr>
            <w:tcW w:type="dxa" w:w="4873"/>
          </w:tcPr>
          <w:p>
            <w:r/>
            <w:r>
              <w:rPr>
                <w:b/>
                <w:sz w:val="20"/>
              </w:rPr>
              <w:t>Authoritative refs</w:t>
            </w:r>
          </w:p>
        </w:tc>
        <w:tc>
          <w:tcPr>
            <w:tcW w:type="dxa" w:w="4873"/>
          </w:tcPr>
          <w:p>
            <w:r/>
            <w:r>
              <w:rPr>
                <w:sz w:val="20"/>
              </w:rPr>
              <w:t>ASC 606-10-45-2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accounting tutor. Explain concepts accurately, use clear examples, and distinguish cash collection from revenue recognition.</w:t>
      </w:r>
    </w:p>
    <w:p>
      <w:pPr>
        <w:pStyle w:val="Heading4"/>
      </w:pPr>
      <w:r>
        <w:rPr>
          <w:color w:val="1F3864"/>
        </w:rPr>
        <w:t>User Prompt</w:t>
      </w:r>
    </w:p>
    <w:p>
      <w:pPr>
        <w:spacing w:line="312" w:lineRule="auto" w:after="120"/>
      </w:pPr>
      <w:r>
        <w:rPr>
          <w:rFonts w:ascii="Calibri" w:hAnsi="Calibri"/>
          <w:b w:val="0"/>
          <w:i w:val="0"/>
          <w:sz w:val="22"/>
        </w:rPr>
        <w:t>A software company receives $12,000 on January 1 for a 12-month subscription beginning that day. The service is transferred evenly throughout the year. Show the initial entry, monthly revenue recognition, and the year-end balances.</w:t>
      </w:r>
    </w:p>
    <w:p>
      <w:pPr>
        <w:pStyle w:val="Heading4"/>
      </w:pPr>
      <w:r>
        <w:rPr>
          <w:color w:val="1F3864"/>
        </w:rPr>
        <w:t>Assistant Answer (gold target)</w:t>
      </w:r>
    </w:p>
    <w:p>
      <w:pPr>
        <w:spacing w:line="312" w:lineRule="auto" w:after="120"/>
      </w:pPr>
      <w:r>
        <w:rPr>
          <w:rFonts w:ascii="Calibri" w:hAnsi="Calibri"/>
          <w:b w:val="0"/>
          <w:i w:val="0"/>
          <w:sz w:val="22"/>
        </w:rPr>
        <w:t>Assumption: the subscription is one stand-ready obligation satisfied evenly over 12 months; no other promises or complications.</w:t>
        <w:br/>
        <w:br/>
        <w:t>Initial entry (Jan 1):</w:t>
        <w:br/>
        <w:t xml:space="preserve">  Dr Cash                       12,000</w:t>
        <w:br/>
        <w:t xml:space="preserve">  Cr Contract Liability                12,000</w:t>
        <w:br/>
        <w:br/>
        <w:t>Monthly revenue recognition (end of each month):</w:t>
        <w:br/>
        <w:t xml:space="preserve">  Dr Contract Liability          1,000</w:t>
        <w:br/>
        <w:t xml:space="preserve">  Cr Revenue                            1,000</w:t>
        <w:br/>
        <w:br/>
        <w:t>Year-end balances (Dec 31, all 12 months recognized):</w:t>
        <w:br/>
        <w:t xml:space="preserve">  Cash                       12,000  (still in cash unless spent)</w:t>
        <w:br/>
        <w:t xml:space="preserve">  Contract Liability              0  (fully amortized)</w:t>
        <w:br/>
        <w:t xml:space="preserve">  Revenue (cumulative)       12,000</w:t>
        <w:br/>
        <w:br/>
        <w:t>Reconciliation check: revenue recognized = 12 × $1,000 = $12,000, which equals the total contract consideration. No revenue was recognized on Jan 1 — the cash receipt created a contract liability, not revenue. The cash inflow and the revenue recognition are separate events.</w:t>
        <w:br/>
        <w:br/>
        <w:t>Note: this simplified answer assumes the service is one performance obligation transferred ratably. If the contract contains multiple promises (e.g., a license plus support), the allocation analysis would change.</w:t>
      </w:r>
    </w:p>
    <w:p>
      <w:pPr>
        <w:pStyle w:val="Heading3"/>
      </w:pPr>
      <w:r>
        <w:rPr>
          <w:color w:val="1F3864"/>
        </w:rPr>
        <w:t>M0-B-0003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assets, liabilities, equity, balance_sheet</w:t>
            </w:r>
          </w:p>
        </w:tc>
      </w:tr>
      <w:tr>
        <w:tc>
          <w:tcPr>
            <w:tcW w:type="dxa" w:w="4873"/>
          </w:tcPr>
          <w:p>
            <w:r/>
            <w:r>
              <w:rPr>
                <w:b/>
                <w:sz w:val="20"/>
              </w:rPr>
              <w:t>Required skills</w:t>
            </w:r>
          </w:p>
        </w:tc>
        <w:tc>
          <w:tcPr>
            <w:tcW w:type="dxa" w:w="4873"/>
          </w:tcPr>
          <w:p>
            <w:r/>
            <w:r>
              <w:rPr>
                <w:sz w:val="20"/>
              </w:rPr>
              <w:t>conceptual_understanding, balance_sheet_mechanics</w:t>
            </w:r>
          </w:p>
        </w:tc>
      </w:tr>
      <w:tr>
        <w:tc>
          <w:tcPr>
            <w:tcW w:type="dxa" w:w="4873"/>
          </w:tcPr>
          <w:p>
            <w:r/>
            <w:r>
              <w:rPr>
                <w:b/>
                <w:sz w:val="20"/>
              </w:rPr>
              <w:t>Authoritative refs</w:t>
            </w:r>
          </w:p>
        </w:tc>
        <w:tc>
          <w:tcPr>
            <w:tcW w:type="dxa" w:w="4873"/>
          </w:tcPr>
          <w:p>
            <w:r/>
            <w:r>
              <w:rPr>
                <w:sz w:val="20"/>
              </w:rPr>
              <w:t>— (verify before use)</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accounting tutor. Explain concepts accurately, use clear examples, and distinguish cash collection from revenue recognition.</w:t>
      </w:r>
    </w:p>
    <w:p>
      <w:pPr>
        <w:pStyle w:val="Heading4"/>
      </w:pPr>
      <w:r>
        <w:rPr>
          <w:color w:val="1F3864"/>
        </w:rPr>
        <w:t>User Prompt</w:t>
      </w:r>
    </w:p>
    <w:p>
      <w:pPr>
        <w:spacing w:line="312" w:lineRule="auto" w:after="120"/>
      </w:pPr>
      <w:r>
        <w:rPr>
          <w:rFonts w:ascii="Calibri" w:hAnsi="Calibri"/>
          <w:b w:val="0"/>
          <w:i w:val="0"/>
          <w:sz w:val="22"/>
        </w:rPr>
        <w:t>Define assets, liabilities, and equity. For each, give one example of how a typical revenue transaction affects that category on the balance sheet.</w:t>
      </w:r>
    </w:p>
    <w:p>
      <w:pPr>
        <w:pStyle w:val="Heading4"/>
      </w:pPr>
      <w:r>
        <w:rPr>
          <w:color w:val="1F3864"/>
        </w:rPr>
        <w:t>Assistant Answer (gold target)</w:t>
      </w:r>
    </w:p>
    <w:p>
      <w:pPr>
        <w:spacing w:line="312" w:lineRule="auto" w:after="120"/>
      </w:pPr>
      <w:r>
        <w:rPr>
          <w:rFonts w:ascii="Calibri" w:hAnsi="Calibri"/>
          <w:b w:val="0"/>
          <w:i w:val="0"/>
          <w:sz w:val="22"/>
        </w:rPr>
        <w:t>**Assets** are present economic resources controlled by the entity as a result of past events, from which future economic benefits are expected to flow. Examples: cash, accounts receivable, inventory, property and equipment.</w:t>
        <w:br/>
        <w:br/>
        <w:t>**Liabilities** are present obligations to transfer economic resources as a result of past events. Examples: accounts payable, accrued expenses, deferred revenue, long-term debt.</w:t>
        <w:br/>
        <w:br/>
        <w:t>**Equity** is the residual interest in the entity's assets after deducting liabilities. Examples: common stock, additional paid-in capital, retained earnings.</w:t>
        <w:br/>
        <w:br/>
        <w:t>Effects of a typical revenue transaction on each:</w:t>
        <w:br/>
        <w:t>1. **Asset**: when a service is performed and the customer is billed, the entity records Dr Accounts Receivable and Cr Revenue. The asset (receivable) increases because the entity has an unconditional right to consideration.</w:t>
        <w:br/>
        <w:t>2. **Liability**: when cash is collected in advance, the entity records Dr Cash and Cr Contract Liability. The liability (deferred revenue) increases because the entity owes future performance. As the service is delivered, the liability is reduced and revenue is recognized.</w:t>
        <w:br/>
        <w:t>3. **Equity**: net income (revenue less expenses) closes to retained earnings at period end. Recognizing revenue increases net income, which increases equity through retained earnings.</w:t>
        <w:br/>
        <w:br/>
        <w:t>These relationships underpin the fundamental accounting equation: Assets = Liabilities + Equity. Every revenue transaction has a balanced effect on at least two of these categories, ensuring the equation remains in balance.</w:t>
      </w:r>
    </w:p>
    <w:p>
      <w:pPr>
        <w:pStyle w:val="Heading3"/>
      </w:pPr>
      <w:r>
        <w:rPr>
          <w:color w:val="1F3864"/>
        </w:rPr>
        <w:t>M0-B-0004</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matching_principle, expenses, inventory</w:t>
            </w:r>
          </w:p>
        </w:tc>
      </w:tr>
      <w:tr>
        <w:tc>
          <w:tcPr>
            <w:tcW w:type="dxa" w:w="4873"/>
          </w:tcPr>
          <w:p>
            <w:r/>
            <w:r>
              <w:rPr>
                <w:b/>
                <w:sz w:val="20"/>
              </w:rPr>
              <w:t>Required skills</w:t>
            </w:r>
          </w:p>
        </w:tc>
        <w:tc>
          <w:tcPr>
            <w:tcW w:type="dxa" w:w="4873"/>
          </w:tcPr>
          <w:p>
            <w:r/>
            <w:r>
              <w:rPr>
                <w:sz w:val="20"/>
              </w:rPr>
              <w:t>conceptual_understanding, expense_recognition</w:t>
            </w:r>
          </w:p>
        </w:tc>
      </w:tr>
      <w:tr>
        <w:tc>
          <w:tcPr>
            <w:tcW w:type="dxa" w:w="4873"/>
          </w:tcPr>
          <w:p>
            <w:r/>
            <w:r>
              <w:rPr>
                <w:b/>
                <w:sz w:val="20"/>
              </w:rPr>
              <w:t>Authoritative refs</w:t>
            </w:r>
          </w:p>
        </w:tc>
        <w:tc>
          <w:tcPr>
            <w:tcW w:type="dxa" w:w="4873"/>
          </w:tcPr>
          <w:p>
            <w:r/>
            <w:r>
              <w:rPr>
                <w:sz w:val="20"/>
              </w:rPr>
              <w:t>— (verify before use)</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accounting tutor. Explain concepts accurately, use clear examples, and distinguish cash collection from revenue recognition.</w:t>
      </w:r>
    </w:p>
    <w:p>
      <w:pPr>
        <w:pStyle w:val="Heading4"/>
      </w:pPr>
      <w:r>
        <w:rPr>
          <w:color w:val="1F3864"/>
        </w:rPr>
        <w:t>User Prompt</w:t>
      </w:r>
    </w:p>
    <w:p>
      <w:pPr>
        <w:spacing w:line="312" w:lineRule="auto" w:after="120"/>
      </w:pPr>
      <w:r>
        <w:rPr>
          <w:rFonts w:ascii="Calibri" w:hAnsi="Calibri"/>
          <w:b w:val="0"/>
          <w:i w:val="0"/>
          <w:sz w:val="22"/>
        </w:rPr>
        <w:t>Explain the matching principle. How does it differ from recognizing expenses when cash is paid? Give an example.</w:t>
      </w:r>
    </w:p>
    <w:p>
      <w:pPr>
        <w:pStyle w:val="Heading4"/>
      </w:pPr>
      <w:r>
        <w:rPr>
          <w:color w:val="1F3864"/>
        </w:rPr>
        <w:t>Assistant Answer (gold target)</w:t>
      </w:r>
    </w:p>
    <w:p>
      <w:pPr>
        <w:spacing w:line="312" w:lineRule="auto" w:after="120"/>
      </w:pPr>
      <w:r>
        <w:rPr>
          <w:rFonts w:ascii="Calibri" w:hAnsi="Calibri"/>
          <w:b w:val="0"/>
          <w:i w:val="0"/>
          <w:sz w:val="22"/>
        </w:rPr>
        <w:t>The **matching principle** (also called the expense recognition principle) requires that expenses be recognized in the same period as the revenues they help generate. The goal is to faithfully depict period performance by aligning the costs of generating revenue with the revenue itself.</w:t>
        <w:br/>
        <w:br/>
        <w:t>This differs from cash-basis expense recognition, which records expenses only when cash is paid. Under the matching principle, the timing of cash payment is irrelevant — what matters is whether the expense relates to the period's revenue-generating activity.</w:t>
        <w:br/>
        <w:br/>
        <w:t>Example: A retailer purchases $50,000 of inventory in December (paying cash) and sells $30,000 of that inventory to customers in January. Under cash-basis accounting, the entire $50,000 expense would be recognized in December. Under the matching principle, only $30,000 of cost of goods sold is recognized in January (when the related revenue is earned); the remaining $20,000 stays on the balance sheet as inventory until those units are sold.</w:t>
        <w:br/>
        <w:br/>
        <w:t>The matching principle interacts with ASC 606 in two ways:</w:t>
        <w:br/>
        <w:t>1. **Cost of fulfillment**: costs that relate directly to satisfying a performance obligation are recognized as expenses in the same period as the related revenue (subject to the ASC 340-40 capitalization criteria).</w:t>
        <w:br/>
        <w:t>2. **Contract costs**: incremental costs of obtaining a contract (e.g., sales commissions) are capitalized and amortized over the period the related revenue is recognized, achieving a matching effect.</w:t>
        <w:br/>
        <w:br/>
        <w:t>Not all expenses are matched — administrative costs and period costs are expensed as incurred because they do not directly relate to specific revenue transactions.</w:t>
      </w:r>
    </w:p>
    <w:p>
      <w:pPr>
        <w:pStyle w:val="Heading3"/>
      </w:pPr>
      <w:r>
        <w:rPr>
          <w:color w:val="1F3864"/>
        </w:rPr>
        <w:t>M0-F-0003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accrual, cash_basis, revenue_principle</w:t>
            </w:r>
          </w:p>
        </w:tc>
      </w:tr>
      <w:tr>
        <w:tc>
          <w:tcPr>
            <w:tcW w:type="dxa" w:w="4873"/>
          </w:tcPr>
          <w:p>
            <w:r/>
            <w:r>
              <w:rPr>
                <w:b/>
                <w:sz w:val="20"/>
              </w:rPr>
              <w:t>Required skills</w:t>
            </w:r>
          </w:p>
        </w:tc>
        <w:tc>
          <w:tcPr>
            <w:tcW w:type="dxa" w:w="4873"/>
          </w:tcPr>
          <w:p>
            <w:r/>
            <w:r>
              <w:rPr>
                <w:sz w:val="20"/>
              </w:rPr>
              <w:t>conceptual_understanding</w:t>
            </w:r>
          </w:p>
        </w:tc>
      </w:tr>
      <w:tr>
        <w:tc>
          <w:tcPr>
            <w:tcW w:type="dxa" w:w="4873"/>
          </w:tcPr>
          <w:p>
            <w:r/>
            <w:r>
              <w:rPr>
                <w:b/>
                <w:sz w:val="20"/>
              </w:rPr>
              <w:t>Authoritative refs</w:t>
            </w:r>
          </w:p>
        </w:tc>
        <w:tc>
          <w:tcPr>
            <w:tcW w:type="dxa" w:w="4873"/>
          </w:tcPr>
          <w:p>
            <w:r/>
            <w:r>
              <w:rPr>
                <w:sz w:val="20"/>
              </w:rPr>
              <w:t>ASC 606-10-10-2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accounting tutor. Explain concepts accurately, use clear examples, and distinguish cash collection from revenue recognition.</w:t>
      </w:r>
    </w:p>
    <w:p>
      <w:pPr>
        <w:pStyle w:val="Heading4"/>
      </w:pPr>
      <w:r>
        <w:rPr>
          <w:color w:val="1F3864"/>
        </w:rPr>
        <w:t>User Prompt</w:t>
      </w:r>
    </w:p>
    <w:p>
      <w:pPr>
        <w:spacing w:line="312" w:lineRule="auto" w:after="120"/>
      </w:pPr>
      <w:r>
        <w:rPr>
          <w:rFonts w:ascii="Calibri" w:hAnsi="Calibri"/>
          <w:b w:val="0"/>
          <w:i w:val="0"/>
          <w:sz w:val="22"/>
        </w:rPr>
        <w:t>Explain the difference between cash-basis and accrual-basis accounting, and why US-GAAP requires accrual accounting for revenue.</w:t>
      </w:r>
    </w:p>
    <w:p>
      <w:pPr>
        <w:pStyle w:val="Heading4"/>
      </w:pPr>
      <w:r>
        <w:rPr>
          <w:color w:val="1F3864"/>
        </w:rPr>
        <w:t>Assistant Answer (gold target)</w:t>
      </w:r>
    </w:p>
    <w:p>
      <w:pPr>
        <w:spacing w:line="312" w:lineRule="auto" w:after="120"/>
      </w:pPr>
      <w:r>
        <w:rPr>
          <w:rFonts w:ascii="Calibri" w:hAnsi="Calibri"/>
          <w:b w:val="0"/>
          <w:i w:val="0"/>
          <w:sz w:val="22"/>
        </w:rPr>
        <w:t>Under cash-basis accounting, revenue is recognized when cash is received and expenses when cash is paid. Under accrual accounting, revenue is recognized when it is earned (when the entity satisfies a performance obligation) and expenses when they are incurred, regardless of the timing of cash flows.</w:t>
        <w:br/>
        <w:br/>
        <w:t>US-GAAP requires accrual accounting because it produces a more faithful representation of an entity's economic activity in a given period. A company that receives $120,000 in January for a 12-month service contract has not 'earned' $120,000 in January; it has earned $10,000 in January and has a contract liability for the remaining $110,000. Cash-basis reporting would overstate January performance and understate February-December performance.</w:t>
        <w:br/>
        <w:br/>
        <w:t>Accrual accounting separates three distinct events: (1) the contract and cash receipt, (2) the entity's performance, and (3) the customer's payment. Revenue recognition follows (2), not (1) or (3). ASC 606 codifies this principle by requiring revenue to be recognized when (or as) performance obligations are satisfied through the transfer of control of a promised good or service to the customer.</w:t>
      </w:r>
    </w:p>
    <w:p>
      <w:pPr>
        <w:pStyle w:val="Heading3"/>
      </w:pPr>
      <w:r>
        <w:rPr>
          <w:color w:val="1F3864"/>
        </w:rPr>
        <w:t>M0-F-0004</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cash_flow, financial_statements, liquidity</w:t>
            </w:r>
          </w:p>
        </w:tc>
      </w:tr>
      <w:tr>
        <w:tc>
          <w:tcPr>
            <w:tcW w:type="dxa" w:w="4873"/>
          </w:tcPr>
          <w:p>
            <w:r/>
            <w:r>
              <w:rPr>
                <w:b/>
                <w:sz w:val="20"/>
              </w:rPr>
              <w:t>Required skills</w:t>
            </w:r>
          </w:p>
        </w:tc>
        <w:tc>
          <w:tcPr>
            <w:tcW w:type="dxa" w:w="4873"/>
          </w:tcPr>
          <w:p>
            <w:r/>
            <w:r>
              <w:rPr>
                <w:sz w:val="20"/>
              </w:rPr>
              <w:t>conceptual_understanding, financial_statements</w:t>
            </w:r>
          </w:p>
        </w:tc>
      </w:tr>
      <w:tr>
        <w:tc>
          <w:tcPr>
            <w:tcW w:type="dxa" w:w="4873"/>
          </w:tcPr>
          <w:p>
            <w:r/>
            <w:r>
              <w:rPr>
                <w:b/>
                <w:sz w:val="20"/>
              </w:rPr>
              <w:t>Authoritative refs</w:t>
            </w:r>
          </w:p>
        </w:tc>
        <w:tc>
          <w:tcPr>
            <w:tcW w:type="dxa" w:w="4873"/>
          </w:tcPr>
          <w:p>
            <w:r/>
            <w:r>
              <w:rPr>
                <w:sz w:val="20"/>
              </w:rPr>
              <w:t>— (verify before use)</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accounting tutor. Explain concepts accurately, use clear examples, and distinguish cash collection from revenue recognition.</w:t>
      </w:r>
    </w:p>
    <w:p>
      <w:pPr>
        <w:pStyle w:val="Heading4"/>
      </w:pPr>
      <w:r>
        <w:rPr>
          <w:color w:val="1F3864"/>
        </w:rPr>
        <w:t>User Prompt</w:t>
      </w:r>
    </w:p>
    <w:p>
      <w:pPr>
        <w:spacing w:line="312" w:lineRule="auto" w:after="120"/>
      </w:pPr>
      <w:r>
        <w:rPr>
          <w:rFonts w:ascii="Calibri" w:hAnsi="Calibri"/>
          <w:b w:val="0"/>
          <w:i w:val="0"/>
          <w:sz w:val="22"/>
        </w:rPr>
        <w:t>Explain how the cash flow statement relates to the income statement and balance sheet. Why can a profitable company still run out of cash?</w:t>
      </w:r>
    </w:p>
    <w:p>
      <w:pPr>
        <w:pStyle w:val="Heading4"/>
      </w:pPr>
      <w:r>
        <w:rPr>
          <w:color w:val="1F3864"/>
        </w:rPr>
        <w:t>Assistant Answer (gold target)</w:t>
      </w:r>
    </w:p>
    <w:p>
      <w:pPr>
        <w:spacing w:line="312" w:lineRule="auto" w:after="120"/>
      </w:pPr>
      <w:r>
        <w:rPr>
          <w:rFonts w:ascii="Calibri" w:hAnsi="Calibri"/>
          <w:b w:val="0"/>
          <w:i w:val="0"/>
          <w:sz w:val="22"/>
        </w:rPr>
        <w:t>The three primary financial statements are interconnected:</w:t>
        <w:br/>
        <w:br/>
        <w:t>1. **Balance sheet** — snapshot of assets, liabilities, and equity at a point in time.</w:t>
        <w:br/>
        <w:t>2. **Income statement** — revenues and expenses over a period; net income closes to equity (retained earnings).</w:t>
        <w:br/>
        <w:t>3. **Cash flow statement** — reconciles the period's cash inflows and outflows, organized into operating, investing, and financing activities. The ending cash balance must equal the cash balance on the balance sheet.</w:t>
        <w:br/>
        <w:br/>
        <w:t>Net income from the income statement is the starting point for the operating section of the cash flow statement (under the indirect method), adjusted for non-cash items and changes in working capital.</w:t>
        <w:br/>
        <w:br/>
        <w:t>A profitable company can run out of cash because revenue recognition is decoupled from cash collection. Common causes:</w:t>
        <w:br/>
        <w:t>- **Revenue earned but not yet collected** — a consulting firm books $1 million in revenue but has $1.2 million in accounts receivable, with customers slow to pay.</w:t>
        <w:br/>
        <w:t>- **Cash collected but constrained** — cash was received but is restricted (e.g., escrow, debt-service reserve).</w:t>
        <w:br/>
        <w:t>- **Investing outflows** — buying equipment consumes cash without immediately affecting net income (the expense is spread via depreciation).</w:t>
        <w:br/>
        <w:t>- **Financing repayments** — debt principal repayments are financing outflows but do not appear as expenses.</w:t>
        <w:br/>
        <w:t>- **Working capital build** — inventory growth or receivable expansion ties up cash even when sales are strong.</w:t>
        <w:br/>
        <w:br/>
        <w:t>Under ASC 606, this disconnect is explicit: revenue is recognized when (or as) performance obligations are satisfied, regardless of when cash is received. A contract asset arises when revenue is recognized before billing; a contract liability arises when cash is received before performance. Both highlight the decoupling.</w:t>
      </w:r>
    </w:p>
    <w:p>
      <w:pPr>
        <w:pStyle w:val="Heading3"/>
      </w:pPr>
      <w:r>
        <w:rPr>
          <w:color w:val="1F3864"/>
        </w:rPr>
        <w:t>M0-F-0005</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journal_entry</w:t>
            </w:r>
          </w:p>
        </w:tc>
      </w:tr>
      <w:tr>
        <w:tc>
          <w:tcPr>
            <w:tcW w:type="dxa" w:w="4873"/>
          </w:tcPr>
          <w:p>
            <w:r/>
            <w:r>
              <w:rPr>
                <w:b/>
                <w:sz w:val="20"/>
              </w:rPr>
              <w:t>Topic tags</w:t>
            </w:r>
          </w:p>
        </w:tc>
        <w:tc>
          <w:tcPr>
            <w:tcW w:type="dxa" w:w="4873"/>
          </w:tcPr>
          <w:p>
            <w:r/>
            <w:r>
              <w:rPr>
                <w:sz w:val="20"/>
              </w:rPr>
              <w:t>accrual, matching_principle, wages</w:t>
            </w:r>
          </w:p>
        </w:tc>
      </w:tr>
      <w:tr>
        <w:tc>
          <w:tcPr>
            <w:tcW w:type="dxa" w:w="4873"/>
          </w:tcPr>
          <w:p>
            <w:r/>
            <w:r>
              <w:rPr>
                <w:b/>
                <w:sz w:val="20"/>
              </w:rPr>
              <w:t>Required skills</w:t>
            </w:r>
          </w:p>
        </w:tc>
        <w:tc>
          <w:tcPr>
            <w:tcW w:type="dxa" w:w="4873"/>
          </w:tcPr>
          <w:p>
            <w:r/>
            <w:r>
              <w:rPr>
                <w:sz w:val="20"/>
              </w:rPr>
              <w:t>journal_mechanics, accrual_accounting</w:t>
            </w:r>
          </w:p>
        </w:tc>
      </w:tr>
      <w:tr>
        <w:tc>
          <w:tcPr>
            <w:tcW w:type="dxa" w:w="4873"/>
          </w:tcPr>
          <w:p>
            <w:r/>
            <w:r>
              <w:rPr>
                <w:b/>
                <w:sz w:val="20"/>
              </w:rPr>
              <w:t>Authoritative refs</w:t>
            </w:r>
          </w:p>
        </w:tc>
        <w:tc>
          <w:tcPr>
            <w:tcW w:type="dxa" w:w="4873"/>
          </w:tcPr>
          <w:p>
            <w:r/>
            <w:r>
              <w:rPr>
                <w:sz w:val="20"/>
              </w:rPr>
              <w:t>— (verify before use)</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accounting tutor. Explain concepts accurately, use clear examples, and distinguish cash collection from revenue recognition.</w:t>
      </w:r>
    </w:p>
    <w:p>
      <w:pPr>
        <w:pStyle w:val="Heading4"/>
      </w:pPr>
      <w:r>
        <w:rPr>
          <w:color w:val="1F3864"/>
        </w:rPr>
        <w:t>User Prompt</w:t>
      </w:r>
    </w:p>
    <w:p>
      <w:pPr>
        <w:spacing w:line="312" w:lineRule="auto" w:after="120"/>
      </w:pPr>
      <w:r>
        <w:rPr>
          <w:rFonts w:ascii="Calibri" w:hAnsi="Calibri"/>
          <w:b w:val="0"/>
          <w:i w:val="0"/>
          <w:sz w:val="22"/>
        </w:rPr>
        <w:t>A company owes $6,000 in year-end wages to employees for work performed in the last week of December, but payday is the first Friday in January. Show the December 31 accrual and the January payment.</w:t>
      </w:r>
    </w:p>
    <w:p>
      <w:pPr>
        <w:pStyle w:val="Heading4"/>
      </w:pPr>
      <w:r>
        <w:rPr>
          <w:color w:val="1F3864"/>
        </w:rPr>
        <w:t>Assistant Answer (gold target)</w:t>
      </w:r>
    </w:p>
    <w:p>
      <w:pPr>
        <w:spacing w:line="312" w:lineRule="auto" w:after="120"/>
      </w:pPr>
      <w:r>
        <w:rPr>
          <w:rFonts w:ascii="Calibri" w:hAnsi="Calibri"/>
          <w:b w:val="0"/>
          <w:i w:val="0"/>
          <w:sz w:val="22"/>
        </w:rPr>
        <w:t>Assumption: the wages relate to work performed in December, so under the matching principle the expense must be recognized in December even though cash is paid in January.</w:t>
        <w:br/>
        <w:br/>
        <w:t>December 31 (accrual):</w:t>
        <w:br/>
        <w:t xml:space="preserve">  Dr Wages Expense         6,000</w:t>
        <w:br/>
        <w:t xml:space="preserve">  Cr Accrued Liabilities (Wages Payable)   6,000</w:t>
        <w:br/>
        <w:br/>
        <w:t>First Friday in January (payment):</w:t>
        <w:br/>
        <w:t xml:space="preserve">  Dr Accrued Liabilities (Wages Payable)  6,000</w:t>
        <w:br/>
        <w:t xml:space="preserve">  Cr Cash                                  6,000</w:t>
        <w:br/>
        <w:br/>
        <w:t>Effect on financial statements:</w:t>
        <w:br/>
        <w:t>- December income statement: $6,000 of wage expense is matched to December revenue.</w:t>
        <w:br/>
        <w:t>- December 31 balance sheet: $6,000 accrued liability.</w:t>
        <w:br/>
        <w:t>- January: no expense; the cash payment settles the prior obligation. January income statement is unaffected.</w:t>
        <w:br/>
        <w:br/>
        <w:t>Key concept: the timing of cash payment (January) does not determine the period of expense recognition (December). The matching principle, not the cash flow, governs the accounting. This is the same decoupling principle that ASC 606 applies to revenue: cash received in advance is a contract liability, not revenue; revenue is recognized when performance occurs.</w:t>
      </w:r>
    </w:p>
    <w:p>
      <w:pPr>
        <w:pStyle w:val="Heading3"/>
      </w:pPr>
      <w:r>
        <w:rPr>
          <w:color w:val="1F3864"/>
        </w:rPr>
        <w:t>M0-I-0004</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materiality, estimation, judgment</w:t>
            </w:r>
          </w:p>
        </w:tc>
      </w:tr>
      <w:tr>
        <w:tc>
          <w:tcPr>
            <w:tcW w:type="dxa" w:w="4873"/>
          </w:tcPr>
          <w:p>
            <w:r/>
            <w:r>
              <w:rPr>
                <w:b/>
                <w:sz w:val="20"/>
              </w:rPr>
              <w:t>Required skills</w:t>
            </w:r>
          </w:p>
        </w:tc>
        <w:tc>
          <w:tcPr>
            <w:tcW w:type="dxa" w:w="4873"/>
          </w:tcPr>
          <w:p>
            <w:r/>
            <w:r>
              <w:rPr>
                <w:sz w:val="20"/>
              </w:rPr>
              <w:t>materiality_assessment, judgment</w:t>
            </w:r>
          </w:p>
        </w:tc>
      </w:tr>
      <w:tr>
        <w:tc>
          <w:tcPr>
            <w:tcW w:type="dxa" w:w="4873"/>
          </w:tcPr>
          <w:p>
            <w:r/>
            <w:r>
              <w:rPr>
                <w:b/>
                <w:sz w:val="20"/>
              </w:rPr>
              <w:t>Authoritative refs</w:t>
            </w:r>
          </w:p>
        </w:tc>
        <w:tc>
          <w:tcPr>
            <w:tcW w:type="dxa" w:w="4873"/>
          </w:tcPr>
          <w:p>
            <w:r/>
            <w:r>
              <w:rPr>
                <w:sz w:val="20"/>
              </w:rPr>
              <w:t>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materiality. Explain how it interacts with ASC 606 estimation judgments, such as variable-consideration estimates.</w:t>
      </w:r>
    </w:p>
    <w:p>
      <w:pPr>
        <w:pStyle w:val="Heading4"/>
      </w:pPr>
      <w:r>
        <w:rPr>
          <w:color w:val="1F3864"/>
        </w:rPr>
        <w:t>Assistant Answer (gold target)</w:t>
      </w:r>
    </w:p>
    <w:p>
      <w:pPr>
        <w:spacing w:line="312" w:lineRule="auto" w:after="120"/>
      </w:pPr>
      <w:r>
        <w:rPr>
          <w:rFonts w:ascii="Calibri" w:hAnsi="Calibri"/>
          <w:b w:val="0"/>
          <w:i w:val="0"/>
          <w:sz w:val="22"/>
        </w:rPr>
        <w:t>**Materiality** is the threshold at which an item's omission or misstatement would influence the economic decisions of a reasonable user of the financial statements. Materiality is context-specific, considering both quantitative (size, percentage of net income, percentage of revenue) and qualitative (nature, governance, regulatory implications) factors.</w:t>
        <w:br/>
        <w:br/>
        <w:t>Quantitative rules of thumb (e.g., 5% of pretax income) are starting points only. A small misstatement can be material if it: (a) masks a change in earnings trend, (b) converts a loss to a profit, (c) affects compliance with contractual or regulatory requirements, or (d) involves management compensation or related-party transactions.</w:t>
        <w:br/>
        <w:br/>
        <w:t>Interaction with ASC 606 estimation judgments:</w:t>
        <w:br/>
        <w:br/>
        <w:t>1. **Variable consideration constraint**: the model includes an estimated amount only to the extent it is probable that a significant revenue reversal will not occur. The threshold for 'significant' is materially informed — a $10,000 swing may be immaterial for a $10 billion company but material for a $5 million company.</w:t>
        <w:br/>
        <w:t>2. **Standalone selling price estimation**: when SSPs must be estimated, the materiality of estimation error determines the level of precision required. Material allocations warrant more rigorous estimation methods.</w:t>
        <w:br/>
        <w:t>3. **Practical expedients**: the one-year practical expedient for financing components, and the practical expedient for costs amortized over one year or less, are based on the premise that the effects are not material.</w:t>
        <w:br/>
        <w:t>4. **Disclosure materiality**: ASC 606-10-50 disclosure requirements are subject to materiality. Entities aggregate or omit immaterial disclosures while preserving the faithful representation of material judgments.</w:t>
        <w:br/>
        <w:br/>
        <w:t>A common error is to assume materiality is purely quantitative. An entity must document both quantitative thresholds and qualitative factors when justifying materiality-based decisions in ASC 606 application.</w:t>
      </w:r>
    </w:p>
    <w:p>
      <w:pPr>
        <w:pStyle w:val="Heading3"/>
      </w:pPr>
      <w:r>
        <w:rPr>
          <w:color w:val="1F3864"/>
        </w:rPr>
        <w:t>M0-I-0005</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conservatism, constraint, variable_consideration</w:t>
            </w:r>
          </w:p>
        </w:tc>
      </w:tr>
      <w:tr>
        <w:tc>
          <w:tcPr>
            <w:tcW w:type="dxa" w:w="4873"/>
          </w:tcPr>
          <w:p>
            <w:r/>
            <w:r>
              <w:rPr>
                <w:b/>
                <w:sz w:val="20"/>
              </w:rPr>
              <w:t>Required skills</w:t>
            </w:r>
          </w:p>
        </w:tc>
        <w:tc>
          <w:tcPr>
            <w:tcW w:type="dxa" w:w="4873"/>
          </w:tcPr>
          <w:p>
            <w:r/>
            <w:r>
              <w:rPr>
                <w:sz w:val="20"/>
              </w:rPr>
              <w:t>constraint_analysis, conceptual_understanding</w:t>
            </w:r>
          </w:p>
        </w:tc>
      </w:tr>
      <w:tr>
        <w:tc>
          <w:tcPr>
            <w:tcW w:type="dxa" w:w="4873"/>
          </w:tcPr>
          <w:p>
            <w:r/>
            <w:r>
              <w:rPr>
                <w:b/>
                <w:sz w:val="20"/>
              </w:rPr>
              <w:t>Authoritative refs</w:t>
            </w:r>
          </w:p>
        </w:tc>
        <w:tc>
          <w:tcPr>
            <w:tcW w:type="dxa" w:w="4873"/>
          </w:tcPr>
          <w:p>
            <w:r/>
            <w:r>
              <w:rPr>
                <w:sz w:val="20"/>
              </w:rPr>
              <w:t>ASC 606-10-32-11, ASC 606-10-32-12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Distinguish conservative accounting from aggressive accounting. Why does ASC 606 constrain variable consideration even when an entity has a high probability of receiving it?</w:t>
      </w:r>
    </w:p>
    <w:p>
      <w:pPr>
        <w:pStyle w:val="Heading4"/>
      </w:pPr>
      <w:r>
        <w:rPr>
          <w:color w:val="1F3864"/>
        </w:rPr>
        <w:t>Assistant Answer (gold target)</w:t>
      </w:r>
    </w:p>
    <w:p>
      <w:pPr>
        <w:spacing w:line="312" w:lineRule="auto" w:after="120"/>
      </w:pPr>
      <w:r>
        <w:rPr>
          <w:rFonts w:ascii="Calibri" w:hAnsi="Calibri"/>
          <w:b w:val="0"/>
          <w:i w:val="0"/>
          <w:sz w:val="22"/>
        </w:rPr>
        <w:t>**Conservative accounting** favors recognition of losses/liabilities when uncertainty exists and defers recognition of gains/assets until realization is highly probable. The principle is asymmetric: bad news is recognized quickly; good news is recognized only when its certainty is high.</w:t>
        <w:br/>
        <w:br/>
        <w:t>**Aggressive accounting** favors earlier recognition of gains/assets and defers recognition of losses/liabilities. It is not necessarily improper, but it carries higher risk of overstating performance and requires stronger evidence to support.</w:t>
        <w:br/>
        <w:br/>
        <w:t>ASC 606's variable-consideration constraint embodies conservative thinking:</w:t>
        <w:br/>
        <w:br/>
        <w:t>1. **The constraint**: include an estimate of variable consideration in the transaction price only to the extent it is probable that a significant reversal of cumulative revenue will not occur when the uncertainty is resolved.</w:t>
        <w:br/>
        <w:br/>
        <w:t>2. **Why constrain even at 70-90% probability?** Several reasons:</w:t>
        <w:br/>
        <w:t xml:space="preserve">  - Probability of receipt ≠ probability of no reversal. A 70% chance of receiving $100,000 leaves a 30% chance of $0; if the entity recognizes $70,000 (expected value) and the bonus is missed, $70,000 of revenue reverses.</w:t>
        <w:br/>
        <w:t xml:space="preserve">  - Estimation uncertainty compounds across contracts. If an entity applies 70% probability recognition across many contracts, the aggregate reversal risk is significant.</w:t>
        <w:br/>
        <w:t xml:space="preserve">  - Reversals distort period comparability. Revenue recognized then reversed understates the period of reversal and overstates the period of original recognition.</w:t>
        <w:br/>
        <w:t xml:space="preserve">  - Earnings management risk: unconstrained variable consideration provides a lever to shift revenue across periods.</w:t>
        <w:br/>
        <w:br/>
        <w:t>3. **Factors in the constraint analysis** (ASC 606-10-32-11/12, verify):</w:t>
        <w:br/>
        <w:t xml:space="preserve">  - Susceptibility to factors outside the entity's influence.</w:t>
        <w:br/>
        <w:t xml:space="preserve">  - Long period before uncertainty resolves.</w:t>
        <w:br/>
        <w:t xml:space="preserve">  - Limited experience with similar contracts.</w:t>
        <w:br/>
        <w:t xml:space="preserve">  - Broad range of possible outcomes.</w:t>
        <w:br/>
        <w:t xml:space="preserve">  - Practice of offering similar bonuses with varying outcomes.</w:t>
        <w:br/>
        <w:br/>
        <w:t>The constraint does not prohibit recognition of variable consideration; it requires sufficient evidence that a significant reversal is unlikely.</w:t>
      </w:r>
    </w:p>
    <w:p>
      <w:pPr>
        <w:pStyle w:val="Heading3"/>
      </w:pPr>
      <w:r>
        <w:rPr>
          <w:color w:val="1F3864"/>
        </w:rPr>
        <w:t>M0-A-0006</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revenue_quality, performance_measurement, critique</w:t>
            </w:r>
          </w:p>
        </w:tc>
      </w:tr>
      <w:tr>
        <w:tc>
          <w:tcPr>
            <w:tcW w:type="dxa" w:w="4873"/>
          </w:tcPr>
          <w:p>
            <w:r/>
            <w:r>
              <w:rPr>
                <w:b/>
                <w:sz w:val="20"/>
              </w:rPr>
              <w:t>Required skills</w:t>
            </w:r>
          </w:p>
        </w:tc>
        <w:tc>
          <w:tcPr>
            <w:tcW w:type="dxa" w:w="4873"/>
          </w:tcPr>
          <w:p>
            <w:r/>
            <w:r>
              <w:rPr>
                <w:sz w:val="20"/>
              </w:rPr>
              <w:t>conceptual_analysis, critical_thinking</w:t>
            </w:r>
          </w:p>
        </w:tc>
      </w:tr>
      <w:tr>
        <w:tc>
          <w:tcPr>
            <w:tcW w:type="dxa" w:w="4873"/>
          </w:tcPr>
          <w:p>
            <w:r/>
            <w:r>
              <w:rPr>
                <w:b/>
                <w:sz w:val="20"/>
              </w:rPr>
              <w:t>Authoritative refs</w:t>
            </w:r>
          </w:p>
        </w:tc>
        <w:tc>
          <w:tcPr>
            <w:tcW w:type="dxa" w:w="4873"/>
          </w:tcPr>
          <w:p>
            <w:r/>
            <w:r>
              <w:rPr>
                <w:sz w:val="20"/>
              </w:rPr>
              <w:t>— (verify before use)</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Critique the claim that 'revenue is the most reliable indicator of period performance'.</w:t>
      </w:r>
    </w:p>
    <w:p>
      <w:pPr>
        <w:pStyle w:val="Heading4"/>
      </w:pPr>
      <w:r>
        <w:rPr>
          <w:color w:val="1F3864"/>
        </w:rPr>
        <w:t>Assistant Answer (gold target)</w:t>
      </w:r>
    </w:p>
    <w:p>
      <w:pPr>
        <w:spacing w:line="312" w:lineRule="auto" w:after="120"/>
      </w:pPr>
      <w:r>
        <w:rPr>
          <w:rFonts w:ascii="Calibri" w:hAnsi="Calibri"/>
          <w:b w:val="0"/>
          <w:i w:val="0"/>
          <w:sz w:val="22"/>
        </w:rPr>
        <w:t>The claim that revenue is the most reliable indicator of period performance has both merit and significant limitations.</w:t>
        <w:br/>
        <w:br/>
        <w:t>**Merits of the claim**:</w:t>
        <w:br/>
        <w:t>1. Revenue captures the gross economic inflow from an entity's primary activities, before expenses.</w:t>
        <w:br/>
        <w:t>2. Under accrual accounting and ASC 606, revenue is recognized based on performance, not cash collection, so it reflects economic activity in the period it occurred.</w:t>
        <w:br/>
        <w:t>3. Revenue trends are relatively stable compared to one-time items (gains/losses, write-downs) that distort net income.</w:t>
        <w:br/>
        <w:br/>
        <w:t>**Limitations**:</w:t>
        <w:br/>
        <w:t>1. **Revenue is gross; profit is what matters**. A company can grow revenue while eroding margins. Discounting to win volume can produce revenue growth that destroys value.</w:t>
        <w:br/>
        <w:t>2. **Revenue is sensitive to estimation** under ASC 606. Variable consideration, SSP estimation, and over-time progress measurement all involve judgment that can shift revenue across periods.</w:t>
        <w:br/>
        <w:t>3. **Revenue does not capture cost-side performance**. Operational efficiency, cost control, and scale economies are invisible in a revenue figure alone.</w:t>
        <w:br/>
        <w:t>4. **Revenue does not capture asset utilization**. Two companies with the same revenue can have vastly different asset bases and returns on invested capital.</w:t>
        <w:br/>
        <w:t>5. **Revenue does not reflect financing or capital structure choices**. A leveraged company may have the same revenue as an unleveraged peer but very different risk profiles.</w:t>
        <w:br/>
        <w:t>6. **Revenue can be manipulated through structuring** (gross vs. net reporting, timing of modifications, contract terms). ASC 606's principles reduce but do not eliminate this risk.</w:t>
        <w:br/>
        <w:t>7. **Revenue does not capture risk-adjusted performance**. A company that grows revenue by accepting lower-quality customers may be building future credit losses.</w:t>
        <w:br/>
        <w:br/>
        <w:t>**More reliable indicators** for many purposes are operating income, free cash flow, return on invested capital, and revenue-quality metrics (e.g., recurring vs. one-time, gross vs. net). Revenue is a starting point, not a comprehensive measure.</w:t>
      </w:r>
    </w:p>
    <w:p>
      <w:pPr>
        <w:pStyle w:val="Heading3"/>
      </w:pPr>
      <w:r>
        <w:rPr>
          <w:color w:val="1F3864"/>
        </w:rPr>
        <w:t>M0-E-0007</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M0</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memo</w:t>
            </w:r>
          </w:p>
        </w:tc>
      </w:tr>
      <w:tr>
        <w:tc>
          <w:tcPr>
            <w:tcW w:type="dxa" w:w="4873"/>
          </w:tcPr>
          <w:p>
            <w:r/>
            <w:r>
              <w:rPr>
                <w:b/>
                <w:sz w:val="20"/>
              </w:rPr>
              <w:t>Topic tags</w:t>
            </w:r>
          </w:p>
        </w:tc>
        <w:tc>
          <w:tcPr>
            <w:tcW w:type="dxa" w:w="4873"/>
          </w:tcPr>
          <w:p>
            <w:r/>
            <w:r>
              <w:rPr>
                <w:sz w:val="20"/>
              </w:rPr>
              <w:t>compensation, estimation_risk, governance</w:t>
            </w:r>
          </w:p>
        </w:tc>
      </w:tr>
      <w:tr>
        <w:tc>
          <w:tcPr>
            <w:tcW w:type="dxa" w:w="4873"/>
          </w:tcPr>
          <w:p>
            <w:r/>
            <w:r>
              <w:rPr>
                <w:b/>
                <w:sz w:val="20"/>
              </w:rPr>
              <w:t>Required skills</w:t>
            </w:r>
          </w:p>
        </w:tc>
        <w:tc>
          <w:tcPr>
            <w:tcW w:type="dxa" w:w="4873"/>
          </w:tcPr>
          <w:p>
            <w:r/>
            <w:r>
              <w:rPr>
                <w:sz w:val="20"/>
              </w:rPr>
              <w:t>memo_writing, judgment, governance</w:t>
            </w:r>
          </w:p>
        </w:tc>
      </w:tr>
      <w:tr>
        <w:tc>
          <w:tcPr>
            <w:tcW w:type="dxa" w:w="4873"/>
          </w:tcPr>
          <w:p>
            <w:r/>
            <w:r>
              <w:rPr>
                <w:b/>
                <w:sz w:val="20"/>
              </w:rPr>
              <w:t>Authoritative refs</w:t>
            </w:r>
          </w:p>
        </w:tc>
        <w:tc>
          <w:tcPr>
            <w:tcW w:type="dxa" w:w="4873"/>
          </w:tcPr>
          <w:p>
            <w:r/>
            <w:r>
              <w:rPr>
                <w:sz w:val="20"/>
              </w:rPr>
              <w:t>ASC 606-10-32-11, 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Draft a one-page memo for a CFO explaining why the company should not adopt a revenue-only performance metric for executive compensation, with reference to ASC 606 estimation risk.</w:t>
      </w:r>
    </w:p>
    <w:p>
      <w:pPr>
        <w:pStyle w:val="Heading4"/>
      </w:pPr>
      <w:r>
        <w:rPr>
          <w:color w:val="1F3864"/>
        </w:rPr>
        <w:t>Assistant Answer (gold target)</w:t>
      </w:r>
    </w:p>
    <w:p>
      <w:pPr>
        <w:spacing w:line="312" w:lineRule="auto" w:after="120"/>
      </w:pPr>
      <w:r>
        <w:rPr>
          <w:rFonts w:ascii="Calibri" w:hAnsi="Calibri"/>
          <w:b w:val="0"/>
          <w:i w:val="0"/>
          <w:sz w:val="22"/>
        </w:rPr>
        <w:t>MEMORANDUM — Revenue-Only Performance Metrics in Executive Compensation</w:t>
        <w:br/>
        <w:br/>
        <w:t>ISSUE: Should revenue be the sole performance metric in the executive incentive plan?</w:t>
        <w:br/>
        <w:br/>
        <w:t>RECOMMENDATION: No. Revenue alone is an insufficient and potentially harmful basis for executive compensation.</w:t>
        <w:br/>
        <w:br/>
        <w:t>ANALYSIS:</w:t>
        <w:br/>
        <w:br/>
        <w:t>1. ASC 606 estimation risk. Revenue under ASC 606 is sensitive to estimation judgments that management can influence:</w:t>
        <w:br/>
        <w:t xml:space="preserve">   - Variable consideration estimates (expected value vs. most-likely-amount, constraint application).</w:t>
        <w:br/>
        <w:t xml:space="preserve">   - Standalone selling price estimation when not directly observable.</w:t>
        <w:br/>
        <w:t xml:space="preserve">   - Over-time progress measures (input vs. output methods, uninstalled-material adjustments).</w:t>
        <w:br/>
        <w:t xml:space="preserve">   - Modification accounting classifications (separate contract vs. prospective vs. cumulative catch-up).</w:t>
        <w:br/>
        <w:t xml:space="preserve">   Each of these judgments creates discretion that can shift revenue across periods without changing underlying economic performance. Tying compensation to revenue alone creates incentive to exercise that discretion in favor of current-period revenue.</w:t>
        <w:br/>
        <w:br/>
        <w:t>2. Gross-vs.-net incentives. Revenue growth can mask margin erosion. Executives can grow revenue by accepting lower-margin contracts, accepting principal status where agent status would be more accurate (gross vs. net revenue), or sacrificing collection quality to win volume.</w:t>
        <w:br/>
        <w:br/>
        <w:t>3. Risk of structuring. Compensation tied to revenue can incentivize contract structuring choices that maximize reported revenue (e.g., gross-up arrangements, longer contract terms, separation of items to maximize POs).</w:t>
        <w:br/>
        <w:br/>
        <w:t>4. Decoupling from cash. Revenue is recognized before cash is collected in many arrangements (contract assets arise). An executive compensated on revenue may close many contracts that later prove uncollectible, especially if credit-quality compromises are made to win volume.</w:t>
        <w:br/>
        <w:br/>
        <w:t>5. Strategic distortions. Compensation tied to revenue may discourage discipline on cost containment, asset utilization, working capital management, or risk-adjusted returns.</w:t>
        <w:br/>
        <w:br/>
        <w:t>RECOMMENDED APPROACH:</w:t>
        <w:br/>
        <w:t xml:space="preserve">   - Use a balanced scorecard combining revenue, gross margin, operating income, free cash flow, and risk-adjusted returns.</w:t>
        <w:br/>
        <w:t xml:space="preserve">   - Apply clawback provisions for material revenue reversals or restatements.</w:t>
        <w:br/>
        <w:t xml:space="preserve">   - Subject material ASC 606 estimates to independent review (audit committee, technical accounting function).</w:t>
        <w:br/>
        <w:t xml:space="preserve">   - Align holding periods for equity awards with the period of reversal risk for revenue estimates.</w:t>
        <w:br/>
        <w:br/>
        <w:t>INTERNAL CONTROLS NEEDED:</w:t>
        <w:br/>
        <w:t xml:space="preserve">   - Documented ASC 606 estimation policy.</w:t>
        <w:br/>
        <w:t xml:space="preserve">   - Independent variable-consideration constraint analysis.</w:t>
        <w:br/>
        <w:t xml:space="preserve">   - Quarterly review of significant estimates by the disclosure committee.</w:t>
        <w:br/>
        <w:t xml:space="preserve">   - Compensation committee review of revenue-quality metrics.</w:t>
      </w:r>
    </w:p>
    <w:p>
      <w:pPr>
        <w:pStyle w:val="Heading2"/>
      </w:pPr>
      <w:r>
        <w:rPr>
          <w:color w:val="1F3864"/>
        </w:rPr>
        <w:t>5.2 M1 — ASC 606 Core Concepts &amp; Scope</w:t>
      </w:r>
    </w:p>
    <w:p>
      <w:pPr>
        <w:spacing w:line="312" w:lineRule="auto" w:after="120"/>
      </w:pPr>
      <w:r>
        <w:rPr>
          <w:rFonts w:ascii="Calibri" w:hAnsi="Calibri"/>
          <w:b w:val="0"/>
          <w:i w:val="0"/>
          <w:sz w:val="22"/>
        </w:rPr>
        <w:t>This module contains 9 curated training template(s) at the following difficulty levels: beginner, foundational, intermediate, advanced, research.</w:t>
      </w:r>
    </w:p>
    <w:p>
      <w:pPr>
        <w:pStyle w:val="Heading3"/>
      </w:pPr>
      <w:r>
        <w:rPr>
          <w:color w:val="1F3864"/>
        </w:rPr>
        <w:t>M1-B-0001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five_step_model, scope, core_principle</w:t>
            </w:r>
          </w:p>
        </w:tc>
      </w:tr>
      <w:tr>
        <w:tc>
          <w:tcPr>
            <w:tcW w:type="dxa" w:w="4873"/>
          </w:tcPr>
          <w:p>
            <w:r/>
            <w:r>
              <w:rPr>
                <w:b/>
                <w:sz w:val="20"/>
              </w:rPr>
              <w:t>Required skills</w:t>
            </w:r>
          </w:p>
        </w:tc>
        <w:tc>
          <w:tcPr>
            <w:tcW w:type="dxa" w:w="4873"/>
          </w:tcPr>
          <w:p>
            <w:r/>
            <w:r>
              <w:rPr>
                <w:sz w:val="20"/>
              </w:rPr>
              <w:t>conceptual_understanding, framework_recall</w:t>
            </w:r>
          </w:p>
        </w:tc>
      </w:tr>
      <w:tr>
        <w:tc>
          <w:tcPr>
            <w:tcW w:type="dxa" w:w="4873"/>
          </w:tcPr>
          <w:p>
            <w:r/>
            <w:r>
              <w:rPr>
                <w:b/>
                <w:sz w:val="20"/>
              </w:rPr>
              <w:t>Authoritative refs</w:t>
            </w:r>
          </w:p>
        </w:tc>
        <w:tc>
          <w:tcPr>
            <w:tcW w:type="dxa" w:w="4873"/>
          </w:tcPr>
          <w:p>
            <w:r/>
            <w:r>
              <w:rPr>
                <w:sz w:val="20"/>
              </w:rPr>
              <w:t>ASC 606-10-05, ASC 606-10-25-1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List and briefly explain each of the five steps in the ASC 606 revenue recognition model.</w:t>
      </w:r>
    </w:p>
    <w:p>
      <w:pPr>
        <w:pStyle w:val="Heading4"/>
      </w:pPr>
      <w:r>
        <w:rPr>
          <w:color w:val="1F3864"/>
        </w:rPr>
        <w:t>Assistant Answer (gold target)</w:t>
      </w:r>
    </w:p>
    <w:p>
      <w:pPr>
        <w:spacing w:line="312" w:lineRule="auto" w:after="120"/>
      </w:pPr>
      <w:r>
        <w:rPr>
          <w:rFonts w:ascii="Calibri" w:hAnsi="Calibri"/>
          <w:b w:val="0"/>
          <w:i w:val="0"/>
          <w:sz w:val="22"/>
        </w:rPr>
        <w:t>The ASC 606 five-step model:</w:t>
        <w:br/>
        <w:br/>
        <w:t>1. **Identify the contract with a customer** — Confirm the agreement meets the contract criteria (approval, identifiable rights/payment terms, commercial substance, collectibility).</w:t>
        <w:br/>
        <w:t>2. **Identify the performance obligations** — Determine the promised goods or services that are distinct (or a series of distinct items satisfied over time).</w:t>
        <w:br/>
        <w:t>3. **Determine the transaction price** — Include fixed and variable consideration, financing effects if significant, noncash consideration, and consideration payable to the customer.</w:t>
        <w:br/>
        <w:t>4. **Allocate the transaction price** — Assign the transaction price to the performance obligations based on relative standalone selling prices.</w:t>
        <w:br/>
        <w:t>5. **Recognize revenue** — Recognize revenue when (or as) each performance obligation is satisfied by transferring control of the promised good or service to the customer.</w:t>
        <w:br/>
        <w:br/>
        <w:t>Steps 1 and 2 are applied at contract inception (with reassessment if facts change). Steps 3-5 are applied iteratively as the contract is performed. The model is principles-based; industry-specific guidance outside ASC 606 (e.g., leasing, insurance, financial instruments) applies where scope exceptions are met.</w:t>
        <w:br/>
        <w:br/>
        <w:t>Reference: ASC 606-10-05 (overview) and ASC 606-10-25-1 through ASC 606-10-32-28 (verify against the Codification).</w:t>
      </w:r>
    </w:p>
    <w:p>
      <w:pPr>
        <w:pStyle w:val="Heading3"/>
      </w:pPr>
      <w:r>
        <w:rPr>
          <w:color w:val="1F3864"/>
        </w:rPr>
        <w:t>M1-B-0003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customer, definition, scope</w:t>
            </w:r>
          </w:p>
        </w:tc>
      </w:tr>
      <w:tr>
        <w:tc>
          <w:tcPr>
            <w:tcW w:type="dxa" w:w="4873"/>
          </w:tcPr>
          <w:p>
            <w:r/>
            <w:r>
              <w:rPr>
                <w:b/>
                <w:sz w:val="20"/>
              </w:rPr>
              <w:t>Required skills</w:t>
            </w:r>
          </w:p>
        </w:tc>
        <w:tc>
          <w:tcPr>
            <w:tcW w:type="dxa" w:w="4873"/>
          </w:tcPr>
          <w:p>
            <w:r/>
            <w:r>
              <w:rPr>
                <w:sz w:val="20"/>
              </w:rPr>
              <w:t>definition, scope_analysis</w:t>
            </w:r>
          </w:p>
        </w:tc>
      </w:tr>
      <w:tr>
        <w:tc>
          <w:tcPr>
            <w:tcW w:type="dxa" w:w="4873"/>
          </w:tcPr>
          <w:p>
            <w:r/>
            <w:r>
              <w:rPr>
                <w:b/>
                <w:sz w:val="20"/>
              </w:rPr>
              <w:t>Authoritative refs</w:t>
            </w:r>
          </w:p>
        </w:tc>
        <w:tc>
          <w:tcPr>
            <w:tcW w:type="dxa" w:w="4873"/>
          </w:tcPr>
          <w:p>
            <w:r/>
            <w:r>
              <w:rPr>
                <w:sz w:val="20"/>
              </w:rPr>
              <w:t>ASC 606-10-20, ASC 606-10-25-1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'customer' under ASC 606. How does it differ from a 'vendor' or 'counterparty'?</w:t>
      </w:r>
    </w:p>
    <w:p>
      <w:pPr>
        <w:pStyle w:val="Heading4"/>
      </w:pPr>
      <w:r>
        <w:rPr>
          <w:color w:val="1F3864"/>
        </w:rPr>
        <w:t>Assistant Answer (gold target)</w:t>
      </w:r>
    </w:p>
    <w:p>
      <w:pPr>
        <w:spacing w:line="312" w:lineRule="auto" w:after="120"/>
      </w:pPr>
      <w:r>
        <w:rPr>
          <w:rFonts w:ascii="Calibri" w:hAnsi="Calibri"/>
          <w:b w:val="0"/>
          <w:i w:val="0"/>
          <w:sz w:val="22"/>
        </w:rPr>
        <w:t>Under ASC 606 (ASC 606-10-20, defined terms; verify against the Codification), a **customer** is a party that has contracted with an entity to obtain goods or services that are an output of the entity's ordinary activities in exchange for consideration.</w:t>
        <w:br/>
        <w:br/>
        <w:t>Three defining elements:</w:t>
        <w:br/>
        <w:t>1. **Contracted** — there is an agreement meeting the ASC 606-10-25-1 contract criteria.</w:t>
        <w:br/>
        <w:t>2. **Obtain goods/services that are an output of ordinary activities** — the party is acquiring what the entity regularly produces, not making an investment or entering a financing arrangement.</w:t>
        <w:br/>
        <w:t>3. **In exchange for consideration** — the arrangement involves payment; the customer role is fundamentally commercial.</w:t>
        <w:br/>
        <w:br/>
        <w:t>Distinction from other party roles:</w:t>
        <w:br/>
        <w:t>- **Vendor/supplier**: the party providing inputs to the entity. An entity is a customer of its suppliers, but a supplier is not a customer of the entity unless the entity is also purchasing from that party.</w:t>
        <w:br/>
        <w:t>- **Counterparty**: any party on the other side of a transaction. A derivative counterparty, a lender, or a lessor is a counterparty but not necessarily a customer — the transaction may not be an output of the entity's ordinary activities (e.g., a borrowing is financing, not revenue).</w:t>
        <w:br/>
        <w:t>- **Investor**: a party providing capital in exchange for equity or debt instruments. Investors are not customers; their contributions are financing transactions, not revenue.</w:t>
        <w:br/>
        <w:t>- **Joint venturer / co-venturer**: a party to a joint arrangement. Whether they are a customer depends on whether the arrangement involves the entity providing outputs of its ordinary activities.</w:t>
        <w:br/>
        <w:br/>
        <w:t>The customer determination matters because only contracts with customers are within the scope of ASC 606. Arrangements with non-customers (financing, equity, certain business combinations, leases from the lessor side, etc.) are accounted for under other guidance.</w:t>
      </w:r>
    </w:p>
    <w:p>
      <w:pPr>
        <w:pStyle w:val="Heading3"/>
      </w:pPr>
      <w:r>
        <w:rPr>
          <w:color w:val="1F3864"/>
        </w:rPr>
        <w:t>M1-B-0004</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control, indicators, point_in_time</w:t>
            </w:r>
          </w:p>
        </w:tc>
      </w:tr>
      <w:tr>
        <w:tc>
          <w:tcPr>
            <w:tcW w:type="dxa" w:w="4873"/>
          </w:tcPr>
          <w:p>
            <w:r/>
            <w:r>
              <w:rPr>
                <w:b/>
                <w:sz w:val="20"/>
              </w:rPr>
              <w:t>Required skills</w:t>
            </w:r>
          </w:p>
        </w:tc>
        <w:tc>
          <w:tcPr>
            <w:tcW w:type="dxa" w:w="4873"/>
          </w:tcPr>
          <w:p>
            <w:r/>
            <w:r>
              <w:rPr>
                <w:sz w:val="20"/>
              </w:rPr>
              <w:t>definition, control_analysis</w:t>
            </w:r>
          </w:p>
        </w:tc>
      </w:tr>
      <w:tr>
        <w:tc>
          <w:tcPr>
            <w:tcW w:type="dxa" w:w="4873"/>
          </w:tcPr>
          <w:p>
            <w:r/>
            <w:r>
              <w:rPr>
                <w:b/>
                <w:sz w:val="20"/>
              </w:rPr>
              <w:t>Authoritative refs</w:t>
            </w:r>
          </w:p>
        </w:tc>
        <w:tc>
          <w:tcPr>
            <w:tcW w:type="dxa" w:w="4873"/>
          </w:tcPr>
          <w:p>
            <w:r/>
            <w:r>
              <w:rPr>
                <w:sz w:val="20"/>
              </w:rPr>
              <w:t>ASC 606-10-20, ASC 606-10-25-30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'control' of an asset under ASC 606 and list the indicators of control transfer.</w:t>
      </w:r>
    </w:p>
    <w:p>
      <w:pPr>
        <w:pStyle w:val="Heading4"/>
      </w:pPr>
      <w:r>
        <w:rPr>
          <w:color w:val="1F3864"/>
        </w:rPr>
        <w:t>Assistant Answer (gold target)</w:t>
      </w:r>
    </w:p>
    <w:p>
      <w:pPr>
        <w:spacing w:line="312" w:lineRule="auto" w:after="120"/>
      </w:pPr>
      <w:r>
        <w:rPr>
          <w:rFonts w:ascii="Calibri" w:hAnsi="Calibri"/>
          <w:b w:val="0"/>
          <w:i w:val="0"/>
          <w:sz w:val="22"/>
        </w:rPr>
        <w:t>Under ASC 606 (ASC 606-10-20, defined terms; verify against the Codification), **control** of an asset refers to the ability to direct the use of, and obtain substantially all of the remaining benefits from, the asset. Control includes the ability to prevent other entities from directing the use of, and obtaining benefit from, the asset.</w:t>
        <w:br/>
        <w:br/>
        <w:t>**Benefits** of an asset are the potential cash inflows (including inflows from a reduction of cash outflows) from the asset, plus other cash flows from the asset's use. Benefits include revenues, cost savings, residual value, and proceeds from disposal.</w:t>
        <w:br/>
        <w:br/>
        <w:t>**Indicators that control has transferred to the customer** (ASC 606-10-25-30, verify — these are indicators, not mandatory criteria):</w:t>
        <w:br/>
        <w:t>1. The entity has a present right to payment for the asset.</w:t>
        <w:br/>
        <w:t>2. The customer has legal title to the asset.</w:t>
        <w:br/>
        <w:t>3. The customer has physical possession of the asset.</w:t>
        <w:br/>
        <w:t>4. The customer has the significant risks and rewards of ownership of the asset.</w:t>
        <w:br/>
        <w:t>5. The customer has accepted the asset.</w:t>
        <w:br/>
        <w:br/>
        <w:t>Important principles:</w:t>
        <w:br/>
        <w:t>- No single indicator is determinative; the entity must evaluate indicators together with other facts.</w:t>
        <w:br/>
        <w:t>- The list is non-exhaustive; other indicators may be relevant in specific arrangements.</w:t>
        <w:br/>
        <w:t>- Indicators can point in different directions; the entity must use judgment to determine when control has transferred.</w:t>
        <w:br/>
        <w:t>- For over-time recognition, control transfers continuously as the entity performs, so the indicators are applied differently (e.g., the customer controls the asset being created or enhanced).</w:t>
        <w:br/>
        <w:br/>
        <w:t>The control concept replaces the former 'risks and rewards' and 'earnings process' models that predated ASC 606.</w:t>
      </w:r>
    </w:p>
    <w:p>
      <w:pPr>
        <w:pStyle w:val="Heading3"/>
      </w:pPr>
      <w:r>
        <w:rPr>
          <w:color w:val="1F3864"/>
        </w:rPr>
        <w:t>M1-F-0002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scope, exceptions, leases, insurance</w:t>
            </w:r>
          </w:p>
        </w:tc>
      </w:tr>
      <w:tr>
        <w:tc>
          <w:tcPr>
            <w:tcW w:type="dxa" w:w="4873"/>
          </w:tcPr>
          <w:p>
            <w:r/>
            <w:r>
              <w:rPr>
                <w:b/>
                <w:sz w:val="20"/>
              </w:rPr>
              <w:t>Required skills</w:t>
            </w:r>
          </w:p>
        </w:tc>
        <w:tc>
          <w:tcPr>
            <w:tcW w:type="dxa" w:w="4873"/>
          </w:tcPr>
          <w:p>
            <w:r/>
            <w:r>
              <w:rPr>
                <w:sz w:val="20"/>
              </w:rPr>
              <w:t>scope_analysis, framework_recall</w:t>
            </w:r>
          </w:p>
        </w:tc>
      </w:tr>
      <w:tr>
        <w:tc>
          <w:tcPr>
            <w:tcW w:type="dxa" w:w="4873"/>
          </w:tcPr>
          <w:p>
            <w:r/>
            <w:r>
              <w:rPr>
                <w:b/>
                <w:sz w:val="20"/>
              </w:rPr>
              <w:t>Authoritative refs</w:t>
            </w:r>
          </w:p>
        </w:tc>
        <w:tc>
          <w:tcPr>
            <w:tcW w:type="dxa" w:w="4873"/>
          </w:tcPr>
          <w:p>
            <w:r/>
            <w:r>
              <w:rPr>
                <w:sz w:val="20"/>
              </w:rPr>
              <w:t>ASC 606-10-15-2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List the principal scope exceptions to ASC 606 and explain why each is excluded.</w:t>
      </w:r>
    </w:p>
    <w:p>
      <w:pPr>
        <w:pStyle w:val="Heading4"/>
      </w:pPr>
      <w:r>
        <w:rPr>
          <w:color w:val="1F3864"/>
        </w:rPr>
        <w:t>Assistant Answer (gold target)</w:t>
      </w:r>
    </w:p>
    <w:p>
      <w:pPr>
        <w:spacing w:line="312" w:lineRule="auto" w:after="120"/>
      </w:pPr>
      <w:r>
        <w:rPr>
          <w:rFonts w:ascii="Calibri" w:hAnsi="Calibri"/>
          <w:b w:val="0"/>
          <w:i w:val="0"/>
          <w:sz w:val="22"/>
        </w:rPr>
        <w:t>ASC 606-10-15-2 (verify against the Codification) excludes the following from the scope of Topic 606:</w:t>
        <w:br/>
        <w:br/>
        <w:t>1. **Leases** — governed by ASC 842; the lease accounting framework addresses the right-of-use asset and lease liability separately.</w:t>
        <w:br/>
        <w:t>2. **Insurance contracts** — governed by ASC 944; insurance has unique measurement features (e.g., future policy benefit reserves).</w:t>
        <w:br/>
        <w:t>3. **Financial instruments and certain other contractual rights or obligations** — governed by ASC 480, 815, and others; these are not 'goods or services' delivered to a customer.</w:t>
        <w:br/>
        <w:t>4. **Guarantees** — except product or service warranties that provide an assurance that the goods/services comply with specifications; other guarantees are within ASC 460.</w:t>
        <w:br/>
        <w:t>5. **Monetization of nonmonetary assets by co-owners in shared arrangements** — addresses specific shared-asset scenarios.</w:t>
        <w:br/>
        <w:t>6. **Nonmonetary exchanges between entities in the same line of business to facilitate sales to customers** — covered by ASC 845-style guidance as preserved in the scope exception.</w:t>
        <w:br/>
        <w:t>7. **Certain transfers of nonfinancial assets in contracts that are outside an entity's ordinary activities** — governed by ASC 610-20 (or other relevant guidance).</w:t>
        <w:br/>
        <w:br/>
        <w:t>The unifying rationale is that these transactions either lack the 'customer-contract' substance that ASC 606 assumes, or are addressed by specialized guidance whose measurement model differs from the five-step transfer-of-control model. Always perform the scope analysis BEFORE applying the five steps.</w:t>
      </w:r>
    </w:p>
    <w:p>
      <w:pPr>
        <w:pStyle w:val="Heading3"/>
      </w:pPr>
      <w:r>
        <w:rPr>
          <w:color w:val="1F3864"/>
        </w:rPr>
        <w:t>M1-F-0003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scope, exceptions, leases, insurance</w:t>
            </w:r>
          </w:p>
        </w:tc>
      </w:tr>
      <w:tr>
        <w:tc>
          <w:tcPr>
            <w:tcW w:type="dxa" w:w="4873"/>
          </w:tcPr>
          <w:p>
            <w:r/>
            <w:r>
              <w:rPr>
                <w:b/>
                <w:sz w:val="20"/>
              </w:rPr>
              <w:t>Required skills</w:t>
            </w:r>
          </w:p>
        </w:tc>
        <w:tc>
          <w:tcPr>
            <w:tcW w:type="dxa" w:w="4873"/>
          </w:tcPr>
          <w:p>
            <w:r/>
            <w:r>
              <w:rPr>
                <w:sz w:val="20"/>
              </w:rPr>
              <w:t>scope_analysis, framework_recall</w:t>
            </w:r>
          </w:p>
        </w:tc>
      </w:tr>
      <w:tr>
        <w:tc>
          <w:tcPr>
            <w:tcW w:type="dxa" w:w="4873"/>
          </w:tcPr>
          <w:p>
            <w:r/>
            <w:r>
              <w:rPr>
                <w:b/>
                <w:sz w:val="20"/>
              </w:rPr>
              <w:t>Authoritative refs</w:t>
            </w:r>
          </w:p>
        </w:tc>
        <w:tc>
          <w:tcPr>
            <w:tcW w:type="dxa" w:w="4873"/>
          </w:tcPr>
          <w:p>
            <w:r/>
            <w:r>
              <w:rPr>
                <w:sz w:val="20"/>
              </w:rPr>
              <w:t>ASC 606-10-15-2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Summarize the scope exceptions to ASC 606. For each, name the standard that applies instead.</w:t>
      </w:r>
    </w:p>
    <w:p>
      <w:pPr>
        <w:pStyle w:val="Heading4"/>
      </w:pPr>
      <w:r>
        <w:rPr>
          <w:color w:val="1F3864"/>
        </w:rPr>
        <w:t>Assistant Answer (gold target)</w:t>
      </w:r>
    </w:p>
    <w:p>
      <w:pPr>
        <w:spacing w:line="312" w:lineRule="auto" w:after="120"/>
      </w:pPr>
      <w:r>
        <w:rPr>
          <w:rFonts w:ascii="Calibri" w:hAnsi="Calibri"/>
          <w:b w:val="0"/>
          <w:i w:val="0"/>
          <w:sz w:val="22"/>
        </w:rPr>
        <w:t>ASC 606-10-15-2 (verify against the Codification) lists the scope exceptions. The following arrangements are NOT within the scope of ASC 606:</w:t>
        <w:br/>
        <w:br/>
        <w:t>1. **Leases** (within scope of ASC 842) — a lessor accounts for lease payments under ASC 842, not ASC 606. A lessee accounts for the right-of-use asset and lease liability under ASC 842.</w:t>
        <w:br/>
        <w:t>2. **Insurance contracts** (within scope of ASC 944) — premiums, claims, and policyholder benefits follow specialized insurance accounting.</w:t>
        <w:br/>
        <w:t>3. **Financial instruments and certain other contractual rights or obligations** (within scope of ASC 480, ASC 815, or other relevant guidance) — derivatives, equity-linked instruments, and certain guarantee contracts are excluded.</w:t>
        <w:br/>
        <w:t>4. **Guarantees** (within scope of ASC 460) — except product or service warranties that provide an assurance that the related product or service will function as specified; the warranty-type guarantees within ASC 606 are accounted for under ASC 606.</w:t>
        <w:br/>
        <w:t>5. **Monetization of nonmonetary assets by co-owners in shared arrangements** (within scope of ASC 610-20 or ASC 980-605, as applicable).</w:t>
        <w:br/>
        <w:t>6. **Nonmonetary exchanges between entities in the same line of business to facilitate sales to customers** (within scope of ASC 845).</w:t>
        <w:br/>
        <w:t>7. **Certain transfers of nonfinancial assets in contracts that are outside an entity's ordinary activities** (within scope of ASC 610-20, e.g., the sale of a subsidiary, sale of a long-lived asset that is not inventory).</w:t>
        <w:br/>
        <w:br/>
        <w:t>Practical implication: an entity must perform a scope analysis at the start of every contract. A contract may contain both ASC 606 elements (e.g., sale of a product with a service warranty) and non-ASC 606 elements (e.g., a financing element that is a separate debt instrument). Accounting separation is required when the elements are not closely related.</w:t>
      </w:r>
    </w:p>
    <w:p>
      <w:pPr>
        <w:pStyle w:val="Heading3"/>
      </w:pPr>
      <w:r>
        <w:rPr>
          <w:color w:val="1F3864"/>
        </w:rPr>
        <w:t>M1-F-0004</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performance_obligation, definition, distinct</w:t>
            </w:r>
          </w:p>
        </w:tc>
      </w:tr>
      <w:tr>
        <w:tc>
          <w:tcPr>
            <w:tcW w:type="dxa" w:w="4873"/>
          </w:tcPr>
          <w:p>
            <w:r/>
            <w:r>
              <w:rPr>
                <w:b/>
                <w:sz w:val="20"/>
              </w:rPr>
              <w:t>Required skills</w:t>
            </w:r>
          </w:p>
        </w:tc>
        <w:tc>
          <w:tcPr>
            <w:tcW w:type="dxa" w:w="4873"/>
          </w:tcPr>
          <w:p>
            <w:r/>
            <w:r>
              <w:rPr>
                <w:sz w:val="20"/>
              </w:rPr>
              <w:t>definition, performance_obligation_analysis</w:t>
            </w:r>
          </w:p>
        </w:tc>
      </w:tr>
      <w:tr>
        <w:tc>
          <w:tcPr>
            <w:tcW w:type="dxa" w:w="4873"/>
          </w:tcPr>
          <w:p>
            <w:r/>
            <w:r>
              <w:rPr>
                <w:b/>
                <w:sz w:val="20"/>
              </w:rPr>
              <w:t>Authoritative refs</w:t>
            </w:r>
          </w:p>
        </w:tc>
        <w:tc>
          <w:tcPr>
            <w:tcW w:type="dxa" w:w="4873"/>
          </w:tcPr>
          <w:p>
            <w:r/>
            <w:r>
              <w:rPr>
                <w:sz w:val="20"/>
              </w:rPr>
              <w:t>ASC 606-10-20, ASC 606-10-25-14</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'performance obligation' under ASC 606. What distinguishes a performance obligation from any promise?</w:t>
      </w:r>
    </w:p>
    <w:p>
      <w:pPr>
        <w:pStyle w:val="Heading4"/>
      </w:pPr>
      <w:r>
        <w:rPr>
          <w:color w:val="1F3864"/>
        </w:rPr>
        <w:t>Assistant Answer (gold target)</w:t>
      </w:r>
    </w:p>
    <w:p>
      <w:pPr>
        <w:spacing w:line="312" w:lineRule="auto" w:after="120"/>
      </w:pPr>
      <w:r>
        <w:rPr>
          <w:rFonts w:ascii="Calibri" w:hAnsi="Calibri"/>
          <w:b w:val="0"/>
          <w:i w:val="0"/>
          <w:sz w:val="22"/>
        </w:rPr>
        <w:t>A **performance obligation** under ASC 606 (ASC 606-10-20; verify against the Codification) is a promise in a contract with a customer to transfer to the customer either:</w:t>
        <w:br/>
        <w:t xml:space="preserve">  (a) a good or service (or a bundle of goods or services) that is distinct; OR</w:t>
        <w:br/>
        <w:t xml:space="preserve">  (b) a series of distinct goods or services that are substantially the same and that have the same pattern of transfer to the customer.</w:t>
        <w:br/>
        <w:br/>
        <w:t>What distinguishes a performance obligation from any promise:</w:t>
        <w:br/>
        <w:br/>
        <w:t>1. **The promise must be in a contract with a customer** — informal offers, marketing statements, or non-contractual announcements are not performance obligations.</w:t>
        <w:br/>
        <w:t>2. **The promised item must be 'distinct' or a 'series of distinct items'** — a promise that is highly interrelated with other promises may not be a separate performance obligation (it is combined with the other promises into a single PO).</w:t>
        <w:br/>
        <w:t>3. **The promise transfers a good or service to the customer** — administrative activities, internal efforts, or setup tasks that do not transfer anything to the customer are generally not separate performance obligations.</w:t>
        <w:br/>
        <w:t>4. **Material rights** — a promise that grants a material right (e.g., a renewal option at a discounted price, a loyalty program reward) is a performance obligation even if it does not transfer a good or service at contract inception.</w:t>
        <w:br/>
        <w:br/>
        <w:t>Common pitfalls:</w:t>
        <w:br/>
        <w:t>- Treating every contract clause as a performance obligation. Only promises to transfer distinct goods/services (or material rights) count.</w:t>
        <w:br/>
        <w:t>- Failing to identify 'series' performance obligations for stand-ready obligations (e.g., unlimited software support for a year).</w:t>
        <w:br/>
        <w:t>- Over-bundling. Each distinct item that meets both distinctness criteria is a separate PO.</w:t>
        <w:br/>
        <w:br/>
        <w:t>The performance obligation identification step is critical because it determines the unit of account for allocation and revenue recognition.</w:t>
      </w:r>
    </w:p>
    <w:p>
      <w:pPr>
        <w:pStyle w:val="Heading3"/>
      </w:pPr>
      <w:r>
        <w:rPr>
          <w:color w:val="1F3864"/>
        </w:rPr>
        <w:t>M1-I-0001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saas, five_step_model, allocation, ratable</w:t>
            </w:r>
          </w:p>
        </w:tc>
      </w:tr>
      <w:tr>
        <w:tc>
          <w:tcPr>
            <w:tcW w:type="dxa" w:w="4873"/>
          </w:tcPr>
          <w:p>
            <w:r/>
            <w:r>
              <w:rPr>
                <w:b/>
                <w:sz w:val="20"/>
              </w:rPr>
              <w:t>Required skills</w:t>
            </w:r>
          </w:p>
        </w:tc>
        <w:tc>
          <w:tcPr>
            <w:tcW w:type="dxa" w:w="4873"/>
          </w:tcPr>
          <w:p>
            <w:r/>
            <w:r>
              <w:rPr>
                <w:sz w:val="20"/>
              </w:rPr>
              <w:t>five_step_application, allocation, journal_mechanics</w:t>
            </w:r>
          </w:p>
        </w:tc>
      </w:tr>
      <w:tr>
        <w:tc>
          <w:tcPr>
            <w:tcW w:type="dxa" w:w="4873"/>
          </w:tcPr>
          <w:p>
            <w:r/>
            <w:r>
              <w:rPr>
                <w:b/>
                <w:sz w:val="20"/>
              </w:rPr>
              <w:t>Authoritative refs</w:t>
            </w:r>
          </w:p>
        </w:tc>
        <w:tc>
          <w:tcPr>
            <w:tcW w:type="dxa" w:w="4873"/>
          </w:tcPr>
          <w:p>
            <w:r/>
            <w:r>
              <w:rPr>
                <w:sz w:val="20"/>
              </w:rPr>
              <w:t>ASC 606-10-25-1, ASC 606-10-25-14, ASC 606-10-32-2, ASC 606-10-32-28</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Walk through the five-step model applied to a SaaS contract: $50,000 for one year of access to a hosted application, plus $5,000 of one-time onboarding services tailored to the customer's configuration.</w:t>
      </w:r>
    </w:p>
    <w:p>
      <w:pPr>
        <w:pStyle w:val="Heading4"/>
      </w:pPr>
      <w:r>
        <w:rPr>
          <w:color w:val="1F3864"/>
        </w:rPr>
        <w:t>Assistant Answer (gold target)</w:t>
      </w:r>
    </w:p>
    <w:p>
      <w:pPr>
        <w:spacing w:line="312" w:lineRule="auto" w:after="120"/>
      </w:pPr>
      <w:r>
        <w:rPr>
          <w:rFonts w:ascii="Calibri" w:hAnsi="Calibri"/>
          <w:b w:val="0"/>
          <w:i w:val="0"/>
          <w:sz w:val="22"/>
        </w:rPr>
        <w:t>**Step 1 — Identify the contract** (ASC 606-10-25-1, verify). The SaaS master agreement plus the signed order form constitutes the contract. Approval is evidenced by signatures; rights (access to the hosted application and onboarding services) and payment terms ($50,000 + $5,000) are identifiable; commercial substance is present; collectibility is probable based on standard credit checks.</w:t>
        <w:br/>
        <w:br/>
        <w:t>**Step 2 — Identify performance obligations** (ASC 606-10-25-14). Two distinct promises:</w:t>
        <w:br/>
        <w:t xml:space="preserve">  (a) One year of access to the hosted application — a stand-ready obligation satisfied over time.</w:t>
        <w:br/>
        <w:t xml:space="preserve">  (b) One-time onboarding services tailored to the customer.</w:t>
        <w:br/>
        <w:t xml:space="preserve">  The onboarding is distinct if the customer can benefit from the SaaS access separately (it can) and the onboarding is not highly interrelated with the SaaS (configuration tailors the application but does not fundamentally modify the underlying service). Conclusion: two POs.</w:t>
        <w:br/>
        <w:br/>
        <w:t>**Step 3 — Determine the transaction price** (ASC 606-10-32-2). Fixed consideration $50,000 + $5,000 = $55,000. No variable consideration, no financing component (assuming 12-month prepayment falls within the practical expedient), no noncash consideration, no consideration payable to customer. Transaction price = $55,000.</w:t>
        <w:br/>
        <w:br/>
        <w:t>**Step 4 — Allocate the transaction price** (ASC 606-10-32-28). Use relative SSPs. Observable SSPs:</w:t>
        <w:br/>
        <w:t xml:space="preserve">  - SaaS access: $50,000 (if sold separately at this price).</w:t>
        <w:br/>
        <w:t xml:space="preserve">  - Onboarding: $5,000 (if sold separately at this price).</w:t>
        <w:br/>
        <w:t xml:space="preserve">  Total SSP = $55,000. Allocation:</w:t>
        <w:br/>
        <w:t xml:space="preserve">  - SaaS: $50,000 / $55,000 × $55,000 = $50,000.</w:t>
        <w:br/>
        <w:t xml:space="preserve">  - Onboarding: $5,000 / $55,000 × $55,000 = $5,000.</w:t>
        <w:br/>
        <w:br/>
        <w:t>**Step 5 — Recognize revenue** (ASC 606-10-25-23).</w:t>
        <w:br/>
        <w:t xml:space="preserve">  - Onboarding: recognize when the onboarding service is performed and accepted (likely over a short period at contract start, using a measure of progress appropriate to the work).</w:t>
        <w:br/>
        <w:t xml:space="preserve">  - SaaS access: recognize ratably over the 12-month service period (stand-ready obligation with even transfer of benefits).</w:t>
        <w:br/>
        <w:br/>
        <w:t>Journal entries (Day 1, full prepayment):</w:t>
        <w:br/>
        <w:t xml:space="preserve">  Dr Cash                       55,000</w:t>
        <w:br/>
        <w:t xml:space="preserve">  Cr Contract Liability                55,000</w:t>
        <w:br/>
        <w:br/>
        <w:t>Month 1 (assuming onboarding completed in Month 1):</w:t>
        <w:br/>
        <w:t xml:space="preserve">  Dr Contract Liability           5,000  (onboarding)</w:t>
        <w:br/>
        <w:t xml:space="preserve">  Dr Contract Liability           4,167  (1/12 of SaaS)</w:t>
        <w:br/>
        <w:t xml:space="preserve">  Cr Revenue                            9,167</w:t>
        <w:br/>
        <w:br/>
        <w:t>Months 2-12:</w:t>
        <w:br/>
        <w:t xml:space="preserve">  Dr Contract Liability           4,167</w:t>
        <w:br/>
        <w:t xml:space="preserve">  Cr Revenue                            4,167</w:t>
        <w:br/>
        <w:br/>
        <w:t>By end of Month 12, contract liability is $0; total revenue recognized is $55,000. Verify ASC 606-10-25-14, ASC 606-10-32-2, and ASC 606-10-32-28 against the licensed Codification.</w:t>
      </w:r>
    </w:p>
    <w:p>
      <w:pPr>
        <w:pStyle w:val="Heading3"/>
      </w:pPr>
      <w:r>
        <w:rPr>
          <w:color w:val="1F3864"/>
        </w:rPr>
        <w:t>M1-A-0001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critique</w:t>
            </w:r>
          </w:p>
        </w:tc>
      </w:tr>
      <w:tr>
        <w:tc>
          <w:tcPr>
            <w:tcW w:type="dxa" w:w="4873"/>
          </w:tcPr>
          <w:p>
            <w:r/>
            <w:r>
              <w:rPr>
                <w:b/>
                <w:sz w:val="20"/>
              </w:rPr>
              <w:t>Topic tags</w:t>
            </w:r>
          </w:p>
        </w:tc>
        <w:tc>
          <w:tcPr>
            <w:tcW w:type="dxa" w:w="4873"/>
          </w:tcPr>
          <w:p>
            <w:r/>
            <w:r>
              <w:rPr>
                <w:sz w:val="20"/>
              </w:rPr>
              <w:t>bundled, performance_obligation, license, warranty</w:t>
            </w:r>
          </w:p>
        </w:tc>
      </w:tr>
      <w:tr>
        <w:tc>
          <w:tcPr>
            <w:tcW w:type="dxa" w:w="4873"/>
          </w:tcPr>
          <w:p>
            <w:r/>
            <w:r>
              <w:rPr>
                <w:b/>
                <w:sz w:val="20"/>
              </w:rPr>
              <w:t>Required skills</w:t>
            </w:r>
          </w:p>
        </w:tc>
        <w:tc>
          <w:tcPr>
            <w:tcW w:type="dxa" w:w="4873"/>
          </w:tcPr>
          <w:p>
            <w:r/>
            <w:r>
              <w:rPr>
                <w:sz w:val="20"/>
              </w:rPr>
              <w:t>performance_obligation_analysis, skepticism</w:t>
            </w:r>
          </w:p>
        </w:tc>
      </w:tr>
      <w:tr>
        <w:tc>
          <w:tcPr>
            <w:tcW w:type="dxa" w:w="4873"/>
          </w:tcPr>
          <w:p>
            <w:r/>
            <w:r>
              <w:rPr>
                <w:b/>
                <w:sz w:val="20"/>
              </w:rPr>
              <w:t>Authoritative refs</w:t>
            </w:r>
          </w:p>
        </w:tc>
        <w:tc>
          <w:tcPr>
            <w:tcW w:type="dxa" w:w="4873"/>
          </w:tcPr>
          <w:p>
            <w:r/>
            <w:r>
              <w:rPr>
                <w:sz w:val="20"/>
              </w:rPr>
              <w:t>ASC 606-10-25-14, ASC 606-10-55-29, ASC 606-10-55-65</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An entity enters a contract that bundles a software license, SaaS access, professional services, and a warranty. Management asserts that 'one contract means one performance obligation'. Critique this assertion.</w:t>
      </w:r>
    </w:p>
    <w:p>
      <w:pPr>
        <w:pStyle w:val="Heading4"/>
      </w:pPr>
      <w:r>
        <w:rPr>
          <w:color w:val="1F3864"/>
        </w:rPr>
        <w:t>Assistant Answer (gold target)</w:t>
      </w:r>
    </w:p>
    <w:p>
      <w:pPr>
        <w:spacing w:line="312" w:lineRule="auto" w:after="120"/>
      </w:pPr>
      <w:r>
        <w:rPr>
          <w:rFonts w:ascii="Calibri" w:hAnsi="Calibri"/>
          <w:b w:val="0"/>
          <w:i w:val="0"/>
          <w:sz w:val="22"/>
        </w:rPr>
        <w:t>The assertion is incorrect. ASC 606 requires performance obligation identification at the level of distinct promises, not at the level of contracts. A single contract can contain multiple performance obligations.</w:t>
        <w:br/>
        <w:br/>
        <w:t>**ASC 606-10-25-14** (verify): an entity identifies performance obligations by evaluating all promises in the contract. Each promise to transfer a distinct good or service is a separate PO.</w:t>
        <w:br/>
        <w:br/>
        <w:t>Evaluation of the bundled arrangement:</w:t>
        <w:br/>
        <w:br/>
        <w:t>1. **Software license**: distinct PO if the license grants a right to use IP as it exists at a point in time and is separable from the SaaS access. If the license provides a right to access IP throughout the period (e.g., a hosted SaaS model with continuous updates), the license may be a right-to-access PO recognized over time. Many SaaS arrangements actually contain a service PO, not a license PO.</w:t>
        <w:br/>
        <w:br/>
        <w:t>2. **SaaS access**: distinct PO if separately beneficial. Usually a stand-ready obligation recognized ratably.</w:t>
        <w:br/>
        <w:br/>
        <w:t>3. **Professional services**: distinct PO if not highly interrelated with the SaaS. Custom configuration may be distinct if it does not significantly modify the SaaS. Heavy customization may combine with the SaaS into one PO.</w:t>
        <w:br/>
        <w:br/>
        <w:t>4. **Warranty**: must be evaluated as either:</w:t>
        <w:br/>
        <w:t xml:space="preserve">  (a) **Assurance-type warranty** (provides assurance the product complies with specifications) — not a separate PO; accounted for under ASC 460 as a guarantee.</w:t>
        <w:br/>
        <w:t xml:space="preserve">  (b) **Service-type warranty** (provides a service in addition to assurance the product complies) — separate PO recognized over the warranty period.</w:t>
        <w:br/>
        <w:br/>
        <w:t>**Errors in the management assertion**:</w:t>
        <w:br/>
        <w:t>- The 'one contract = one PO' rule does not exist in ASC 606. Contracts bundle multiple promises precisely because customers want integrated solutions, but bundling does not collapse accounting units.</w:t>
        <w:br/>
        <w:t>- The licensing-specific guidance (ASC 606-10-55-65 through 55-65B, verify) requires distinguishing right-to-use from right-to-access licenses. The SaaS license may not be a license at all in accounting terms.</w:t>
        <w:br/>
        <w:t>- The warranty guidance (ASC 606-10-55-29 through 55-32, verify) requires classification before revenue recognition decisions.</w:t>
        <w:br/>
        <w:br/>
        <w:t>Conclusion: management should identify each distinct promise (license, SaaS access, professional services, service-type warranty if applicable) and account for each as a separate PO. Bundling for commercial reasons does not collapse accounting units.</w:t>
      </w:r>
    </w:p>
    <w:p>
      <w:pPr>
        <w:pStyle w:val="Heading3"/>
      </w:pPr>
      <w:r>
        <w:rPr>
          <w:color w:val="1F3864"/>
        </w:rPr>
        <w:t>M1-R-0002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w:t>
            </w:r>
          </w:p>
        </w:tc>
      </w:tr>
      <w:tr>
        <w:tc>
          <w:tcPr>
            <w:tcW w:type="dxa" w:w="4873"/>
          </w:tcPr>
          <w:p>
            <w:r/>
            <w:r>
              <w:rPr>
                <w:b/>
                <w:sz w:val="20"/>
              </w:rPr>
              <w:t>Difficulty</w:t>
            </w:r>
          </w:p>
        </w:tc>
        <w:tc>
          <w:tcPr>
            <w:tcW w:type="dxa" w:w="4873"/>
          </w:tcPr>
          <w:p>
            <w:r/>
            <w:r>
              <w:rPr>
                <w:sz w:val="20"/>
              </w:rPr>
              <w:t>research</w:t>
            </w:r>
          </w:p>
        </w:tc>
      </w:tr>
      <w:tr>
        <w:tc>
          <w:tcPr>
            <w:tcW w:type="dxa" w:w="4873"/>
          </w:tcPr>
          <w:p>
            <w:r/>
            <w:r>
              <w:rPr>
                <w:b/>
                <w:sz w:val="20"/>
              </w:rPr>
              <w:t>Task type</w:t>
            </w:r>
          </w:p>
        </w:tc>
        <w:tc>
          <w:tcPr>
            <w:tcW w:type="dxa" w:w="4873"/>
          </w:tcPr>
          <w:p>
            <w:r/>
            <w:r>
              <w:rPr>
                <w:sz w:val="20"/>
              </w:rPr>
              <w:t>research</w:t>
            </w:r>
          </w:p>
        </w:tc>
      </w:tr>
      <w:tr>
        <w:tc>
          <w:tcPr>
            <w:tcW w:type="dxa" w:w="4873"/>
          </w:tcPr>
          <w:p>
            <w:r/>
            <w:r>
              <w:rPr>
                <w:b/>
                <w:sz w:val="20"/>
              </w:rPr>
              <w:t>Topic tags</w:t>
            </w:r>
          </w:p>
        </w:tc>
        <w:tc>
          <w:tcPr>
            <w:tcW w:type="dxa" w:w="4873"/>
          </w:tcPr>
          <w:p>
            <w:r/>
            <w:r>
              <w:rPr>
                <w:sz w:val="20"/>
              </w:rPr>
              <w:t>control, core_principle, research, conceptual</w:t>
            </w:r>
          </w:p>
        </w:tc>
      </w:tr>
      <w:tr>
        <w:tc>
          <w:tcPr>
            <w:tcW w:type="dxa" w:w="4873"/>
          </w:tcPr>
          <w:p>
            <w:r/>
            <w:r>
              <w:rPr>
                <w:b/>
                <w:sz w:val="20"/>
              </w:rPr>
              <w:t>Required skills</w:t>
            </w:r>
          </w:p>
        </w:tc>
        <w:tc>
          <w:tcPr>
            <w:tcW w:type="dxa" w:w="4873"/>
          </w:tcPr>
          <w:p>
            <w:r/>
            <w:r>
              <w:rPr>
                <w:sz w:val="20"/>
              </w:rPr>
              <w:t>research_methodology, conceptual_analysis</w:t>
            </w:r>
          </w:p>
        </w:tc>
      </w:tr>
      <w:tr>
        <w:tc>
          <w:tcPr>
            <w:tcW w:type="dxa" w:w="4873"/>
          </w:tcPr>
          <w:p>
            <w:r/>
            <w:r>
              <w:rPr>
                <w:b/>
                <w:sz w:val="20"/>
              </w:rPr>
              <w:t>Authoritative refs</w:t>
            </w:r>
          </w:p>
        </w:tc>
        <w:tc>
          <w:tcPr>
            <w:tcW w:type="dxa" w:w="4873"/>
          </w:tcPr>
          <w:p>
            <w:r/>
            <w:r>
              <w:rPr>
                <w:sz w:val="20"/>
              </w:rPr>
              <w:t>ASC 606-10-10-2, ASC 606-10-25-27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research-level accounting analyst. Distinguish authoritative accounting requirements, conceptual arguments, empirical evidence, and normative recommendations. Do not invent studies, datasets, or quotations.</w:t>
      </w:r>
    </w:p>
    <w:p>
      <w:pPr>
        <w:pStyle w:val="Heading4"/>
      </w:pPr>
      <w:r>
        <w:rPr>
          <w:color w:val="1F3864"/>
        </w:rPr>
        <w:t>User Prompt</w:t>
      </w:r>
    </w:p>
    <w:p>
      <w:pPr>
        <w:spacing w:line="312" w:lineRule="auto" w:after="120"/>
      </w:pPr>
      <w:r>
        <w:rPr>
          <w:rFonts w:ascii="Calibri" w:hAnsi="Calibri"/>
          <w:b w:val="0"/>
          <w:i w:val="0"/>
          <w:sz w:val="22"/>
        </w:rPr>
        <w:t>Critically evaluate the 'transfer of control' core principle of ASC 606. What are its strengths and conceptual weaknesses as a unifying principle for revenue recognition?</w:t>
      </w:r>
    </w:p>
    <w:p>
      <w:pPr>
        <w:pStyle w:val="Heading4"/>
      </w:pPr>
      <w:r>
        <w:rPr>
          <w:color w:val="1F3864"/>
        </w:rPr>
        <w:t>Assistant Answer (gold target)</w:t>
      </w:r>
    </w:p>
    <w:p>
      <w:pPr>
        <w:spacing w:line="312" w:lineRule="auto" w:after="120"/>
      </w:pPr>
      <w:r>
        <w:rPr>
          <w:rFonts w:ascii="Calibri" w:hAnsi="Calibri"/>
          <w:b w:val="0"/>
          <w:i w:val="0"/>
          <w:sz w:val="22"/>
        </w:rPr>
        <w:t>The ASC 606 core principle is that an entity recognizes revenue to depict the transfer of promised goods or services to customers in an amount that reflects the consideration to which the entity expects to be entitled. (ASC 606-10-10-2, verify.)</w:t>
        <w:br/>
        <w:br/>
        <w:t>**Strengths**:</w:t>
        <w:br/>
        <w:br/>
        <w:t>1. **Single unifying principle**. Control provides one conceptual organizing principle across diverse industries (goods, services, IP licensing, construction, SaaS), replacing the patchwork of industry-specific rules under legacy guidance (ASC 605).</w:t>
        <w:br/>
        <w:t>2. **Asset-liability framing**. The control model frames revenue as the consequence of extinguishing or transferring an asset (a performance obligation); this is consistent with the balance-sheet-oriented conceptual framework.</w:t>
        <w:br/>
        <w:t>3. **Operational observability**. Control is observable through concrete indicators (title, possession, right to payment, risks/rewards, acceptance). Practitioners can apply the model without recourse to the more abstract 'earnings process' concept.</w:t>
        <w:br/>
        <w:t>4. **Cross-standard convergence**. ASC 606 and IFRS 15 share the control model, facilitating cross-jurisdictional comparability.</w:t>
        <w:br/>
        <w:t>5. **Customer perspective**. The model asks 'when does the customer obtain the asset?' rather than 'when does the entity earn?'. This aligns recognition with economic substance.</w:t>
        <w:br/>
        <w:br/>
        <w:t>**Conceptual weaknesses**:</w:t>
        <w:br/>
        <w:br/>
        <w:t>1. **Awkwardness for services**. Control of a service is conceptually awkward because the customer cannot hold or resell a service. The over-time criteria (simultaneous receive-and-consume, customer-controlled asset, no alternative use + right to payment) address this, but the criteria can be difficult to apply.</w:t>
        <w:br/>
        <w:t>2. **Contract law dependence**. The 'no alternative use + enforceable right to payment' over-time criterion imports contract law into recognition. Economically similar arrangements can be accounted for differently based on whether the contract provides for interim payment rights.</w:t>
        <w:br/>
        <w:t>3. **Discontinuity between point-in-time and over-time**. The two recognition patterns can produce materially different timing for economically similar performance. A custom manufacturer meeting criterion (iii) recognizes over time; one missing it recognizes at completion — even if both create economically similar assets.</w:t>
        <w:br/>
        <w:t>4. **Difficulty observing 'control' for intellectual property**. License accounting distinguishes right-to-use (point in time) from right-to-access (over time) based on whether the entity's activities affect the IP's utility. The distinction can be subtle and judgment-heavy.</w:t>
        <w:br/>
        <w:t>5. **Decoupling from earnings process**. The control model can recognize revenue before the entity has performed most of its work (e.g., nonrefundable upfront fees for non-distinct activities are allocated to other POs and recognized with them). Critics argue this can overstate performance in early periods.</w:t>
        <w:br/>
        <w:t>6. **Variable consideration tension**. The constraint introduces conservatism that may understate the entity's expected entitlement — a tension with the 'amount to which the entity expects to be entitled' language.</w:t>
        <w:br/>
        <w:t>7. **Principal-agent interaction**. The control test for principal vs. agent can produce results that diverge from commercial substance (e.g., a marketplace that takes economic risk but lacks formal control may be required to report net).</w:t>
        <w:br/>
        <w:br/>
        <w:t>**Empirical research questions** (proposed, not asserted):</w:t>
        <w:br/>
        <w:t>- Has the control model shifted revenue timing materially for specific industries relative to legacy guidance?</w:t>
        <w:br/>
        <w:t>- Are over-time vs. point-in-time outcomes correlated with earnings volatility or with earnings management?</w:t>
        <w:br/>
        <w:t>- Does the constraint reduce or increase earnings quality?</w:t>
        <w:br/>
        <w:br/>
        <w:t>This is a research-level assessment. Authoritative requirements are what they are; conceptual criticisms inform future standard-setting, not application of the current standard.</w:t>
      </w:r>
    </w:p>
    <w:p>
      <w:pPr>
        <w:pStyle w:val="Heading2"/>
      </w:pPr>
      <w:r>
        <w:rPr>
          <w:color w:val="1F3864"/>
        </w:rPr>
        <w:t>5.3 M10 — Expert Memos, Audit &amp; Research Cases</w:t>
      </w:r>
    </w:p>
    <w:p>
      <w:pPr>
        <w:spacing w:line="312" w:lineRule="auto" w:after="120"/>
      </w:pPr>
      <w:r>
        <w:rPr>
          <w:rFonts w:ascii="Calibri" w:hAnsi="Calibri"/>
          <w:b w:val="0"/>
          <w:i w:val="0"/>
          <w:sz w:val="22"/>
        </w:rPr>
        <w:t>This module contains 6 curated training template(s) at the following difficulty levels: expert, research.</w:t>
      </w:r>
    </w:p>
    <w:p>
      <w:pPr>
        <w:pStyle w:val="Heading3"/>
      </w:pPr>
      <w:r>
        <w:rPr>
          <w:color w:val="1F3864"/>
        </w:rPr>
        <w:t>M10-E-0001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M10</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memo</w:t>
            </w:r>
          </w:p>
        </w:tc>
      </w:tr>
      <w:tr>
        <w:tc>
          <w:tcPr>
            <w:tcW w:type="dxa" w:w="4873"/>
          </w:tcPr>
          <w:p>
            <w:r/>
            <w:r>
              <w:rPr>
                <w:b/>
                <w:sz w:val="20"/>
              </w:rPr>
              <w:t>Topic tags</w:t>
            </w:r>
          </w:p>
        </w:tc>
        <w:tc>
          <w:tcPr>
            <w:tcW w:type="dxa" w:w="4873"/>
          </w:tcPr>
          <w:p>
            <w:r/>
            <w:r>
              <w:rPr>
                <w:sz w:val="20"/>
              </w:rPr>
              <w:t>memo, bundled_arrangement, variable_consideration, financing</w:t>
            </w:r>
          </w:p>
        </w:tc>
      </w:tr>
      <w:tr>
        <w:tc>
          <w:tcPr>
            <w:tcW w:type="dxa" w:w="4873"/>
          </w:tcPr>
          <w:p>
            <w:r/>
            <w:r>
              <w:rPr>
                <w:b/>
                <w:sz w:val="20"/>
              </w:rPr>
              <w:t>Required skills</w:t>
            </w:r>
          </w:p>
        </w:tc>
        <w:tc>
          <w:tcPr>
            <w:tcW w:type="dxa" w:w="4873"/>
          </w:tcPr>
          <w:p>
            <w:r/>
            <w:r>
              <w:rPr>
                <w:sz w:val="20"/>
              </w:rPr>
              <w:t>memo_writing, issue_by_issue, judgment</w:t>
            </w:r>
          </w:p>
        </w:tc>
      </w:tr>
      <w:tr>
        <w:tc>
          <w:tcPr>
            <w:tcW w:type="dxa" w:w="4873"/>
          </w:tcPr>
          <w:p>
            <w:r/>
            <w:r>
              <w:rPr>
                <w:b/>
                <w:sz w:val="20"/>
              </w:rPr>
              <w:t>Authoritative refs</w:t>
            </w:r>
          </w:p>
        </w:tc>
        <w:tc>
          <w:tcPr>
            <w:tcW w:type="dxa" w:w="4873"/>
          </w:tcPr>
          <w:p>
            <w:r/>
            <w:r>
              <w:rPr>
                <w:sz w:val="20"/>
              </w:rPr>
              <w:t>ASC 606-10-25-14, ASC 606-10-32-2, ASC 606-10-32-28, 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Draft a technical accounting memo for a public US company selling customized hardware, installation, cloud hosting, and ongoing support under a single master agreement, with volume discounts, an annual rebate, a customer cancellation right, and a significant upfront payment.</w:t>
      </w:r>
    </w:p>
    <w:p>
      <w:pPr>
        <w:pStyle w:val="Heading4"/>
      </w:pPr>
      <w:r>
        <w:rPr>
          <w:color w:val="1F3864"/>
        </w:rPr>
        <w:t>Assistant Answer (gold target)</w:t>
      </w:r>
    </w:p>
    <w:p>
      <w:pPr>
        <w:spacing w:line="312" w:lineRule="auto" w:after="120"/>
      </w:pPr>
      <w:r>
        <w:rPr>
          <w:rFonts w:ascii="Calibri" w:hAnsi="Calibri"/>
          <w:b w:val="0"/>
          <w:i w:val="0"/>
          <w:sz w:val="22"/>
        </w:rPr>
        <w:t>MEMORANDUM — Revenue Recognition Analysis (Master Services Agreement)</w:t>
        <w:br/>
        <w:br/>
        <w:t>1. ISSUE: How should the Master Agreement be accounted for under ASC 606?</w:t>
        <w:br/>
        <w:br/>
        <w:t>2. AUTHORITATIVE GUIDANCE: ASC 606 (Topic 606), ASC 340-40 (contract costs), ASC 470-50 (debt vs. equity considerations if any), ASC 326 (credit losses on receivables). Verify all paragraph references against the licensed Codification.</w:t>
        <w:br/>
        <w:br/>
        <w:t>3. FACTS:</w:t>
        <w:br/>
        <w:t xml:space="preserve">   • Promised goods/services: customized hardware, installation, cloud hosting, ongoing support.</w:t>
        <w:br/>
        <w:t xml:space="preserve">   • Pricing: list prices subject to volume discounts; annual rebate based on cumulative spend.</w:t>
        <w:br/>
        <w:t xml:space="preserve">   • Customer cancellation right: customer may cancel after 12 months with 30 days' notice; prepayment is nonrefundable after cancellation right lapses.</w:t>
        <w:br/>
        <w:t xml:space="preserve">   • Significant upfront payment: customer pays 12 months of hosting and support fees on Day 1.</w:t>
        <w:br/>
        <w:br/>
        <w:t>4. ISSUE 4.1 — SCOPE (ASC 606-10-15-2, verify)</w:t>
        <w:br/>
        <w:t xml:space="preserve">   No scope exception identified. Apply the five-step model.</w:t>
        <w:br/>
        <w:br/>
        <w:t>5. ISSUE 4.2 — CONTRACT IDENTIFICATION (ASC 606-10-25-1)</w:t>
        <w:br/>
        <w:t xml:space="preserve">   Master Agreement + each SOW constitutes the contract if all five criteria are met. The cancellation right does not defeat contract identification — it is a termination clause. Collectibility must be assessed per customer.</w:t>
        <w:br/>
        <w:br/>
        <w:t>6. ISSUE 4.3 — PERFORMANCE OBLIGATIONS (ASC 606-10-25-14 through 25-22)</w:t>
        <w:br/>
        <w:t xml:space="preserve">   • Hardware: distinct (customer benefits standalone; promise is separately identifiable).</w:t>
        <w:br/>
        <w:t xml:space="preserve">   • Installation: distinct ONLY if installation does not significantly customize the hardware. If installation involves significant customization, combine with hardware into one PO.</w:t>
        <w:br/>
        <w:t xml:space="preserve">   • Cloud hosting: distinct stand-ready obligation.</w:t>
        <w:br/>
        <w:t xml:space="preserve">   • Support: distinct stand-ready obligation. Assess whether support is a separate PO or a warranty (assurance vs. service warranty analysis under ASC 606-10-55).</w:t>
        <w:br/>
        <w:br/>
        <w:t>7. ISSUE 4.4 — TRANSACTION PRICE (ASC 606-10-32-2 et seq.)</w:t>
        <w:br/>
        <w:t xml:space="preserve">   • Fixed: list prices × volumes per SOW.</w:t>
        <w:br/>
        <w:t xml:space="preserve">   • Variable: volume discounts and annual rebate. Estimate using expected-value method; apply the constraint.</w:t>
        <w:br/>
        <w:t xml:space="preserve">   • Consideration payable to customer: assess whether the rebate is a reduction of transaction price or a separate payment.</w:t>
        <w:br/>
        <w:t xml:space="preserve">   • Significant financing component: 12-month prepayment may fall within the one-year practical expedient — document the conclusion.</w:t>
        <w:br/>
        <w:br/>
        <w:t>8. ISSUE 4.5 — ALLOCATION (ASC 606-10-32-28 et seq.)</w:t>
        <w:br/>
        <w:t xml:space="preserve">   Allocate the transaction price (after variable-consideration constraint) to each PO using relative SSPs. Volume discounts: generally allocate pro-rata unless the discount relates to one or more specific POs.</w:t>
        <w:br/>
        <w:br/>
        <w:t>9. ISSUE 4.6 — RECOGNITION TIMING (ASC 606-10-25-23 through 25-30)</w:t>
        <w:br/>
        <w:t xml:space="preserve">   • Hardware + installation: point in time (delivery/acceptance) unless installation is over time.</w:t>
        <w:br/>
        <w:t xml:space="preserve">   • Cloud hosting: over time (stand-ready obligation).</w:t>
        <w:br/>
        <w:t xml:space="preserve">   • Support: over time.</w:t>
        <w:br/>
        <w:t xml:space="preserve">   • Upfront payment: contract liability; release over time as hosting/support are provided.</w:t>
        <w:br/>
        <w:br/>
        <w:t>10. ISSUE 4.7 — DISCLOSURES (ASC 606-10-50)</w:t>
        <w:br/>
        <w:t xml:space="preserve">    Disaggregation of revenue, contract balances, remaining performance obligations, significant judgments (variable consideration, SSP, recognition timing), and policy choices (practical expedients).</w:t>
        <w:br/>
        <w:br/>
        <w:t>11. CONTRARY ARGUMENTS:</w:t>
        <w:br/>
        <w:t xml:space="preserve">    • Treating hardware + installation as a single PO would be defensible if installation significantly modifies the hardware.</w:t>
        <w:br/>
        <w:t xml:space="preserve">    • Treating the rebate as consideration payable to a customer outside the transaction price may be defensible if the rebate is for activities other than obtaining the customer's contract.</w:t>
        <w:br/>
        <w:br/>
        <w:t>12. MISSING EVIDENCE / CONTROLS NEEDED:</w:t>
        <w:br/>
        <w:t xml:space="preserve">    • Signed Master Agreement and SOWs.</w:t>
        <w:br/>
        <w:t xml:space="preserve">    • SSP support for hardware, installation, hosting, support (separately observable prices or estimation method).</w:t>
        <w:br/>
        <w:t xml:space="preserve">    • Historical rebate payout experience.</w:t>
        <w:br/>
        <w:t xml:space="preserve">    • Credit analysis for collectibility.</w:t>
        <w:br/>
        <w:t xml:space="preserve">    • Cancellation accounting policy.</w:t>
        <w:br/>
        <w:t xml:space="preserve">    • Control activities over variable-consideration estimation, contract modification review, and disclosure preparation.</w:t>
        <w:br/>
        <w:br/>
        <w:t>13. CONCLUSION: subject to the assumptions and missing evidence, the proposed accounting is to (a) recognize hardware revenue at delivery or acceptance, (b) installation revenue over time as performed, (c) cloud hosting and support revenue ratably over the service term, (d) record the upfront payment as a contract liability, and (e) estimate and constrain variable consideration (rebate and volume discounts) at inception and reassess each reporting period.</w:t>
        <w:br/>
        <w:br/>
        <w:t>Verify all paragraph references against the licensed FASB Codification before relying on this memo.</w:t>
      </w:r>
    </w:p>
    <w:p>
      <w:pPr>
        <w:pStyle w:val="Heading3"/>
      </w:pPr>
      <w:r>
        <w:rPr>
          <w:color w:val="1F3864"/>
        </w:rPr>
        <w:t>M10-E-0002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M10</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memo</w:t>
            </w:r>
          </w:p>
        </w:tc>
      </w:tr>
      <w:tr>
        <w:tc>
          <w:tcPr>
            <w:tcW w:type="dxa" w:w="4873"/>
          </w:tcPr>
          <w:p>
            <w:r/>
            <w:r>
              <w:rPr>
                <w:b/>
                <w:sz w:val="20"/>
              </w:rPr>
              <w:t>Topic tags</w:t>
            </w:r>
          </w:p>
        </w:tc>
        <w:tc>
          <w:tcPr>
            <w:tcW w:type="dxa" w:w="4873"/>
          </w:tcPr>
          <w:p>
            <w:r/>
            <w:r>
              <w:rPr>
                <w:sz w:val="20"/>
              </w:rPr>
              <w:t>saas, usage_based, variable_consideration</w:t>
            </w:r>
          </w:p>
        </w:tc>
      </w:tr>
      <w:tr>
        <w:tc>
          <w:tcPr>
            <w:tcW w:type="dxa" w:w="4873"/>
          </w:tcPr>
          <w:p>
            <w:r/>
            <w:r>
              <w:rPr>
                <w:b/>
                <w:sz w:val="20"/>
              </w:rPr>
              <w:t>Required skills</w:t>
            </w:r>
          </w:p>
        </w:tc>
        <w:tc>
          <w:tcPr>
            <w:tcW w:type="dxa" w:w="4873"/>
          </w:tcPr>
          <w:p>
            <w:r/>
            <w:r>
              <w:rPr>
                <w:sz w:val="20"/>
              </w:rPr>
              <w:t>memo_writing, variable_consideration_analysis, arithmetic_accuracy</w:t>
            </w:r>
          </w:p>
        </w:tc>
      </w:tr>
      <w:tr>
        <w:tc>
          <w:tcPr>
            <w:tcW w:type="dxa" w:w="4873"/>
          </w:tcPr>
          <w:p>
            <w:r/>
            <w:r>
              <w:rPr>
                <w:b/>
                <w:sz w:val="20"/>
              </w:rPr>
              <w:t>Authoritative refs</w:t>
            </w:r>
          </w:p>
        </w:tc>
        <w:tc>
          <w:tcPr>
            <w:tcW w:type="dxa" w:w="4873"/>
          </w:tcPr>
          <w:p>
            <w:r/>
            <w:r>
              <w:rPr>
                <w:sz w:val="20"/>
              </w:rPr>
              <w:t>ASC 606-10-25-14, ASC 606-10-32-8, ASC 606-10-32-11, ASC 606-10-32-39, 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Draft a memo for a SaaS company with usage-based pricing: customers pay $0.10 per API call, with a monthly minimum $500 and a 12-month commitment. Apply ASC 606.</w:t>
      </w:r>
    </w:p>
    <w:p>
      <w:pPr>
        <w:pStyle w:val="Heading4"/>
      </w:pPr>
      <w:r>
        <w:rPr>
          <w:color w:val="1F3864"/>
        </w:rPr>
        <w:t>Assistant Answer (gold target)</w:t>
      </w:r>
    </w:p>
    <w:p>
      <w:pPr>
        <w:spacing w:line="312" w:lineRule="auto" w:after="120"/>
      </w:pPr>
      <w:r>
        <w:rPr>
          <w:rFonts w:ascii="Calibri" w:hAnsi="Calibri"/>
          <w:b w:val="0"/>
          <w:i w:val="0"/>
          <w:sz w:val="22"/>
        </w:rPr>
        <w:t>MEMORANDUM — SaaS with Usage-Based Pricing</w:t>
        <w:br/>
        <w:br/>
        <w:t>ISSUE: How to apply ASC 606 to a SaaS contract with usage-based pricing and a 12-month minimum.</w:t>
        <w:br/>
        <w:br/>
        <w:t>FACTS:</w:t>
        <w:br/>
        <w:t xml:space="preserve">  - Pricing: $0.10 per API call.</w:t>
        <w:br/>
        <w:t xml:space="preserve">  - Monthly minimum: $500 (i.e., if usage &lt; 5,000 calls per month, customer still pays $500).</w:t>
        <w:br/>
        <w:t xml:space="preserve">  - Commitment: 12 months.</w:t>
        <w:br/>
        <w:t xml:space="preserve">  - Customer typically uses 8,000-12,000 calls per month.</w:t>
        <w:br/>
        <w:t xml:space="preserve">  - Historical: customer averages 10,000 calls/month.</w:t>
        <w:br/>
        <w:br/>
        <w:t>ANALYSIS:</w:t>
        <w:br/>
        <w:br/>
        <w:t>Step 1 — Contract identification: contract is signed, rights and payment terms identifiable, collectibility probable. ✓</w:t>
        <w:br/>
        <w:br/>
        <w:t>Step 2 — Performance obligations: One performance obligation — a stand-ready obligation to make the API available throughout the contract period. Each API call is not a separate PO; the API access is the single PO.</w:t>
        <w:br/>
        <w:t xml:space="preserve">  - Apply the series guidance (ASC 606-10-25-14(b), verify): each call is distinct (customer benefits per call); substantially the same; same pattern of transfer. Single series PO.</w:t>
        <w:br/>
        <w:br/>
        <w:t>Step 3 — Transaction price:</w:t>
        <w:br/>
        <w:t xml:space="preserve">  - Fixed component: $500 × 12 = $6,000 (minimums).</w:t>
        <w:br/>
        <w:t xml:space="preserve">  - Variable component: usage in excess of 5,000 calls per month × $0.10. Estimated at inception based on historical usage of 10,000 calls/month.</w:t>
        <w:br/>
        <w:t xml:space="preserve">  - Expected variable consideration: (10,000 − 5,000) × $0.10 × 12 = $6,000.</w:t>
        <w:br/>
        <w:t xml:space="preserve">  - Total estimated transaction price at inception: $6,000 + $6,000 = $12,000.</w:t>
        <w:br/>
        <w:t xml:space="preserve">  - Constraint analysis: high certainty (consistent usage patterns, ongoing service); include $6,000 variable.</w:t>
        <w:br/>
        <w:br/>
        <w:t>Step 4 — Recognition timing: over time (stand-ready), recognized ratably over 12 months ($1,000 per month).</w:t>
        <w:br/>
        <w:br/>
        <w:t>Step 5 — Subsequent reassessment (ASC 606-10-32-39, verify):</w:t>
        <w:br/>
        <w:t xml:space="preserve">  - Each month, reassess variable consideration based on actual usage. Recognize cumulative catch-up in the period of change.</w:t>
        <w:br/>
        <w:t xml:space="preserve">  - If Month 1 actual = 12,000 calls: revenue = $500 minimum + (12,000 − 5,000) × $0.10 = $500 + $700 = $1,200. Catch-up: $1,200 − $1,000 baseline = $200 additional revenue in Month 1.</w:t>
        <w:br/>
        <w:t xml:space="preserve">  - If Month 2 actual = 4,000 calls: revenue = $500 minimum + 0 (no usage excess) = $500. Catch-up: $500 − $1,000 baseline = −$500 in Month 2.</w:t>
        <w:br/>
        <w:br/>
        <w:t>Step 6 — Billing and accounts receivable:</w:t>
        <w:br/>
        <w:t xml:space="preserve">  - If billed in arrears based on actual usage: monthly invoice after each month. Receivable arises when service is performed and billed.</w:t>
        <w:br/>
        <w:t xml:space="preserve">  - If billed monthly in advance based on estimate: contract liability arises; true-up in arrears.</w:t>
        <w:br/>
        <w:br/>
        <w:t>Journal entries (assuming billed in arrears, Month 1 actual 12,000 calls):</w:t>
        <w:br/>
        <w:t xml:space="preserve">  End of Month 1 (revenue):</w:t>
        <w:br/>
        <w:t xml:space="preserve">    Dr Accounts Receivable    1,200</w:t>
        <w:br/>
        <w:t xml:space="preserve">    Cr Revenue                    1,200</w:t>
        <w:br/>
        <w:t xml:space="preserve">  On receipt of payment:</w:t>
        <w:br/>
        <w:t xml:space="preserve">    Dr Cash                 1,200</w:t>
        <w:br/>
        <w:t xml:space="preserve">    Cr Accounts Receivable       1,200</w:t>
        <w:br/>
        <w:br/>
        <w:t>DISCLOSURE:</w:t>
        <w:br/>
        <w:t xml:space="preserve">  - Disaggregation: by contract type (usage-based vs. fixed-fee).</w:t>
        <w:br/>
        <w:t xml:space="preserve">  - RPO: aggregate remaining commitment at reporting date.</w:t>
        <w:br/>
        <w:t xml:space="preserve">  - Significant judgments: variable consideration estimation methodology, constraint analysis.</w:t>
        <w:br/>
        <w:br/>
        <w:t>Verify all paragraph references against the licensed FASB Codification.</w:t>
      </w:r>
    </w:p>
    <w:p>
      <w:pPr>
        <w:pStyle w:val="Heading3"/>
      </w:pPr>
      <w:r>
        <w:rPr>
          <w:color w:val="1F3864"/>
        </w:rPr>
        <w:t>M10-E-0003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M10</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audit, cutoff, evidence</w:t>
            </w:r>
          </w:p>
        </w:tc>
      </w:tr>
      <w:tr>
        <w:tc>
          <w:tcPr>
            <w:tcW w:type="dxa" w:w="4873"/>
          </w:tcPr>
          <w:p>
            <w:r/>
            <w:r>
              <w:rPr>
                <w:b/>
                <w:sz w:val="20"/>
              </w:rPr>
              <w:t>Required skills</w:t>
            </w:r>
          </w:p>
        </w:tc>
        <w:tc>
          <w:tcPr>
            <w:tcW w:type="dxa" w:w="4873"/>
          </w:tcPr>
          <w:p>
            <w:r/>
            <w:r>
              <w:rPr>
                <w:sz w:val="20"/>
              </w:rPr>
              <w:t>audit_procedures, cutoff_analysis, skepticism</w:t>
            </w:r>
          </w:p>
        </w:tc>
      </w:tr>
      <w:tr>
        <w:tc>
          <w:tcPr>
            <w:tcW w:type="dxa" w:w="4873"/>
          </w:tcPr>
          <w:p>
            <w:r/>
            <w:r>
              <w:rPr>
                <w:b/>
                <w:sz w:val="20"/>
              </w:rPr>
              <w:t>Authoritative refs</w:t>
            </w:r>
          </w:p>
        </w:tc>
        <w:tc>
          <w:tcPr>
            <w:tcW w:type="dxa" w:w="4873"/>
          </w:tcPr>
          <w:p>
            <w:r/>
            <w:r>
              <w:rPr>
                <w:sz w:val="20"/>
              </w:rPr>
              <w:t>ASC 606-10-25-30, ASC 606-10-32-39, 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Describe audit evidence procedures for revenue cutoff under ASC 606.</w:t>
      </w:r>
    </w:p>
    <w:p>
      <w:pPr>
        <w:pStyle w:val="Heading4"/>
      </w:pPr>
      <w:r>
        <w:rPr>
          <w:color w:val="1F3864"/>
        </w:rPr>
        <w:t>Assistant Answer (gold target)</w:t>
      </w:r>
    </w:p>
    <w:p>
      <w:pPr>
        <w:spacing w:line="312" w:lineRule="auto" w:after="120"/>
      </w:pPr>
      <w:r>
        <w:rPr>
          <w:rFonts w:ascii="Calibri" w:hAnsi="Calibri"/>
          <w:b w:val="0"/>
          <w:i w:val="0"/>
          <w:sz w:val="22"/>
        </w:rPr>
        <w:t>Revenue cutoff audit procedures under ASC 606 should evaluate whether revenue was recognized in the correct period. Key procedures:</w:t>
        <w:br/>
        <w:br/>
        <w:t>1. **Review of post-period shipments and billings**:</w:t>
        <w:br/>
        <w:t xml:space="preserve">  - Obtain the post-cutoff shipping log and invoice log for the first 2-4 weeks after period end.</w:t>
        <w:br/>
        <w:t xml:space="preserve">  - Investigate items that may relate to pre-cutoff performance (e.g., shipping documents dated just before and just after period end).</w:t>
        <w:br/>
        <w:t xml:space="preserve">  - Confirm that pre-cutoff shipments were recognized in the period of delivery.</w:t>
        <w:br/>
        <w:t xml:space="preserve">  - Test for evidence of bill-and-hold arrangements.</w:t>
        <w:br/>
        <w:br/>
        <w:t>2. **Review of pre-period shipments and billings**:</w:t>
        <w:br/>
        <w:t xml:space="preserve">  - Obtain the pre-cutoff shipping log for the 2-4 weeks before period end.</w:t>
        <w:br/>
        <w:t xml:space="preserve">  - Investigate items shipped before period end but recognized as revenue in the following period — verify the rationale (e.g., substantive customer acceptance rights).</w:t>
        <w:br/>
        <w:br/>
        <w:t>3. **Cutoff testing for point-in-time revenue**:</w:t>
        <w:br/>
        <w:t xml:space="preserve">  - Select a sample of shipments in the cutoff window.</w:t>
        <w:br/>
        <w:t xml:space="preserve">  - Verify the date of control transfer (shipping terms, customer acceptance, FOB point).</w:t>
        <w:br/>
        <w:t xml:space="preserve">  - Compare to revenue recognition date in the ledger.</w:t>
        <w:br/>
        <w:t xml:space="preserve">  - Investigate mismatches.</w:t>
        <w:br/>
        <w:br/>
        <w:t>4. **Cutoff testing for over-time revenue**:</w:t>
        <w:br/>
        <w:t xml:space="preserve">  - Re-perform the measure of progress calculation for selected contracts at period end.</w:t>
        <w:br/>
        <w:t xml:space="preserve">  - Verify costs incurred and total expected costs.</w:t>
        <w:br/>
        <w:t xml:space="preserve">  - Test exclusion of uninstalled materials, costs not depicting performance, and inefficiencies.</w:t>
        <w:br/>
        <w:t xml:space="preserve">  - Reconcile cumulative revenue to contract ledger.</w:t>
        <w:br/>
        <w:br/>
        <w:t>5. **Variable consideration cutoff**:</w:t>
        <w:br/>
        <w:t xml:space="preserve">  - Review variable consideration estimates at period end.</w:t>
        <w:br/>
        <w:t xml:space="preserve">  - Test for evidence that the entity has included variable consideration only to the extent probable of no significant reversal (constraint).</w:t>
        <w:br/>
        <w:t xml:space="preserve">  - Review post-period events for evidence about prior estimates (e.g., customer subsequently achieves volume threshold affecting rebate).</w:t>
        <w:br/>
        <w:t xml:space="preserve">  - Test subsequent recognition of variable consideration as uncertainty resolves.</w:t>
        <w:br/>
        <w:br/>
        <w:t>6. **Contract modification cutoff**:</w:t>
        <w:br/>
        <w:t xml:space="preserve">  - Identify modifications occurring in the cutoff window.</w:t>
        <w:br/>
        <w:t xml:space="preserve">  - Test treatment (separate contract vs. prospective vs. cumulative catch-up).</w:t>
        <w:br/>
        <w:t xml:space="preserve">  - Verify that cumulative catch-up adjustments are recognized in the period of modification.</w:t>
        <w:br/>
        <w:br/>
        <w:t>7. **Contract assets and liabilities cutoff**:</w:t>
        <w:br/>
        <w:t xml:space="preserve">  - Reconcile contract asset/liability balances to subledger.</w:t>
        <w:br/>
        <w:t xml:space="preserve">  - Test that unbilled amounts are classified as contract assets (not receivables) when conditional.</w:t>
        <w:br/>
        <w:t xml:space="preserve">  - Test that prepayments are classified as contract liabilities (not revenue).</w:t>
        <w:br/>
        <w:br/>
        <w:t>8. **Disclosure cutoff**:</w:t>
        <w:br/>
        <w:t xml:space="preserve">  - Review ASC 606 disclosures for completeness and accuracy at period end.</w:t>
        <w:br/>
        <w:t xml:space="preserve">  - Test RPO timing disaggregation.</w:t>
        <w:br/>
        <w:t xml:space="preserve">  - Test significant judgments disclosure.</w:t>
        <w:br/>
        <w:br/>
        <w:t>9. **Subsequent event review**:</w:t>
        <w:br/>
        <w:t xml:space="preserve">  - For material estimates (variable consideration, over-time progress, SSP estimation), evaluate post-period events that may indicate the period-end estimate was unreasonable.</w:t>
        <w:br/>
        <w:br/>
        <w:t>10. **Management override procedures**:</w:t>
        <w:br/>
        <w:t xml:space="preserve">  - Test for evidence of management intervention in revenue cutoff decisions.</w:t>
        <w:br/>
        <w:t xml:space="preserve">  - Review journal entries for unusual patterns (round-number entries, entries by senior personnel, entries at year-end).</w:t>
        <w:br/>
        <w:br/>
        <w:t>Auditor independence requires skepticism: do not rely on management representations alone; obtain corroborating evidence. Document the rationale for accepting or rejecting management positions on cutoff.</w:t>
      </w:r>
    </w:p>
    <w:p>
      <w:pPr>
        <w:pStyle w:val="Heading3"/>
      </w:pPr>
      <w:r>
        <w:rPr>
          <w:color w:val="1F3864"/>
        </w:rPr>
        <w:t>M10-R-0001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M10</w:t>
            </w:r>
          </w:p>
        </w:tc>
      </w:tr>
      <w:tr>
        <w:tc>
          <w:tcPr>
            <w:tcW w:type="dxa" w:w="4873"/>
          </w:tcPr>
          <w:p>
            <w:r/>
            <w:r>
              <w:rPr>
                <w:b/>
                <w:sz w:val="20"/>
              </w:rPr>
              <w:t>Difficulty</w:t>
            </w:r>
          </w:p>
        </w:tc>
        <w:tc>
          <w:tcPr>
            <w:tcW w:type="dxa" w:w="4873"/>
          </w:tcPr>
          <w:p>
            <w:r/>
            <w:r>
              <w:rPr>
                <w:sz w:val="20"/>
              </w:rPr>
              <w:t>research</w:t>
            </w:r>
          </w:p>
        </w:tc>
      </w:tr>
      <w:tr>
        <w:tc>
          <w:tcPr>
            <w:tcW w:type="dxa" w:w="4873"/>
          </w:tcPr>
          <w:p>
            <w:r/>
            <w:r>
              <w:rPr>
                <w:b/>
                <w:sz w:val="20"/>
              </w:rPr>
              <w:t>Task type</w:t>
            </w:r>
          </w:p>
        </w:tc>
        <w:tc>
          <w:tcPr>
            <w:tcW w:type="dxa" w:w="4873"/>
          </w:tcPr>
          <w:p>
            <w:r/>
            <w:r>
              <w:rPr>
                <w:sz w:val="20"/>
              </w:rPr>
              <w:t>comparative</w:t>
            </w:r>
          </w:p>
        </w:tc>
      </w:tr>
      <w:tr>
        <w:tc>
          <w:tcPr>
            <w:tcW w:type="dxa" w:w="4873"/>
          </w:tcPr>
          <w:p>
            <w:r/>
            <w:r>
              <w:rPr>
                <w:b/>
                <w:sz w:val="20"/>
              </w:rPr>
              <w:t>Topic tags</w:t>
            </w:r>
          </w:p>
        </w:tc>
        <w:tc>
          <w:tcPr>
            <w:tcW w:type="dxa" w:w="4873"/>
          </w:tcPr>
          <w:p>
            <w:r/>
            <w:r>
              <w:rPr>
                <w:sz w:val="20"/>
              </w:rPr>
              <w:t>comparative, ifrs_15, research</w:t>
            </w:r>
          </w:p>
        </w:tc>
      </w:tr>
      <w:tr>
        <w:tc>
          <w:tcPr>
            <w:tcW w:type="dxa" w:w="4873"/>
          </w:tcPr>
          <w:p>
            <w:r/>
            <w:r>
              <w:rPr>
                <w:b/>
                <w:sz w:val="20"/>
              </w:rPr>
              <w:t>Required skills</w:t>
            </w:r>
          </w:p>
        </w:tc>
        <w:tc>
          <w:tcPr>
            <w:tcW w:type="dxa" w:w="4873"/>
          </w:tcPr>
          <w:p>
            <w:r/>
            <w:r>
              <w:rPr>
                <w:sz w:val="20"/>
              </w:rPr>
              <w:t>comparative_analysis, research_methodology</w:t>
            </w:r>
          </w:p>
        </w:tc>
      </w:tr>
      <w:tr>
        <w:tc>
          <w:tcPr>
            <w:tcW w:type="dxa" w:w="4873"/>
          </w:tcPr>
          <w:p>
            <w:r/>
            <w:r>
              <w:rPr>
                <w:b/>
                <w:sz w:val="20"/>
              </w:rPr>
              <w:t>Authoritative refs</w:t>
            </w:r>
          </w:p>
        </w:tc>
        <w:tc>
          <w:tcPr>
            <w:tcW w:type="dxa" w:w="4873"/>
          </w:tcPr>
          <w:p>
            <w:r/>
            <w:r>
              <w:rPr>
                <w:sz w:val="20"/>
              </w:rPr>
              <w:t>ASC 606-10-25-1, ASC 606-10-25-27, ASC 606-10-32-11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research-level accounting analyst. Distinguish authoritative accounting requirements, conceptual arguments, empirical evidence, and normative recommendations. Do not invent studies, datasets, or quotations.</w:t>
      </w:r>
    </w:p>
    <w:p>
      <w:pPr>
        <w:pStyle w:val="Heading4"/>
      </w:pPr>
      <w:r>
        <w:rPr>
          <w:color w:val="1F3864"/>
        </w:rPr>
        <w:t>User Prompt</w:t>
      </w:r>
    </w:p>
    <w:p>
      <w:pPr>
        <w:spacing w:line="312" w:lineRule="auto" w:after="120"/>
      </w:pPr>
      <w:r>
        <w:rPr>
          <w:rFonts w:ascii="Calibri" w:hAnsi="Calibri"/>
          <w:b w:val="0"/>
          <w:i w:val="0"/>
          <w:sz w:val="22"/>
        </w:rPr>
        <w:t>Compare ASC 606 (US GAAP) and IFRS 15. Identify the key similarities and the substantive differences.</w:t>
      </w:r>
    </w:p>
    <w:p>
      <w:pPr>
        <w:pStyle w:val="Heading4"/>
      </w:pPr>
      <w:r>
        <w:rPr>
          <w:color w:val="1F3864"/>
        </w:rPr>
        <w:t>Assistant Answer (gold target)</w:t>
      </w:r>
    </w:p>
    <w:p>
      <w:pPr>
        <w:spacing w:line="312" w:lineRule="auto" w:after="120"/>
      </w:pPr>
      <w:r>
        <w:rPr>
          <w:rFonts w:ascii="Calibri" w:hAnsi="Calibri"/>
          <w:b w:val="0"/>
          <w:i w:val="0"/>
          <w:sz w:val="22"/>
        </w:rPr>
        <w:t>ASC 606 (US GAAP) and IFRS 15 (IFRS) were issued jointly by the FASB and IASB in May 2014 to converge revenue recognition. The standards share the same five-step model and most operational guidance. However, several differences remain.</w:t>
        <w:br/>
        <w:br/>
        <w:t>SIMILARITIES:</w:t>
        <w:br/>
        <w:t xml:space="preserve">  - Same five-step model.</w:t>
        <w:br/>
        <w:t xml:space="preserve">  - Same core principle: revenue depicts the transfer of promised goods or services to customers in an amount reflecting the consideration the entity expects to be entitled to.</w:t>
        <w:br/>
        <w:t xml:space="preserve">  - Same over-time criteria (25-27).</w:t>
        <w:br/>
        <w:t xml:space="preserve">  - Same point-in-time indicators (25-30).</w:t>
        <w:br/>
        <w:t xml:space="preserve">  - Same variable consideration framework (expected-value and most-likely-amount methods, constraint).</w:t>
        <w:br/>
        <w:t xml:space="preserve">  - Same allocation framework (relative SSP, specific attribution exception).</w:t>
        <w:br/>
        <w:t xml:space="preserve">  - Same disclosure framework.</w:t>
        <w:br/>
        <w:br/>
        <w:t>KEY DIFFERENCES:</w:t>
        <w:br/>
        <w:br/>
        <w:t>1. **'Probable' threshold for collectibility**:</w:t>
        <w:br/>
        <w:t xml:space="preserve">  - US GAAP: 'probable' generally means 'likely to occur' (operationalized at ~75-80%).</w:t>
        <w:br/>
        <w:t xml:space="preserve">  - IFRS: 'probable' means 'more likely than not' (i.e., &gt;50%).</w:t>
        <w:br/>
        <w:t xml:space="preserve">  - Effect: a customer with borderline credit quality may meet the IFRS collectibility threshold (so IFRS 15 applies) while failing the US GAAP threshold (so ASC 606-10-25-2 alternative treatment applies). This is a substantive difference; the standards are NOT identical in this respect.</w:t>
        <w:br/>
        <w:br/>
        <w:t>2. **Capitalization of costs to obtain a contract**:</w:t>
        <w:br/>
        <w:t xml:space="preserve">  - US GAAP (ASC 340-40): capitalize incremental costs of obtaining a contract; practical expedient for costs amortized over one year or less.</w:t>
        <w:br/>
        <w:t xml:space="preserve">  - IFRS 15: similar capitalization requirement; practical expedient for amortization period of one year or less.</w:t>
        <w:br/>
        <w:t xml:space="preserve">  - Difference: IFRS 15 contains additional guidance on amortization and impairment that may produce different results in specific fact patterns. Verify against the standards.</w:t>
        <w:br/>
        <w:br/>
        <w:t>3. **Disclosure of remaining performance obligations (RPO)**:</w:t>
        <w:br/>
        <w:t xml:space="preserve">  - US GAAP: full disclosure with timing disaggregation; specific practical expedients for licenses with sales-based royalties and variable consideration allocated entirely to wholly unsatisfied non-series POs.</w:t>
        <w:br/>
        <w:t xml:space="preserve">  - IFRS: similar disclosure requirements; specific exemptions are framed slightly differently. The 'wholly unsatisfied' exemption under IFRS 15 is narrower in some fact patterns. Verify against the standards.</w:t>
        <w:br/>
        <w:br/>
        <w:t>4. **License of IP — right-to-use vs. right-to-access**:</w:t>
        <w:br/>
        <w:t xml:space="preserve">  - US GAAP and IFRS 15 share the functional/symbolic IP distinction. However, the two standards applied different intermediate-level guidance for specific industries (e.g., IFRS 15 contains specific guidance for online services and for licensing of intellectual property in specific industries).</w:t>
        <w:br/>
        <w:br/>
        <w:t>5. **Significant financing component — practical expedient**:</w:t>
        <w:br/>
        <w:t xml:space="preserve">  - US GAAP: no financing assessment if the expected payment term is one year or less.</w:t>
        <w:br/>
        <w:t xml:space="preserve">  - IFRS 15: similar expedient but with subtle differences in the threshold (e.g., the IFRS guidance considers the purpose of the payment terms).</w:t>
        <w:br/>
        <w:br/>
        <w:t>6. **Noncash consideration — measurement timing**:</w:t>
        <w:br/>
        <w:t xml:space="preserve">  - US GAAP (ASC 606-10-32-23): measure at contract inception.</w:t>
        <w:br/>
        <w:t xml:space="preserve">  - IFRS 15: measure at contract inception, with additional guidance on changes after inception.</w:t>
        <w:br/>
        <w:br/>
        <w:t>7. **Sales- and usage-based royalty exception**:</w:t>
        <w:br/>
        <w:t xml:space="preserve">  - Both standards have the exception; application is similar but with subtle differences in scope.</w:t>
        <w:br/>
        <w:br/>
        <w:t>8. **Transition**:</w:t>
        <w:br/>
        <w:t xml:space="preserve">  - US GAAP: full retrospective or modified retrospective transition.</w:t>
        <w:br/>
        <w:t xml:space="preserve">  - IFRS 15: full retrospective, cumulative-catch-up, or modified retrospective — different permitted methods.</w:t>
        <w:br/>
        <w:br/>
        <w:t>IMPORTANT: differences in paragraph numbering do NOT indicate substantive differences. Differences in interpretation (e.g., how 'probable' is operationalized) are the substantive differences. Verify all assertions against the current text of ASC 606 and IFRS 15. Do not presume that a difference exists merely because paragraph numbers differ.</w:t>
      </w:r>
    </w:p>
    <w:p>
      <w:pPr>
        <w:pStyle w:val="Heading3"/>
      </w:pPr>
      <w:r>
        <w:rPr>
          <w:color w:val="1F3864"/>
        </w:rPr>
        <w:t>M10-R-0002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M10</w:t>
            </w:r>
          </w:p>
        </w:tc>
      </w:tr>
      <w:tr>
        <w:tc>
          <w:tcPr>
            <w:tcW w:type="dxa" w:w="4873"/>
          </w:tcPr>
          <w:p>
            <w:r/>
            <w:r>
              <w:rPr>
                <w:b/>
                <w:sz w:val="20"/>
              </w:rPr>
              <w:t>Difficulty</w:t>
            </w:r>
          </w:p>
        </w:tc>
        <w:tc>
          <w:tcPr>
            <w:tcW w:type="dxa" w:w="4873"/>
          </w:tcPr>
          <w:p>
            <w:r/>
            <w:r>
              <w:rPr>
                <w:sz w:val="20"/>
              </w:rPr>
              <w:t>research</w:t>
            </w:r>
          </w:p>
        </w:tc>
      </w:tr>
      <w:tr>
        <w:tc>
          <w:tcPr>
            <w:tcW w:type="dxa" w:w="4873"/>
          </w:tcPr>
          <w:p>
            <w:r/>
            <w:r>
              <w:rPr>
                <w:b/>
                <w:sz w:val="20"/>
              </w:rPr>
              <w:t>Task type</w:t>
            </w:r>
          </w:p>
        </w:tc>
        <w:tc>
          <w:tcPr>
            <w:tcW w:type="dxa" w:w="4873"/>
          </w:tcPr>
          <w:p>
            <w:r/>
            <w:r>
              <w:rPr>
                <w:sz w:val="20"/>
              </w:rPr>
              <w:t>research</w:t>
            </w:r>
          </w:p>
        </w:tc>
      </w:tr>
      <w:tr>
        <w:tc>
          <w:tcPr>
            <w:tcW w:type="dxa" w:w="4873"/>
          </w:tcPr>
          <w:p>
            <w:r/>
            <w:r>
              <w:rPr>
                <w:b/>
                <w:sz w:val="20"/>
              </w:rPr>
              <w:t>Topic tags</w:t>
            </w:r>
          </w:p>
        </w:tc>
        <w:tc>
          <w:tcPr>
            <w:tcW w:type="dxa" w:w="4873"/>
          </w:tcPr>
          <w:p>
            <w:r/>
            <w:r>
              <w:rPr>
                <w:sz w:val="20"/>
              </w:rPr>
              <w:t>research, earnings_management, empirical_study</w:t>
            </w:r>
          </w:p>
        </w:tc>
      </w:tr>
      <w:tr>
        <w:tc>
          <w:tcPr>
            <w:tcW w:type="dxa" w:w="4873"/>
          </w:tcPr>
          <w:p>
            <w:r/>
            <w:r>
              <w:rPr>
                <w:b/>
                <w:sz w:val="20"/>
              </w:rPr>
              <w:t>Required skills</w:t>
            </w:r>
          </w:p>
        </w:tc>
        <w:tc>
          <w:tcPr>
            <w:tcW w:type="dxa" w:w="4873"/>
          </w:tcPr>
          <w:p>
            <w:r/>
            <w:r>
              <w:rPr>
                <w:sz w:val="20"/>
              </w:rPr>
              <w:t>research_methodology, econometric_design</w:t>
            </w:r>
          </w:p>
        </w:tc>
      </w:tr>
      <w:tr>
        <w:tc>
          <w:tcPr>
            <w:tcW w:type="dxa" w:w="4873"/>
          </w:tcPr>
          <w:p>
            <w:r/>
            <w:r>
              <w:rPr>
                <w:b/>
                <w:sz w:val="20"/>
              </w:rPr>
              <w:t>Authoritative refs</w:t>
            </w:r>
          </w:p>
        </w:tc>
        <w:tc>
          <w:tcPr>
            <w:tcW w:type="dxa" w:w="4873"/>
          </w:tcPr>
          <w:p>
            <w:r/>
            <w:r>
              <w:rPr>
                <w:sz w:val="20"/>
              </w:rPr>
              <w:t>ASC 606-10-32-11, ASC 606-10-32-32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research-level accounting analyst. Distinguish authoritative accounting requirements, conceptual arguments, empirical evidence, and normative recommendations. Do not invent studies, datasets, or quotations.</w:t>
      </w:r>
    </w:p>
    <w:p>
      <w:pPr>
        <w:pStyle w:val="Heading4"/>
      </w:pPr>
      <w:r>
        <w:rPr>
          <w:color w:val="1F3864"/>
        </w:rPr>
        <w:t>User Prompt</w:t>
      </w:r>
    </w:p>
    <w:p>
      <w:pPr>
        <w:spacing w:line="312" w:lineRule="auto" w:after="120"/>
      </w:pPr>
      <w:r>
        <w:rPr>
          <w:rFonts w:ascii="Calibri" w:hAnsi="Calibri"/>
          <w:b w:val="0"/>
          <w:i w:val="0"/>
          <w:sz w:val="22"/>
        </w:rPr>
        <w:t>Design an empirical accounting study on whether ASC 606 adoption affected earnings management behavior.</w:t>
      </w:r>
    </w:p>
    <w:p>
      <w:pPr>
        <w:pStyle w:val="Heading4"/>
      </w:pPr>
      <w:r>
        <w:rPr>
          <w:color w:val="1F3864"/>
        </w:rPr>
        <w:t>Assistant Answer (gold target)</w:t>
      </w:r>
    </w:p>
    <w:p>
      <w:pPr>
        <w:spacing w:line="312" w:lineRule="auto" w:after="120"/>
      </w:pPr>
      <w:r>
        <w:rPr>
          <w:rFonts w:ascii="Calibri" w:hAnsi="Calibri"/>
          <w:b w:val="0"/>
          <w:i w:val="0"/>
          <w:sz w:val="22"/>
        </w:rPr>
        <w:t>Research Design: Did ASC 606 adoption affect earnings management?</w:t>
        <w:br/>
        <w:br/>
        <w:t>I. RESEARCH QUESTION:</w:t>
        <w:br/>
        <w:t xml:space="preserve">  Did the adoption of ASC 606 (effective for public entities in 2018) lead to changes in earnings management behavior, particularly through revenue recognition estimates and judgments?</w:t>
        <w:br/>
        <w:br/>
        <w:t>II. THEORETICAL FRAMEWORK:</w:t>
        <w:br/>
        <w:t xml:space="preserve">  ASC 606 introduced principles-based, judgment-dependent revenue recognition. Estimation risk increased in three specific areas:</w:t>
        <w:br/>
        <w:t xml:space="preserve">  (a) Variable consideration estimation and constraint.</w:t>
        <w:br/>
        <w:t xml:space="preserve">  (b) Standalone selling price estimation when not observable.</w:t>
        <w:br/>
        <w:t xml:space="preserve">  (c) Over-time progress measurement (input vs. output methods, adjustments for uninstalled materials).</w:t>
        <w:br/>
        <w:t xml:space="preserve">  Each provides a discretionary lever that management may use to manage earnings.</w:t>
        <w:br/>
        <w:br/>
        <w:t>III. HYPOTHESES (proposed, not asserted as established):</w:t>
        <w:br/>
        <w:t xml:space="preserve">  H1: ASC 606 adoption is associated with increased revenue estimation volatility (a measure of estimation discretion).</w:t>
        <w:br/>
        <w:t xml:space="preserve">  H2: ASC 606 adoption is associated with higher levels of income-decreasing accruals in Q4 (year-end conservatism around estimates).</w:t>
        <w:br/>
        <w:t xml:space="preserve">  H3: ASC 606 adoption is associated with changes in the distribution of revenue estimates' revisions across the fiscal year.</w:t>
        <w:br/>
        <w:br/>
        <w:t>IV. LITERATURE REVIEW (proposed topics; not asserted as findings):</w:t>
        <w:br/>
        <w:t xml:space="preserve">  - Prior research on revenue recognition discretion under ASC 605 (pre-ASC 606).</w:t>
        <w:br/>
        <w:t xml:space="preserve">  - Research on the role of judgment-based accounting standards in earnings management.</w:t>
        <w:br/>
        <w:t xml:space="preserve">  - Literature on standard-setting and earnings quality (e.g., studies on ASC 842, ASC 326 adoption).</w:t>
        <w:br/>
        <w:t xml:space="preserve">  - Research on Big 4 audit quality and judgment-based estimation.</w:t>
        <w:br/>
        <w:br/>
        <w:t>V. SAMPLE SELECTION:</w:t>
        <w:br/>
        <w:t xml:space="preserve">  - Population: US public companies subject to ASC 606 (SEC registrants).</w:t>
        <w:br/>
        <w:t xml:space="preserve">  - Sample period: 2015-2024 (pre- and post-adoption).</w:t>
        <w:br/>
        <w:t xml:space="preserve">  - Treatment: firms reporting material ASC 606 effects (identified via SAB 74 disclosures and 10-K adoption disclosures).</w:t>
        <w:br/>
        <w:t xml:space="preserve">  - Control: firms with limited ASC 606 effects (matched by size, industry, complexity).</w:t>
        <w:br/>
        <w:br/>
        <w:t>VI. DEPENDENT VARIABLES (proposed measures):</w:t>
        <w:br/>
        <w:t xml:space="preserve">  - Discretionary accruals (modified Jones model, performance-matched).</w:t>
        <w:br/>
        <w:t xml:space="preserve">  - Revenue-specific accruals (custom measure isolating revenue-related accruals).</w:t>
        <w:br/>
        <w:t xml:space="preserve">  - Real-earnings-management measures (e.g., abnormal production costs, abnormal discretionary expenses).</w:t>
        <w:br/>
        <w:t xml:space="preserve">  - Frequency of small positive earnings surprises.</w:t>
        <w:br/>
        <w:t xml:space="preserve">  - Revenue estimate revision frequency and magnitude.</w:t>
        <w:br/>
        <w:br/>
        <w:t>VII. INDEPENDENT VARIABLES:</w:t>
        <w:br/>
        <w:t xml:space="preserve">  - Post-ASC 606 adoption indicator.</w:t>
        <w:br/>
        <w:t xml:space="preserve">  - Magnitude of ASC 606 transition adjustments (where disclosed).</w:t>
        <w:br/>
        <w:t xml:space="preserve">  - Industry fixed effects (some industries more affected by ASC 606: software, telecom, construction, retail).</w:t>
        <w:br/>
        <w:t xml:space="preserve">  - Entity-level estimation complexity score (constructed from disclosure of variable consideration, SSP, and over-time estimation).</w:t>
        <w:br/>
        <w:br/>
        <w:t>VIII. ECONOMETRIC SPECIFICATION:</w:t>
        <w:br/>
        <w:t xml:space="preserve">  Difference-in-differences design with treatment indicator and post-period indicator, firm and year fixed effects. Test parallel-trends assumption. Cluster standard errors at firm level.</w:t>
        <w:br/>
        <w:t xml:space="preserve">  Model: y_it = α_i + β_t + γ(Post_606 × Treatment) + δX_it + ε_it</w:t>
        <w:br/>
        <w:t xml:space="preserve">  Where α_i = firm fixed effect; β_t = year fixed effect; X_it = control vector.</w:t>
        <w:br/>
        <w:br/>
        <w:t>IX. POTENTIAL CONFOUNDING VARIABLES:</w:t>
        <w:br/>
        <w:t xml:space="preserve">  - Macroeconomic conditions (control with macro indicators).</w:t>
        <w:br/>
        <w:t xml:space="preserve">  - Concurrent standard changes (ASC 842, ASC 326 adoption; control by sample restriction or interaction).</w:t>
        <w:br/>
        <w:t xml:space="preserve">  - Audit firm effects (Big 4 vs. non-Big 4; auditor rotation).</w:t>
        <w:br/>
        <w:t xml:space="preserve">  - CEO/CFO turnover and compensation changes.</w:t>
        <w:br/>
        <w:br/>
        <w:t>X. ENDOGENEITY:</w:t>
        <w:br/>
        <w:t xml:space="preserve">  - ASC 606 adoption is plausibly exogenous to firm-specific earnings management (mandated standard). However, the TIMING of early adoption (firms could early adopt in 2017) may be endogenous. Use full-sample analysis with post-2018 indicator.</w:t>
        <w:br/>
        <w:t xml:space="preserve">  - Selection: only public firms in sample; results may not generalize to private firms.</w:t>
        <w:br/>
        <w:br/>
        <w:t>XI. ROBUSTNESS TESTS:</w:t>
        <w:br/>
        <w:t xml:space="preserve">  - Placebo tests using pseudo-adoption dates.</w:t>
        <w:br/>
        <w:t xml:space="preserve">  - Alternative earnings management measures.</w:t>
        <w:br/>
        <w:t xml:space="preserve">  - Subsamples by industry, complexity, auditor.</w:t>
        <w:br/>
        <w:t xml:space="preserve">  - Synthetic control methods.</w:t>
        <w:br/>
        <w:br/>
        <w:t>XII. EXPECTED CONTRIBUTIONS:</w:t>
        <w:br/>
        <w:t xml:space="preserve">  - Empirical evidence on the consequences of principles-based standard adoption.</w:t>
        <w:br/>
        <w:t xml:space="preserve">  - Inform standard setters (FASB) about whether ASC 606 achieved its objective of improved revenue reporting quality.</w:t>
        <w:br/>
        <w:t xml:space="preserve">  - Inform investors about estimation risk in ASC 606-affected industries.</w:t>
        <w:br/>
        <w:br/>
        <w:t>XIII. LIMITATIONS:</w:t>
        <w:br/>
        <w:t xml:space="preserve">  - Endogeneity of early adoption.</w:t>
        <w:br/>
        <w:t xml:space="preserve">  - Inability to observe management intent.</w:t>
        <w:br/>
        <w:t xml:space="preserve">  - Data limitations on ASC 606-specific disclosures (many disclosures are qualitative and not machine-readable).</w:t>
        <w:br/>
        <w:t xml:space="preserve">  - Sample may not generalize to private firms.</w:t>
        <w:br/>
        <w:br/>
        <w:t>XIV. ETHICAL CONSIDERATIONS:</w:t>
        <w:br/>
        <w:t xml:space="preserve">  - Avoid naming specific firms in earnings management discussion without irrefutable evidence.</w:t>
        <w:br/>
        <w:t xml:space="preserve">  - Use publicly disclosed data only.</w:t>
        <w:br/>
        <w:t xml:space="preserve">  - Disclose limitations transparently.</w:t>
        <w:br/>
        <w:br/>
        <w:t>IMPORTANT: This is a research design proposal. Do not assert empirical findings; the study must be conducted before any conclusion can be drawn. Distinguish proposed hypotheses from established empirical findings.</w:t>
      </w:r>
    </w:p>
    <w:p>
      <w:pPr>
        <w:pStyle w:val="Heading3"/>
      </w:pPr>
      <w:r>
        <w:rPr>
          <w:color w:val="1F3864"/>
        </w:rPr>
        <w:t>M10-R-0003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M10</w:t>
            </w:r>
          </w:p>
        </w:tc>
      </w:tr>
      <w:tr>
        <w:tc>
          <w:tcPr>
            <w:tcW w:type="dxa" w:w="4873"/>
          </w:tcPr>
          <w:p>
            <w:r/>
            <w:r>
              <w:rPr>
                <w:b/>
                <w:sz w:val="20"/>
              </w:rPr>
              <w:t>Difficulty</w:t>
            </w:r>
          </w:p>
        </w:tc>
        <w:tc>
          <w:tcPr>
            <w:tcW w:type="dxa" w:w="4873"/>
          </w:tcPr>
          <w:p>
            <w:r/>
            <w:r>
              <w:rPr>
                <w:sz w:val="20"/>
              </w:rPr>
              <w:t>research</w:t>
            </w:r>
          </w:p>
        </w:tc>
      </w:tr>
      <w:tr>
        <w:tc>
          <w:tcPr>
            <w:tcW w:type="dxa" w:w="4873"/>
          </w:tcPr>
          <w:p>
            <w:r/>
            <w:r>
              <w:rPr>
                <w:b/>
                <w:sz w:val="20"/>
              </w:rPr>
              <w:t>Task type</w:t>
            </w:r>
          </w:p>
        </w:tc>
        <w:tc>
          <w:tcPr>
            <w:tcW w:type="dxa" w:w="4873"/>
          </w:tcPr>
          <w:p>
            <w:r/>
            <w:r>
              <w:rPr>
                <w:sz w:val="20"/>
              </w:rPr>
              <w:t>research</w:t>
            </w:r>
          </w:p>
        </w:tc>
      </w:tr>
      <w:tr>
        <w:tc>
          <w:tcPr>
            <w:tcW w:type="dxa" w:w="4873"/>
          </w:tcPr>
          <w:p>
            <w:r/>
            <w:r>
              <w:rPr>
                <w:b/>
                <w:sz w:val="20"/>
              </w:rPr>
              <w:t>Topic tags</w:t>
            </w:r>
          </w:p>
        </w:tc>
        <w:tc>
          <w:tcPr>
            <w:tcW w:type="dxa" w:w="4873"/>
          </w:tcPr>
          <w:p>
            <w:r/>
            <w:r>
              <w:rPr>
                <w:sz w:val="20"/>
              </w:rPr>
              <w:t>research_methodology, technical_research</w:t>
            </w:r>
          </w:p>
        </w:tc>
      </w:tr>
      <w:tr>
        <w:tc>
          <w:tcPr>
            <w:tcW w:type="dxa" w:w="4873"/>
          </w:tcPr>
          <w:p>
            <w:r/>
            <w:r>
              <w:rPr>
                <w:b/>
                <w:sz w:val="20"/>
              </w:rPr>
              <w:t>Required skills</w:t>
            </w:r>
          </w:p>
        </w:tc>
        <w:tc>
          <w:tcPr>
            <w:tcW w:type="dxa" w:w="4873"/>
          </w:tcPr>
          <w:p>
            <w:r/>
            <w:r>
              <w:rPr>
                <w:sz w:val="20"/>
              </w:rPr>
              <w:t>research_methodology, documentation</w:t>
            </w:r>
          </w:p>
        </w:tc>
      </w:tr>
      <w:tr>
        <w:tc>
          <w:tcPr>
            <w:tcW w:type="dxa" w:w="4873"/>
          </w:tcPr>
          <w:p>
            <w:r/>
            <w:r>
              <w:rPr>
                <w:b/>
                <w:sz w:val="20"/>
              </w:rPr>
              <w:t>Authoritative refs</w:t>
            </w:r>
          </w:p>
        </w:tc>
        <w:tc>
          <w:tcPr>
            <w:tcW w:type="dxa" w:w="4873"/>
          </w:tcPr>
          <w:p>
            <w:r/>
            <w:r>
              <w:rPr>
                <w:sz w:val="20"/>
              </w:rPr>
              <w:t>ASC 606-10-10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research-level accounting analyst. Distinguish authoritative accounting requirements, conceptual arguments, empirical evidence, and normative recommendations. Do not invent studies, datasets, or quotations.</w:t>
      </w:r>
    </w:p>
    <w:p>
      <w:pPr>
        <w:pStyle w:val="Heading4"/>
      </w:pPr>
      <w:r>
        <w:rPr>
          <w:color w:val="1F3864"/>
        </w:rPr>
        <w:t>User Prompt</w:t>
      </w:r>
    </w:p>
    <w:p>
      <w:pPr>
        <w:spacing w:line="312" w:lineRule="auto" w:after="120"/>
      </w:pPr>
      <w:r>
        <w:rPr>
          <w:rFonts w:ascii="Calibri" w:hAnsi="Calibri"/>
          <w:b w:val="0"/>
          <w:i w:val="0"/>
          <w:sz w:val="22"/>
        </w:rPr>
        <w:t>Outline a research methodology for resolving an ambiguous ASC 606 issue. What are the standard steps?</w:t>
      </w:r>
    </w:p>
    <w:p>
      <w:pPr>
        <w:pStyle w:val="Heading4"/>
      </w:pPr>
      <w:r>
        <w:rPr>
          <w:color w:val="1F3864"/>
        </w:rPr>
        <w:t>Assistant Answer (gold target)</w:t>
      </w:r>
    </w:p>
    <w:p>
      <w:pPr>
        <w:spacing w:line="312" w:lineRule="auto" w:after="120"/>
      </w:pPr>
      <w:r>
        <w:rPr>
          <w:rFonts w:ascii="Calibri" w:hAnsi="Calibri"/>
          <w:b w:val="0"/>
          <w:i w:val="0"/>
          <w:sz w:val="22"/>
        </w:rPr>
        <w:t>Research methodology for resolving ambiguous ASC 606 issues should follow the standard technical accounting research process:</w:t>
        <w:br/>
        <w:br/>
        <w:t>Step 1 — **Identify the precise accounting question**:</w:t>
        <w:br/>
        <w:t xml:space="preserve">  - Frame the question in specific, operational terms.</w:t>
        <w:br/>
        <w:t xml:space="preserve">  - Avoid broad questions ('how is this accounted for?') in favor of narrow, answerable questions ('does this specific fact pattern meet criterion (c) of ASC 606-10-25-27?').</w:t>
        <w:br/>
        <w:t xml:space="preserve">  - Distinguish the recognition question, measurement question, presentation question, and disclosure question.</w:t>
        <w:br/>
        <w:br/>
        <w:t>Step 2 — **Identify the relevant authoritative guidance**:</w:t>
        <w:br/>
        <w:t xml:space="preserve">  - Primary source: FASB Accounting Standards Codification.</w:t>
        <w:br/>
        <w:t xml:space="preserve">  - Search the Codification by keyword, by topic, by subtopic, and by industry.</w:t>
        <w:br/>
        <w:t xml:space="preserve">  - Review the relevant Topic, Subtopic, Section, and Subsection.</w:t>
        <w:br/>
        <w:t xml:space="preserve">  - Note any scope exceptions that may direct you to different guidance (e.g., ASC 842 for leases, ASC 944 for insurance).</w:t>
        <w:br/>
        <w:br/>
        <w:t>Step 3 — **Identify related guidance**:</w:t>
        <w:br/>
        <w:t xml:space="preserve">  - ASU amendments that modify the Codification text.</w:t>
        <w:br/>
        <w:t xml:space="preserve">  - FASB Basis for Conclusions (BC) for the original ASU and amendments — explanatory only, not authoritative.</w:t>
        <w:br/>
        <w:t xml:space="preserve">  - FASB Transition Resource Group (TRG) memos and discussions — non-authoritative but informative.</w:t>
        <w:br/>
        <w:t xml:space="preserve">  - SEC staff guidance (SAB topics) for SEC registrants.</w:t>
        <w:br/>
        <w:t xml:space="preserve">  - AICPA guidance (Audit Guide for revenue recognition).</w:t>
        <w:br/>
        <w:br/>
        <w:t>Step 4 — **Review non-authoritative interpretive guides**:</w:t>
        <w:br/>
        <w:t xml:space="preserve">  - Big 4 firm guides (Deloitte DART, EY FRD, KPMG, PwC) — interpretive, NOT authoritative. Useful for issue discovery and exposure to alternative views.</w:t>
        <w:br/>
        <w:t xml:space="preserve">  - Industry-association guidance.</w:t>
        <w:br/>
        <w:t xml:space="preserve">  - Academic literature for conceptual context.</w:t>
        <w:br/>
        <w:t xml:space="preserve">  - Treat all non-authoritative sources as supporting context, not as the basis for the conclusion.</w:t>
        <w:br/>
        <w:br/>
        <w:t>Step 5 — **Analyze the facts**:</w:t>
        <w:br/>
        <w:t xml:space="preserve">  - Identify the relevant facts (contractual terms, performance facts, payment terms, business context).</w:t>
        <w:br/>
        <w:t xml:space="preserve">  - Distinguish facts from assumptions and from inferences.</w:t>
        <w:br/>
        <w:t xml:space="preserve">  - Identify material missing facts that may require additional evidence.</w:t>
        <w:br/>
        <w:br/>
        <w:t>Step 6 — **Apply the guidance to the facts**:</w:t>
        <w:br/>
        <w:t xml:space="preserve">  - Apply the Codification paragraphs to the specific fact pattern.</w:t>
        <w:br/>
        <w:t xml:space="preserve">  - Work through the five-step model step by step.</w:t>
        <w:br/>
        <w:t xml:space="preserve">  - Document the analysis at each step.</w:t>
        <w:br/>
        <w:t xml:space="preserve">  - Identify any judgment points and document the basis for the judgment.</w:t>
        <w:br/>
        <w:br/>
        <w:t>Step 7 — **Consider alternative interpretations**:</w:t>
        <w:br/>
        <w:t xml:space="preserve">  - Develop the strongest technically defensible argument for each plausible alternative.</w:t>
        <w:br/>
        <w:t xml:space="preserve">  - Evaluate which interpretation is best supported by authoritative requirements.</w:t>
        <w:br/>
        <w:t xml:space="preserve">  - Do not assume two positions are equally acceptable merely because both can be argued.</w:t>
        <w:br/>
        <w:t xml:space="preserve">  - Identify evidence that would change the conclusion.</w:t>
        <w:br/>
        <w:br/>
        <w:t>Step 8 — **Document the conclusion**:</w:t>
        <w:br/>
        <w:t xml:space="preserve">  - State the conclusion in unambiguous terms.</w:t>
        <w:br/>
        <w:t xml:space="preserve">  - Cite the specific ASC paragraphs that support the conclusion.</w:t>
        <w:br/>
        <w:t xml:space="preserve">  - Document contrary arguments and the basis for rejecting them.</w:t>
        <w:br/>
        <w:t xml:space="preserve">  - Identify required controls (auditor evidence, internal review, disclosure committee oversight).</w:t>
        <w:br/>
        <w:t xml:space="preserve">  - Identify disclosure implications.</w:t>
        <w:br/>
        <w:br/>
        <w:t>Step 9 — **Quality review**:</w:t>
        <w:br/>
        <w:t xml:space="preserve">  - Independent review by a qualified technical accountant (e.g., national office, external technical consultant).</w:t>
        <w:br/>
        <w:t xml:space="preserve">  - For SEC registrants: consider whether the conclusion warrants consultation with the entity's external auditor or with the SEC Office of the Chief Accountant.</w:t>
        <w:br/>
        <w:t xml:space="preserve">  - Document the review.</w:t>
        <w:br/>
        <w:br/>
        <w:t>Step 10 — **Update and reassess**:</w:t>
        <w:br/>
        <w:t xml:space="preserve">  - Monitor for subsequent FASB amendments that may affect the conclusion.</w:t>
        <w:br/>
        <w:t xml:space="preserve">  - Reassess upon material changes in facts.</w:t>
        <w:br/>
        <w:t xml:space="preserve">  - Maintain a research file with version control.</w:t>
        <w:br/>
        <w:br/>
        <w:t>Documentation standards:</w:t>
        <w:br/>
        <w:t xml:space="preserve">  - Cite Codification references in the precise format (Topic-Subtopic-Section-Subsection-Paragraph).</w:t>
        <w:br/>
        <w:t xml:space="preserve">  - Distinguish 'authoritative requirements' from 'interpretive commentary' from 'conceptual arguments' from 'empirical evidence'.</w:t>
        <w:br/>
        <w:t xml:space="preserve">  - Never fabricate quotations, studies, or paragraph references.</w:t>
        <w:br/>
        <w:br/>
        <w:t>Common pitfalls:</w:t>
        <w:br/>
        <w:t xml:space="preserve">  - Beginning with a preferred conclusion and seeking support for it (conclusion-first reasoning).</w:t>
        <w:br/>
        <w:t xml:space="preserve">  - Treating Big 4 guides as authoritative.</w:t>
        <w:br/>
        <w:t xml:space="preserve">  - Over-relying on TRG memos (which are non-authoritative and may reflect incomplete consensus).</w:t>
        <w:br/>
        <w:t xml:space="preserve">  - Failing to identify alternative interpretations.</w:t>
        <w:br/>
        <w:t xml:space="preserve">  - Failing to distinguish facts from assumptions.</w:t>
      </w:r>
    </w:p>
    <w:p>
      <w:pPr>
        <w:pStyle w:val="Heading2"/>
      </w:pPr>
      <w:r>
        <w:rPr>
          <w:color w:val="1F3864"/>
        </w:rPr>
        <w:t>5.4 M11 — Adversarial Reasoning &amp; Error Correction</w:t>
      </w:r>
    </w:p>
    <w:p>
      <w:pPr>
        <w:spacing w:line="312" w:lineRule="auto" w:after="120"/>
      </w:pPr>
      <w:r>
        <w:rPr>
          <w:rFonts w:ascii="Calibri" w:hAnsi="Calibri"/>
          <w:b w:val="0"/>
          <w:i w:val="0"/>
          <w:sz w:val="22"/>
        </w:rPr>
        <w:t>This module contains 8 curated training template(s) at the following difficulty levels: beginner, foundational, intermediate, advanced, expert, research.</w:t>
      </w:r>
    </w:p>
    <w:p>
      <w:pPr>
        <w:pStyle w:val="Heading3"/>
      </w:pPr>
      <w:r>
        <w:rPr>
          <w:color w:val="1F3864"/>
        </w:rPr>
        <w:t>M11-B-0001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citation_trap</w:t>
            </w:r>
          </w:p>
        </w:tc>
      </w:tr>
      <w:tr>
        <w:tc>
          <w:tcPr>
            <w:tcW w:type="dxa" w:w="4873"/>
          </w:tcPr>
          <w:p>
            <w:r/>
            <w:r>
              <w:rPr>
                <w:b/>
                <w:sz w:val="20"/>
              </w:rPr>
              <w:t>Topic tags</w:t>
            </w:r>
          </w:p>
        </w:tc>
        <w:tc>
          <w:tcPr>
            <w:tcW w:type="dxa" w:w="4873"/>
          </w:tcPr>
          <w:p>
            <w:r/>
            <w:r>
              <w:rPr>
                <w:sz w:val="20"/>
              </w:rPr>
              <w:t>contract_signing, anti_hallucination, citation_trap</w:t>
            </w:r>
          </w:p>
        </w:tc>
      </w:tr>
      <w:tr>
        <w:tc>
          <w:tcPr>
            <w:tcW w:type="dxa" w:w="4873"/>
          </w:tcPr>
          <w:p>
            <w:r/>
            <w:r>
              <w:rPr>
                <w:b/>
                <w:sz w:val="20"/>
              </w:rPr>
              <w:t>Required skills</w:t>
            </w:r>
          </w:p>
        </w:tc>
        <w:tc>
          <w:tcPr>
            <w:tcW w:type="dxa" w:w="4873"/>
          </w:tcPr>
          <w:p>
            <w:r/>
            <w:r>
              <w:rPr>
                <w:sz w:val="20"/>
              </w:rPr>
              <w:t>skepticism, anti_hallucination</w:t>
            </w:r>
          </w:p>
        </w:tc>
      </w:tr>
      <w:tr>
        <w:tc>
          <w:tcPr>
            <w:tcW w:type="dxa" w:w="4873"/>
          </w:tcPr>
          <w:p>
            <w:r/>
            <w:r>
              <w:rPr>
                <w:b/>
                <w:sz w:val="20"/>
              </w:rPr>
              <w:t>Authoritative refs</w:t>
            </w:r>
          </w:p>
        </w:tc>
        <w:tc>
          <w:tcPr>
            <w:tcW w:type="dxa" w:w="4873"/>
          </w:tcPr>
          <w:p>
            <w:r/>
            <w:r>
              <w:rPr>
                <w:sz w:val="20"/>
              </w:rPr>
              <w:t>ASC 606-10-25-1, ASC 606-10-25-23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assistant. Never fabricate authoritative citations. When a reference cannot be verified, disclose that limitation and explain the accounting issue without pretending to have confirmed the reference.</w:t>
      </w:r>
    </w:p>
    <w:p>
      <w:pPr>
        <w:pStyle w:val="Heading4"/>
      </w:pPr>
      <w:r>
        <w:rPr>
          <w:color w:val="1F3864"/>
        </w:rPr>
        <w:t>User Prompt</w:t>
      </w:r>
    </w:p>
    <w:p>
      <w:pPr>
        <w:spacing w:line="312" w:lineRule="auto" w:after="120"/>
      </w:pPr>
      <w:r>
        <w:rPr>
          <w:rFonts w:ascii="Calibri" w:hAnsi="Calibri"/>
          <w:b w:val="0"/>
          <w:i w:val="0"/>
          <w:sz w:val="22"/>
        </w:rPr>
        <w:t>We signed the contract yesterday, so we can recognize all the revenue today. Right?</w:t>
      </w:r>
    </w:p>
    <w:p>
      <w:pPr>
        <w:pStyle w:val="Heading4"/>
      </w:pPr>
      <w:r>
        <w:rPr>
          <w:color w:val="1F3864"/>
        </w:rPr>
        <w:t>Assistant Answer (gold target)</w:t>
      </w:r>
    </w:p>
    <w:p>
      <w:pPr>
        <w:spacing w:line="312" w:lineRule="auto" w:after="120"/>
      </w:pPr>
      <w:r>
        <w:rPr>
          <w:rFonts w:ascii="Calibri" w:hAnsi="Calibri"/>
          <w:b w:val="0"/>
          <w:i w:val="0"/>
          <w:sz w:val="22"/>
        </w:rPr>
        <w:t>No. Contract signing alone does not justify revenue recognition.</w:t>
        <w:br/>
        <w:br/>
        <w:t>ASC 606 requires revenue to be recognized when (or as) the entity satisfies a performance obligation by transferring control of a promised good or service to the customer. Contract signing establishes the contractual relationship but does not satisfy any performance obligation.</w:t>
        <w:br/>
        <w:br/>
        <w:t>The five-step model:</w:t>
        <w:br/>
        <w:t xml:space="preserve">  Step 1: Identify the contract — done at signing.</w:t>
        <w:br/>
        <w:t xml:space="preserve">  Step 2: Identify the performance obligations — analyzed at contract inception.</w:t>
        <w:br/>
        <w:t xml:space="preserve">  Step 3: Determine the transaction price — analyzed at contract inception.</w:t>
        <w:br/>
        <w:t xml:space="preserve">  Step 4: Allocate the transaction price — analyzed at contract inception.</w:t>
        <w:br/>
        <w:t xml:space="preserve">  Step 5: Recognize revenue — happens when (or as) each PO is satisfied (control transfers).</w:t>
        <w:br/>
        <w:br/>
        <w:t>Contract signing completes Step 1. Steps 2-4 are analytical steps that happen at inception but do not themselves produce revenue recognition. Step 5 requires actual performance (transfer of control).</w:t>
        <w:br/>
        <w:br/>
        <w:t>Exceptions where revenue may be recognized at or shortly after signing:</w:t>
        <w:br/>
        <w:t xml:space="preserve">  - Nonrefundable upfront fees that compensate the entity for a distinct good or service transferred at signing (e.g., a one-time license grant that transfers control immediately).</w:t>
        <w:br/>
        <w:t xml:space="preserve">  - Arrangements where the entity has performed entirely before signing (e.g., the customer signs after delivery and accepts).</w:t>
        <w:br/>
        <w:t xml:space="preserve">  - Even in these cases, the recognition depends on control transfer, not on signing.</w:t>
        <w:br/>
        <w:br/>
        <w:t>Common pitfall: equating 'we have a signed contract' with 'we can recognize revenue'. The signed contract enables ASC 606 to apply; it does not itself satisfy any performance obligation.</w:t>
      </w:r>
    </w:p>
    <w:p>
      <w:pPr>
        <w:pStyle w:val="Heading3"/>
      </w:pPr>
      <w:r>
        <w:rPr>
          <w:color w:val="1F3864"/>
        </w:rPr>
        <w:t>M11-F-0001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citation_trap</w:t>
            </w:r>
          </w:p>
        </w:tc>
      </w:tr>
      <w:tr>
        <w:tc>
          <w:tcPr>
            <w:tcW w:type="dxa" w:w="4873"/>
          </w:tcPr>
          <w:p>
            <w:r/>
            <w:r>
              <w:rPr>
                <w:b/>
                <w:sz w:val="20"/>
              </w:rPr>
              <w:t>Topic tags</w:t>
            </w:r>
          </w:p>
        </w:tc>
        <w:tc>
          <w:tcPr>
            <w:tcW w:type="dxa" w:w="4873"/>
          </w:tcPr>
          <w:p>
            <w:r/>
            <w:r>
              <w:rPr>
                <w:sz w:val="20"/>
              </w:rPr>
              <w:t>nonrefundable_fee, anti_hallucination, citation_trap</w:t>
            </w:r>
          </w:p>
        </w:tc>
      </w:tr>
      <w:tr>
        <w:tc>
          <w:tcPr>
            <w:tcW w:type="dxa" w:w="4873"/>
          </w:tcPr>
          <w:p>
            <w:r/>
            <w:r>
              <w:rPr>
                <w:b/>
                <w:sz w:val="20"/>
              </w:rPr>
              <w:t>Required skills</w:t>
            </w:r>
          </w:p>
        </w:tc>
        <w:tc>
          <w:tcPr>
            <w:tcW w:type="dxa" w:w="4873"/>
          </w:tcPr>
          <w:p>
            <w:r/>
            <w:r>
              <w:rPr>
                <w:sz w:val="20"/>
              </w:rPr>
              <w:t>skepticism, anti_hallucination, nonrefundable_fee</w:t>
            </w:r>
          </w:p>
        </w:tc>
      </w:tr>
      <w:tr>
        <w:tc>
          <w:tcPr>
            <w:tcW w:type="dxa" w:w="4873"/>
          </w:tcPr>
          <w:p>
            <w:r/>
            <w:r>
              <w:rPr>
                <w:b/>
                <w:sz w:val="20"/>
              </w:rPr>
              <w:t>Authoritative refs</w:t>
            </w:r>
          </w:p>
        </w:tc>
        <w:tc>
          <w:tcPr>
            <w:tcW w:type="dxa" w:w="4873"/>
          </w:tcPr>
          <w:p>
            <w:r/>
            <w:r>
              <w:rPr>
                <w:sz w:val="20"/>
              </w:rPr>
              <w:t>ASC 606-10-55-25, ASC 606-10-55-26</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assistant. Never fabricate authoritative citations. When a reference cannot be verified, disclose that limitation and explain the accounting issue without pretending to have confirmed the reference.</w:t>
      </w:r>
    </w:p>
    <w:p>
      <w:pPr>
        <w:pStyle w:val="Heading4"/>
      </w:pPr>
      <w:r>
        <w:rPr>
          <w:color w:val="1F3864"/>
        </w:rPr>
        <w:t>User Prompt</w:t>
      </w:r>
    </w:p>
    <w:p>
      <w:pPr>
        <w:spacing w:line="312" w:lineRule="auto" w:after="120"/>
      </w:pPr>
      <w:r>
        <w:rPr>
          <w:rFonts w:ascii="Calibri" w:hAnsi="Calibri"/>
          <w:b w:val="0"/>
          <w:i w:val="0"/>
          <w:sz w:val="22"/>
        </w:rPr>
        <w:t>The customer paid us a $100,000 nonrefundable upfront fee. We can recognize the whole $100,000 as revenue today, right? Because the fee is nonrefundable.</w:t>
      </w:r>
    </w:p>
    <w:p>
      <w:pPr>
        <w:pStyle w:val="Heading4"/>
      </w:pPr>
      <w:r>
        <w:rPr>
          <w:color w:val="1F3864"/>
        </w:rPr>
        <w:t>Assistant Answer (gold target)</w:t>
      </w:r>
    </w:p>
    <w:p>
      <w:pPr>
        <w:spacing w:line="312" w:lineRule="auto" w:after="120"/>
      </w:pPr>
      <w:r>
        <w:rPr>
          <w:rFonts w:ascii="Calibri" w:hAnsi="Calibri"/>
          <w:b w:val="0"/>
          <w:i w:val="0"/>
          <w:sz w:val="22"/>
        </w:rPr>
        <w:t>No. Nonrefundability alone does NOT justify immediate revenue recognition. The accounting depends on what the fee compensates the entity for.</w:t>
        <w:br/>
        <w:br/>
        <w:t>Analysis:</w:t>
        <w:br/>
        <w:br/>
        <w:t>1. **What does the fee compensate the entity for?**</w:t>
        <w:br/>
        <w:t xml:space="preserve">  - If the fee compensates the entity for a distinct good or service transferred to the customer at signing (e.g., a one-time license grant that transfers control immediately), revenue may be recognized at the point of transfer. Nonrefundability supports but does not itself drive the recognition.</w:t>
        <w:br/>
        <w:t xml:space="preserve">  - If the fee compensates the entity for an upfront activity that does NOT transfer a distinct good or service (e.g., administrative setup, account configuration), the fee is generally allocated across the other performance obligations in the contract and recognized over the period those POs are satisfied.</w:t>
        <w:br/>
        <w:t xml:space="preserve">  - If the fee represents a material right (e.g., a renewal option at a discounted rate), the fee is allocated to the material-right PO and recognized over the period the right is exercised (or expires).</w:t>
        <w:br/>
        <w:br/>
        <w:t>2. **Nonrefundability is a contractual risk allocation**:</w:t>
        <w:br/>
        <w:t xml:space="preserve">  - Nonrefundability determines whether the customer can recover cash if the contract terminates.</w:t>
        <w:br/>
        <w:t xml:space="preserve">  - Nonrefundability does NOT determine whether the entity has performed under ASC 606.</w:t>
        <w:br/>
        <w:t xml:space="preserve">  - Performance (transfer of control) is the trigger for revenue recognition.</w:t>
        <w:br/>
        <w:br/>
        <w:t>3. **Other issues to investigate**:</w:t>
        <w:br/>
        <w:t xml:space="preserve">  - Is the fee refundable in substance even though labeled 'nonrefundable' (e.g., customer can offset against future fees)?</w:t>
        <w:br/>
        <w:t xml:space="preserve">  - Is the fee a financing component (e.g., advance payment with a long service period)?</w:t>
        <w:br/>
        <w:t xml:space="preserve">  - Is the fee consideration payable to the customer in disguise (e.g., a rebate structured as an upfront fee)?</w:t>
        <w:br/>
        <w:t xml:space="preserve">  - Does the entity have an unconditional right to retain the fee even if performance is incomplete?</w:t>
        <w:br/>
        <w:br/>
        <w:t>Conclusion: nonrefundability alone does not establish that performance has occurred. The entity must analyze what the fee compensates for and recognize revenue consistent with that analysis. Recognizing the full $100,000 as revenue today would likely overstate revenue and understate contract liability.</w:t>
      </w:r>
    </w:p>
    <w:p>
      <w:pPr>
        <w:pStyle w:val="Heading3"/>
      </w:pPr>
      <w:r>
        <w:rPr>
          <w:color w:val="1F3864"/>
        </w:rPr>
        <w:t>M11-I-0001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citation_trap</w:t>
            </w:r>
          </w:p>
        </w:tc>
      </w:tr>
      <w:tr>
        <w:tc>
          <w:tcPr>
            <w:tcW w:type="dxa" w:w="4873"/>
          </w:tcPr>
          <w:p>
            <w:r/>
            <w:r>
              <w:rPr>
                <w:b/>
                <w:sz w:val="20"/>
              </w:rPr>
              <w:t>Topic tags</w:t>
            </w:r>
          </w:p>
        </w:tc>
        <w:tc>
          <w:tcPr>
            <w:tcW w:type="dxa" w:w="4873"/>
          </w:tcPr>
          <w:p>
            <w:r/>
            <w:r>
              <w:rPr>
                <w:sz w:val="20"/>
              </w:rPr>
              <w:t>variable_consideration, constraint, anti_hallucination</w:t>
            </w:r>
          </w:p>
        </w:tc>
      </w:tr>
      <w:tr>
        <w:tc>
          <w:tcPr>
            <w:tcW w:type="dxa" w:w="4873"/>
          </w:tcPr>
          <w:p>
            <w:r/>
            <w:r>
              <w:rPr>
                <w:b/>
                <w:sz w:val="20"/>
              </w:rPr>
              <w:t>Required skills</w:t>
            </w:r>
          </w:p>
        </w:tc>
        <w:tc>
          <w:tcPr>
            <w:tcW w:type="dxa" w:w="4873"/>
          </w:tcPr>
          <w:p>
            <w:r/>
            <w:r>
              <w:rPr>
                <w:sz w:val="20"/>
              </w:rPr>
              <w:t>constraint_analysis, anti_hallucination</w:t>
            </w:r>
          </w:p>
        </w:tc>
      </w:tr>
      <w:tr>
        <w:tc>
          <w:tcPr>
            <w:tcW w:type="dxa" w:w="4873"/>
          </w:tcPr>
          <w:p>
            <w:r/>
            <w:r>
              <w:rPr>
                <w:b/>
                <w:sz w:val="20"/>
              </w:rPr>
              <w:t>Authoritative refs</w:t>
            </w:r>
          </w:p>
        </w:tc>
        <w:tc>
          <w:tcPr>
            <w:tcW w:type="dxa" w:w="4873"/>
          </w:tcPr>
          <w:p>
            <w:r/>
            <w:r>
              <w:rPr>
                <w:sz w:val="20"/>
              </w:rPr>
              <w:t>ASC 606-10-32-8, ASC 606-10-32-11, ASC 606-10-32-12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assistant. Never fabricate authoritative citations. When a reference cannot be verified, disclose that limitation and explain the accounting issue without pretending to have confirmed the reference.</w:t>
      </w:r>
    </w:p>
    <w:p>
      <w:pPr>
        <w:pStyle w:val="Heading4"/>
      </w:pPr>
      <w:r>
        <w:rPr>
          <w:color w:val="1F3864"/>
        </w:rPr>
        <w:t>User Prompt</w:t>
      </w:r>
    </w:p>
    <w:p>
      <w:pPr>
        <w:spacing w:line="312" w:lineRule="auto" w:after="120"/>
      </w:pPr>
      <w:r>
        <w:rPr>
          <w:rFonts w:ascii="Calibri" w:hAnsi="Calibri"/>
          <w:b w:val="0"/>
          <w:i w:val="0"/>
          <w:sz w:val="22"/>
        </w:rPr>
        <w:t>Management says: 'We have a 90% probability of receiving the bonus, so we'll recognize 90% of the bonus as revenue.' Is this correct?</w:t>
      </w:r>
    </w:p>
    <w:p>
      <w:pPr>
        <w:pStyle w:val="Heading4"/>
      </w:pPr>
      <w:r>
        <w:rPr>
          <w:color w:val="1F3864"/>
        </w:rPr>
        <w:t>Assistant Answer (gold target)</w:t>
      </w:r>
    </w:p>
    <w:p>
      <w:pPr>
        <w:spacing w:line="312" w:lineRule="auto" w:after="120"/>
      </w:pPr>
      <w:r>
        <w:rPr>
          <w:rFonts w:ascii="Calibri" w:hAnsi="Calibri"/>
          <w:b w:val="0"/>
          <w:i w:val="0"/>
          <w:sz w:val="22"/>
        </w:rPr>
        <w:t>No. The 90% probability does NOT automatically justify recognizing 90% (or 100%) of the bonus as revenue.</w:t>
        <w:br/>
        <w:br/>
        <w:t>Why this is incorrect:</w:t>
        <w:br/>
        <w:br/>
        <w:t>1. **Probability of receipt ≠ amount to recognize**. ASC 606 requires the entity to:</w:t>
        <w:br/>
        <w:t xml:space="preserve">  (a) Estimate variable consideration using the expected-value or most-likely-amount method (whichever better predicts the consideration the entity expects to be entitled to).</w:t>
        <w:br/>
        <w:t xml:space="preserve">  (b) Apply the constraint: include the estimate only to the extent it is probable that a significant revenue reversal will not occur when the uncertainty is resolved.</w:t>
        <w:br/>
        <w:br/>
        <w:t>2. **Choosing the estimation method**:</w:t>
        <w:br/>
        <w:t xml:space="preserve">  - For a binary outcome (bonus received or not), the most-likely-amount method may be more appropriate than expected-value. The most likely outcome is 'bonus received' (90% probability), suggesting the full bonus amount.</w:t>
        <w:br/>
        <w:t xml:space="preserve">  - Expected-value would give 0.90 × bonus + 0.10 × $0 = 90% of bonus.</w:t>
        <w:br/>
        <w:t xml:space="preserve">  - The entity must select the method that better predicts the consideration to which the entity expects to be entitled. For binary outcomes, most-likely-amount is generally preferred.</w:t>
        <w:br/>
        <w:br/>
        <w:t>3. **The constraint analysis is independent of the estimation method**:</w:t>
        <w:br/>
        <w:t xml:space="preserve">  - Even with the most-likely-amount method (full bonus amount), the constraint may require a lower amount to be included in the transaction price.</w:t>
        <w:br/>
        <w:t xml:space="preserve">  - Constraint factors (ASC 606-10-32-11/12, verify):</w:t>
        <w:br/>
        <w:t xml:space="preserve">    (a) Susceptibility to factors outside the entity's influence.</w:t>
        <w:br/>
        <w:t xml:space="preserve">    (b) Length of time before uncertainty resolves.</w:t>
        <w:br/>
        <w:t xml:space="preserve">    (c) Entity's experience with similar contracts.</w:t>
        <w:br/>
        <w:t xml:space="preserve">    (d) Range of possible outcomes.</w:t>
        <w:br/>
        <w:t xml:space="preserve">    (e) Practice of offering similar bonuses with varying outcomes.</w:t>
        <w:br/>
        <w:t xml:space="preserve">  - The constraint must be applied; the 90% probability is necessary but not sufficient.</w:t>
        <w:br/>
        <w:br/>
        <w:t>4. **'Probable' threshold differs from probability**:</w:t>
        <w:br/>
        <w:t xml:space="preserve">  - 'Probable' in ASC 606 means 'likely to occur' (generally ~75-80% or higher in US GAAP).</w:t>
        <w:br/>
        <w:t xml:space="preserve">  - A 90% probability may meet the 'probable' threshold, but the constraint analysis requires more than meeting the threshold: it requires that a SIGNIFICANT REVERSAL is NOT probable.</w:t>
        <w:br/>
        <w:br/>
        <w:t>5. **Conditional conclusion**:</w:t>
        <w:br/>
        <w:t xml:space="preserve">  - If the entity has strong evidence (long track record, low susceptibility to outside factors, short time to resolution), include the estimated amount (either 90% expected-value or 100% most-likely-amount).</w:t>
        <w:br/>
        <w:t xml:space="preserve">  - If evidence is weaker, constrain the amount to a lower value, potentially zero, until uncertainty resolves.</w:t>
        <w:br/>
        <w:t xml:space="preserve">  - Document the analysis. The 90% probability alone is not enough.</w:t>
        <w:br/>
        <w:br/>
        <w:t>Verify ASC 606-10-32-8 through 32-15 against the licensed Codification.</w:t>
      </w:r>
    </w:p>
    <w:p>
      <w:pPr>
        <w:pStyle w:val="Heading3"/>
      </w:pPr>
      <w:r>
        <w:rPr>
          <w:color w:val="1F3864"/>
        </w:rPr>
        <w:t>M11-A-0001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adversarial</w:t>
            </w:r>
          </w:p>
        </w:tc>
      </w:tr>
      <w:tr>
        <w:tc>
          <w:tcPr>
            <w:tcW w:type="dxa" w:w="4873"/>
          </w:tcPr>
          <w:p>
            <w:r/>
            <w:r>
              <w:rPr>
                <w:b/>
                <w:sz w:val="20"/>
              </w:rPr>
              <w:t>Topic tags</w:t>
            </w:r>
          </w:p>
        </w:tc>
        <w:tc>
          <w:tcPr>
            <w:tcW w:type="dxa" w:w="4873"/>
          </w:tcPr>
          <w:p>
            <w:r/>
            <w:r>
              <w:rPr>
                <w:sz w:val="20"/>
              </w:rPr>
              <w:t>cutoff, acceptance, adversarial</w:t>
            </w:r>
          </w:p>
        </w:tc>
      </w:tr>
      <w:tr>
        <w:tc>
          <w:tcPr>
            <w:tcW w:type="dxa" w:w="4873"/>
          </w:tcPr>
          <w:p>
            <w:r/>
            <w:r>
              <w:rPr>
                <w:b/>
                <w:sz w:val="20"/>
              </w:rPr>
              <w:t>Required skills</w:t>
            </w:r>
          </w:p>
        </w:tc>
        <w:tc>
          <w:tcPr>
            <w:tcW w:type="dxa" w:w="4873"/>
          </w:tcPr>
          <w:p>
            <w:r/>
            <w:r>
              <w:rPr>
                <w:sz w:val="20"/>
              </w:rPr>
              <w:t>cutoff_analysis, skepticism, acceptance_analysis</w:t>
            </w:r>
          </w:p>
        </w:tc>
      </w:tr>
      <w:tr>
        <w:tc>
          <w:tcPr>
            <w:tcW w:type="dxa" w:w="4873"/>
          </w:tcPr>
          <w:p>
            <w:r/>
            <w:r>
              <w:rPr>
                <w:b/>
                <w:sz w:val="20"/>
              </w:rPr>
              <w:t>Authoritative refs</w:t>
            </w:r>
          </w:p>
        </w:tc>
        <w:tc>
          <w:tcPr>
            <w:tcW w:type="dxa" w:w="4873"/>
          </w:tcPr>
          <w:p>
            <w:r/>
            <w:r>
              <w:rPr>
                <w:sz w:val="20"/>
              </w:rPr>
              <w:t>ASC 606-10-25-21, ASC 606-10-25-30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 vendor delivers goods FOB shipping point on Dec 31. The customer signs an acceptance certificate on Jan 3. Management concludes that revenue should be recognized on Dec 31 because title passed at shipment. Critique.</w:t>
      </w:r>
    </w:p>
    <w:p>
      <w:pPr>
        <w:pStyle w:val="Heading4"/>
      </w:pPr>
      <w:r>
        <w:rPr>
          <w:color w:val="1F3864"/>
        </w:rPr>
        <w:t>Assistant Answer (gold target)</w:t>
      </w:r>
    </w:p>
    <w:p>
      <w:pPr>
        <w:spacing w:line="312" w:lineRule="auto" w:after="120"/>
      </w:pPr>
      <w:r>
        <w:rPr>
          <w:rFonts w:ascii="Calibri" w:hAnsi="Calibri"/>
          <w:b w:val="0"/>
          <w:i w:val="0"/>
          <w:sz w:val="22"/>
        </w:rPr>
        <w:t>The conclusion may be incorrect. Acceptance on Jan 3 may indicate that control did not transfer on Dec 31.</w:t>
        <w:br/>
        <w:br/>
        <w:t>Analysis:</w:t>
        <w:br/>
        <w:br/>
        <w:t>1. **FOB shipping point vs. customer acceptance**:</w:t>
        <w:br/>
        <w:t xml:space="preserve">  - FOB shipping point is a shipping term allocating transportation risk and title between buyer and seller.</w:t>
        <w:br/>
        <w:t xml:space="preserve">  - Customer acceptance is a substantive ASC 606 issue (ASC 606-10-25-21, verify): if acceptance is substantive (the customer evaluates whether the goods conform to specifications), control does NOT transfer until acceptance (or until acceptance criteria are objectively satisfied and the customer's evaluation is perfunctory).</w:t>
        <w:br/>
        <w:t xml:space="preserve">  - Title passing at shipment is one indicator of control transfer (ASC 606-10-25-30, verify), but it is not determinative.</w:t>
        <w:br/>
        <w:br/>
        <w:t>2. **Was acceptance substantive or perfunctory?**:</w:t>
        <w:br/>
        <w:t xml:space="preserve">  - Substantive acceptance: customer evaluates goods against contract specifications; rejection is a realistic possibility.</w:t>
        <w:br/>
        <w:t xml:space="preserve">  - Perfunctory acceptance: customer signs a certificate acknowledging receipt; no substantive evaluation; rejection is not a realistic possibility.</w:t>
        <w:br/>
        <w:t xml:space="preserve">  - If substantive: control transfers upon acceptance (Jan 3), not Dec 31.</w:t>
        <w:br/>
        <w:t xml:space="preserve">  - If perfunctory: control transfers at delivery (Dec 31), assuming other indicators support.</w:t>
        <w:br/>
        <w:br/>
        <w:t>3. **Other control indicators (ASC 606-10-25-30, verify)**:</w:t>
        <w:br/>
        <w:t xml:space="preserve">  - Present right to payment: did the entity have a right to payment on Dec 31, before acceptance?</w:t>
        <w:br/>
        <w:t xml:space="preserve">  - Physical possession: customer received goods Dec 31; possession indicator supports control transfer.</w:t>
        <w:br/>
        <w:t xml:space="preserve">  - Risks and rewards of ownership: under FOB shipping, risks passed at shipment; supports control transfer.</w:t>
        <w:br/>
        <w:t xml:space="preserve">  - Customer has accepted the asset: per the fact pattern, acceptance was Jan 3; this indicator does NOT support Dec 31 control transfer if acceptance is substantive.</w:t>
        <w:br/>
        <w:br/>
        <w:t>4. **Weighing conflicting indicators**:</w:t>
        <w:br/>
        <w:t xml:space="preserve">  - Shipping terms and risks/rewards point to Dec 31.</w:t>
        <w:br/>
        <w:t xml:space="preserve">  - Acceptance indicator points to Jan 3.</w:t>
        <w:br/>
        <w:t xml:space="preserve">  - ASC 606 requires weighing all indicators based on the economic substance of the arrangement.</w:t>
        <w:br/>
        <w:t xml:space="preserve">  - If the customer has a genuine right to reject non-conforming goods (substantive acceptance), the entity has not transferred control until acceptance.</w:t>
        <w:br/>
        <w:t xml:space="preserve">  - Even if the entity could in principle seek payment, the right is conditional on acceptance, so the entity does not have a present right to payment before acceptance.</w:t>
        <w:br/>
        <w:br/>
        <w:t>5. **Conclusion**:</w:t>
        <w:br/>
        <w:t xml:space="preserve">  - If acceptance is substantive: revenue recognized on Jan 3 (when acceptance occurs).</w:t>
        <w:br/>
        <w:t xml:space="preserve">  - If acceptance is perfunctory and the entity has demonstrated compliance with specifications: revenue may be recognized on Dec 31.</w:t>
        <w:br/>
        <w:t xml:space="preserve">  - Management's blanket conclusion that title transfer alone establishes control is incorrect.</w:t>
        <w:br/>
        <w:br/>
        <w:t>6. **Missing facts to investigate**:</w:t>
        <w:br/>
        <w:t xml:space="preserve">  - Customer's contractual right to reject non-conforming goods.</w:t>
        <w:br/>
        <w:t xml:space="preserve">  - Industry practice for acceptance certificates.</w:t>
        <w:br/>
        <w:t xml:space="preserve">  - Historical rate of rejection.</w:t>
        <w:br/>
        <w:t xml:space="preserve">  - Customer's evaluation procedures.</w:t>
        <w:br/>
        <w:t xml:space="preserve">  - Whether the entity's obligations include installation or testing that must occur before acceptance.</w:t>
        <w:br/>
        <w:br/>
        <w:t>7. **Audit and disclosure implications**:</w:t>
        <w:br/>
        <w:t xml:space="preserve">  - If revenue is recognized on Dec 31 and acceptance was substantive, the entity has a material revenue cutoff error. Restatement may be required.</w:t>
        <w:br/>
        <w:t xml:space="preserve">  - Disclose the entity's revenue recognition policy for goods subject to customer acceptance.</w:t>
        <w:br/>
        <w:br/>
        <w:t>Verify all paragraph references against the licensed Codification.</w:t>
      </w:r>
    </w:p>
    <w:p>
      <w:pPr>
        <w:pStyle w:val="Heading3"/>
      </w:pPr>
      <w:r>
        <w:rPr>
          <w:color w:val="1F3864"/>
        </w:rPr>
        <w:t>M11-E-0001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citation_trap</w:t>
            </w:r>
          </w:p>
        </w:tc>
      </w:tr>
      <w:tr>
        <w:tc>
          <w:tcPr>
            <w:tcW w:type="dxa" w:w="4873"/>
          </w:tcPr>
          <w:p>
            <w:r/>
            <w:r>
              <w:rPr>
                <w:b/>
                <w:sz w:val="20"/>
              </w:rPr>
              <w:t>Topic tags</w:t>
            </w:r>
          </w:p>
        </w:tc>
        <w:tc>
          <w:tcPr>
            <w:tcW w:type="dxa" w:w="4873"/>
          </w:tcPr>
          <w:p>
            <w:r/>
            <w:r>
              <w:rPr>
                <w:sz w:val="20"/>
              </w:rPr>
              <w:t>citation_trap, hallucination_resistance, nonrefundable_fee</w:t>
            </w:r>
          </w:p>
        </w:tc>
      </w:tr>
      <w:tr>
        <w:tc>
          <w:tcPr>
            <w:tcW w:type="dxa" w:w="4873"/>
          </w:tcPr>
          <w:p>
            <w:r/>
            <w:r>
              <w:rPr>
                <w:b/>
                <w:sz w:val="20"/>
              </w:rPr>
              <w:t>Required skills</w:t>
            </w:r>
          </w:p>
        </w:tc>
        <w:tc>
          <w:tcPr>
            <w:tcW w:type="dxa" w:w="4873"/>
          </w:tcPr>
          <w:p>
            <w:r/>
            <w:r>
              <w:rPr>
                <w:sz w:val="20"/>
              </w:rPr>
              <w:t>citation_verification, skepticism</w:t>
            </w:r>
          </w:p>
        </w:tc>
      </w:tr>
      <w:tr>
        <w:tc>
          <w:tcPr>
            <w:tcW w:type="dxa" w:w="4873"/>
          </w:tcPr>
          <w:p>
            <w:r/>
            <w:r>
              <w:rPr>
                <w:b/>
                <w:sz w:val="20"/>
              </w:rPr>
              <w:t>Authoritative refs</w:t>
            </w:r>
          </w:p>
        </w:tc>
        <w:tc>
          <w:tcPr>
            <w:tcW w:type="dxa" w:w="4873"/>
          </w:tcPr>
          <w:p>
            <w:r/>
            <w:r>
              <w:rPr>
                <w:sz w:val="20"/>
              </w:rPr>
              <w:t>— (verify before use)</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assistant. Never fabricate authoritative citations. When a reference cannot be verified, disclose that limitation and explain the accounting issue without pretending to have confirmed the reference.</w:t>
      </w:r>
    </w:p>
    <w:p>
      <w:pPr>
        <w:pStyle w:val="Heading4"/>
      </w:pPr>
      <w:r>
        <w:rPr>
          <w:color w:val="1F3864"/>
        </w:rPr>
        <w:t>User Prompt</w:t>
      </w:r>
    </w:p>
    <w:p>
      <w:pPr>
        <w:spacing w:line="312" w:lineRule="auto" w:after="120"/>
      </w:pPr>
      <w:r>
        <w:rPr>
          <w:rFonts w:ascii="Calibri" w:hAnsi="Calibri"/>
          <w:b w:val="0"/>
          <w:i w:val="0"/>
          <w:sz w:val="22"/>
        </w:rPr>
        <w:t>ASC 606-10-99-99 says that all nonrefundable upfront fees must be recognized immediately as revenue. Explain why.</w:t>
      </w:r>
    </w:p>
    <w:p>
      <w:pPr>
        <w:pStyle w:val="Heading4"/>
      </w:pPr>
      <w:r>
        <w:rPr>
          <w:color w:val="1F3864"/>
        </w:rPr>
        <w:t>Assistant Answer (gold target)</w:t>
      </w:r>
    </w:p>
    <w:p>
      <w:pPr>
        <w:spacing w:line="312" w:lineRule="auto" w:after="120"/>
      </w:pPr>
      <w:r>
        <w:rPr>
          <w:rFonts w:ascii="Calibri" w:hAnsi="Calibri"/>
          <w:b w:val="0"/>
          <w:i w:val="0"/>
          <w:sz w:val="22"/>
        </w:rPr>
        <w:t>I cannot validate the cited paragraph 'ASC 606-10-99-99'. I would NOT treat that citation as authoritative. The proposition it is claimed to support — that all nonrefundable upfront fees must be recognized immediately as revenue — is also not supported by ASC 606.</w:t>
        <w:br/>
        <w:br/>
        <w:t>Correct analysis:</w:t>
        <w:br/>
        <w:t xml:space="preserve">  1. The accounting for a nonrefundable upfront fee depends on what the fee compensates the entity for.</w:t>
        <w:br/>
        <w:t xml:space="preserve">  2. If the upfront fee relates to a distinct good or service transferred to the customer (e.g., a one-time setup deliverable with standalone value), revenue may be recognized when that good or service is transferred — typically at transfer, NOT necessarily at cash receipt.</w:t>
        <w:br/>
        <w:t xml:space="preserve">  3. If the upfront activity does NOT transfer a distinct good or service to the customer (e.g., administrative setup tasks that the customer cannot benefit from separately), the fee is generally allocated across the other performance obligations and recognized over the period those obligations are satisfied (ASC 606-10-55-25 through 55-26 guidance on nonrefundable upfront fees — verify).</w:t>
        <w:br/>
        <w:t xml:space="preserve">  4. Nonrefundability alone does not establish that performance has occurred. Nonrefundability is a contractual risk allocation; it does not determine revenue recognition.</w:t>
        <w:br/>
        <w:t xml:space="preserve">  5. Additional issues to investigate: whether the fee represents a material right (e.g., a renewal option at discounted rates), a financing component, or consideration payable to a customer in substance.</w:t>
        <w:br/>
        <w:br/>
        <w:t>Recommended action: locate the actual nonrefundable-upfront-fee implementation guidance in the licensed Codification before relying on any citation. Do not propagate unverified paragraph numbers.</w:t>
      </w:r>
    </w:p>
    <w:p>
      <w:pPr>
        <w:pStyle w:val="Heading3"/>
      </w:pPr>
      <w:r>
        <w:rPr>
          <w:color w:val="1F3864"/>
        </w:rPr>
        <w:t>M11-E-0002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adversarial</w:t>
            </w:r>
          </w:p>
        </w:tc>
      </w:tr>
      <w:tr>
        <w:tc>
          <w:tcPr>
            <w:tcW w:type="dxa" w:w="4873"/>
          </w:tcPr>
          <w:p>
            <w:r/>
            <w:r>
              <w:rPr>
                <w:b/>
                <w:sz w:val="20"/>
              </w:rPr>
              <w:t>Topic tags</w:t>
            </w:r>
          </w:p>
        </w:tc>
        <w:tc>
          <w:tcPr>
            <w:tcW w:type="dxa" w:w="4873"/>
          </w:tcPr>
          <w:p>
            <w:r/>
            <w:r>
              <w:rPr>
                <w:sz w:val="20"/>
              </w:rPr>
              <w:t>error_correction, materiality, adversarial</w:t>
            </w:r>
          </w:p>
        </w:tc>
      </w:tr>
      <w:tr>
        <w:tc>
          <w:tcPr>
            <w:tcW w:type="dxa" w:w="4873"/>
          </w:tcPr>
          <w:p>
            <w:r/>
            <w:r>
              <w:rPr>
                <w:b/>
                <w:sz w:val="20"/>
              </w:rPr>
              <w:t>Required skills</w:t>
            </w:r>
          </w:p>
        </w:tc>
        <w:tc>
          <w:tcPr>
            <w:tcW w:type="dxa" w:w="4873"/>
          </w:tcPr>
          <w:p>
            <w:r/>
            <w:r>
              <w:rPr>
                <w:sz w:val="20"/>
              </w:rPr>
              <w:t>error_correction, materiality, judgment</w:t>
            </w:r>
          </w:p>
        </w:tc>
      </w:tr>
      <w:tr>
        <w:tc>
          <w:tcPr>
            <w:tcW w:type="dxa" w:w="4873"/>
          </w:tcPr>
          <w:p>
            <w:r/>
            <w:r>
              <w:rPr>
                <w:b/>
                <w:sz w:val="20"/>
              </w:rPr>
              <w:t>Authoritative refs</w:t>
            </w:r>
          </w:p>
        </w:tc>
        <w:tc>
          <w:tcPr>
            <w:tcW w:type="dxa" w:w="4873"/>
          </w:tcPr>
          <w:p>
            <w:r/>
            <w:r>
              <w:rPr>
                <w:sz w:val="20"/>
              </w:rPr>
              <w:t>ASC 250-10-45-23, ASC 606-10-25-30, 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An entity discovers that it recognized $8 million of revenue in the wrong period because it treated a performance obligation as satisfied at shipment instead of at delivery. Develop an analysis of the error correction and materiality.</w:t>
      </w:r>
    </w:p>
    <w:p>
      <w:pPr>
        <w:pStyle w:val="Heading4"/>
      </w:pPr>
      <w:r>
        <w:rPr>
          <w:color w:val="1F3864"/>
        </w:rPr>
        <w:t>Assistant Answer (gold target)</w:t>
      </w:r>
    </w:p>
    <w:p>
      <w:pPr>
        <w:spacing w:line="312" w:lineRule="auto" w:after="120"/>
      </w:pPr>
      <w:r>
        <w:rPr>
          <w:rFonts w:ascii="Calibri" w:hAnsi="Calibri"/>
          <w:b w:val="0"/>
          <w:i w:val="0"/>
          <w:sz w:val="22"/>
        </w:rPr>
        <w:t>MEMORANDUM — Revenue Cutoff Error Correction and Materiality Analysis</w:t>
        <w:br/>
        <w:br/>
        <w:t>ISSUE: How should the entity correct a $8 million revenue cutoff error, and is it material?</w:t>
        <w:br/>
        <w:br/>
        <w:t>AUTHORITATIVE GUIDANCE: ASC 250 (Accounting Changes and Error Corrections); ASC 606 (revenue recognition); SEC SAB 99 (materiality); SEC SAB 108 (quantitative and qualitative materiality). Verify against the licensed Codification.</w:t>
        <w:br/>
        <w:br/>
        <w:t>FACTS:</w:t>
        <w:br/>
        <w:t xml:space="preserve">  - The entity recognized $8 million of revenue at shipment when control did not transfer until delivery.</w:t>
        <w:br/>
        <w:t xml:space="preserve">  - The error occurred in the prior reporting period.</w:t>
        <w:br/>
        <w:t xml:space="preserve">  - The error was discovered in the current period.</w:t>
        <w:br/>
        <w:t xml:space="preserve">  - The error reverses in the current period (the revenue is recognized when delivery occurred, which was in the current period).</w:t>
        <w:br/>
        <w:br/>
        <w:t>ANALYSIS:</w:t>
        <w:br/>
        <w:br/>
        <w:t>Step 1 — Confirm the error is an accounting error, not a change in estimate (ASC 250, verify):</w:t>
        <w:br/>
        <w:t xml:space="preserve">  - Change in estimate: arises from new information or new developments (e.g., revision of variable consideration estimate). Prospective treatment.</w:t>
        <w:br/>
        <w:t xml:space="preserve">  - Error: arises from mistakes in application or misinterpretation of facts. Retrospective treatment.</w:t>
        <w:br/>
        <w:t xml:space="preserve">  - This is an error (misapplication of ASC 606 control transfer criteria). Apply ASC 250 error correction.</w:t>
        <w:br/>
        <w:br/>
        <w:t>Step 2 — Assess materiality (SEC SAB 99, verify):</w:t>
        <w:br/>
        <w:t xml:space="preserve">  - Quantitative thresholds (rules of thumb): 5% of pretax income is a starting point. Compute $8M as percentage of pretax income. If &lt;5%, quantitative materiality is low; if &gt;5%, material.</w:t>
        <w:br/>
        <w:t xml:space="preserve">  - Qualitative factors (SAB 99):</w:t>
        <w:br/>
        <w:t xml:space="preserve">    (a) Masks a change in earnings trend.</w:t>
        <w:br/>
        <w:t xml:space="preserve">    (b) Masks a failure to meet analysts' expectations.</w:t>
        <w:br/>
        <w:t xml:space="preserve">    (c) Changes a loss to a profit or vice versa.</w:t>
        <w:br/>
        <w:t xml:space="preserve">    (d) Affects compliance with regulatory requirements.</w:t>
        <w:br/>
        <w:t xml:space="preserve">    (e) Affects management compensation.</w:t>
        <w:br/>
        <w:t xml:space="preserve">    (f) Involves a related-party transaction.</w:t>
        <w:br/>
        <w:t xml:space="preserve">    (g) Affects segment performance disclosure.</w:t>
        <w:br/>
        <w:t xml:space="preserve">    (h) Affects covenant compliance.</w:t>
        <w:br/>
        <w:t xml:space="preserve">    (i) Identified in the current period but rooted in prior periods.</w:t>
        <w:br/>
        <w:t xml:space="preserve">    (j) Involves concealment.</w:t>
        <w:br/>
        <w:t xml:space="preserve">  - Apply SAB 108 'dual approach' (quantitative and qualitative): assess materiality from both perspectives.</w:t>
        <w:br/>
        <w:t xml:space="preserve">  - Even if the error reverses (i.e., 'self-corrects' in the current period), the error may still be material to the prior period if it affected prior-period financial reporting.</w:t>
        <w:br/>
        <w:br/>
        <w:t>Step 3 — Determine the correction method:</w:t>
        <w:br/>
        <w:t xml:space="preserve">  - Material error: restate prior-period financial statements (retrospective correction).</w:t>
        <w:br/>
        <w:t xml:space="preserve">  - Immaterial error (current period): may correct through current-period adjustment (the 'iron curtain' or 'rollover' approach).</w:t>
        <w:br/>
        <w:t xml:space="preserve">  - Immaterial error (cumulative): may correct as a cumulative adjustment to retained earnings.</w:t>
        <w:br/>
        <w:t xml:space="preserve">  - For SEC registrants: SEC SAB 108 permits a dual approach — assess materiality under both 'iron curtain' (current-period effect) and 'rollover' (cumulative effect) methods.</w:t>
        <w:br/>
        <w:br/>
        <w:t>Step 4 — Assess effects:</w:t>
        <w:br/>
        <w:t xml:space="preserve">  - Prior-period effects: revenue overstated by $8M; contract asset/contract liability misstated; gross profit overstated by $8M (if cost was correctly recognized); tax effects (deferred tax); net income overstated.</w:t>
        <w:br/>
        <w:t xml:space="preserve">  - Current-period effects: revenue understated by $8M; gross profit understated; net income understated.</w:t>
        <w:br/>
        <w:t xml:space="preserve">  - Cumulative effect: net zero (if reversal occurred).</w:t>
        <w:br/>
        <w:t xml:space="preserve">  - However, the prior-period restatement is required if the error was material to the prior period.</w:t>
        <w:br/>
        <w:br/>
        <w:t>Step 5 — Internal control implications:</w:t>
        <w:br/>
        <w:t xml:space="preserve">  - The error indicates a control deficiency. Assess severity: significant deficiency or material weakness?</w:t>
        <w:br/>
        <w:t xml:space="preserve">  - If material weakness: disclose in the ICFR report.</w:t>
        <w:br/>
        <w:t xml:space="preserve">  - If significant deficiency: communicate to audit committee.</w:t>
        <w:br/>
        <w:t xml:space="preserve">  - Remediate the underlying control deficiency (cutoff control, performance obligation identification).</w:t>
        <w:br/>
        <w:br/>
        <w:t>Step 6 — External audit implications:</w:t>
        <w:br/>
        <w:t xml:space="preserve">  - The entity's external auditor must assess the materiality and the impact on prior-period audit reports. If the prior-period audit opinion is affected, the auditor may need to reissue the opinion.</w:t>
        <w:br/>
        <w:t xml:space="preserve">  - For SEC registrants, file an 8-K disclosing the restatement, if material.</w:t>
        <w:br/>
        <w:br/>
        <w:t>Step 7 — Disclosure:</w:t>
        <w:br/>
        <w:t xml:space="preserve">  - Disclose the error and correction in the notes to the financial statements (ASC 250 disclosure requirements).</w:t>
        <w:br/>
        <w:t xml:space="preserve">  - Disclose the nature of the error, the periods affected, the amounts, and the method of correction.</w:t>
        <w:br/>
        <w:t xml:space="preserve">  - For material weakness: disclose in ICFR report.</w:t>
        <w:br/>
        <w:t xml:space="preserve">  - For SEC registrants: 8-K and Form 10-K/A (amended) as appropriate.</w:t>
        <w:br/>
        <w:br/>
        <w:t>Step 8 — Coordination:</w:t>
        <w:br/>
        <w:t xml:space="preserve">  - Coordinate with external auditor early.</w:t>
        <w:br/>
        <w:t xml:space="preserve">  - Coordinate with audit committee and disclosure committee.</w:t>
        <w:br/>
        <w:t xml:space="preserve">  - Coordinate with legal counsel for potential litigation or regulatory implications.</w:t>
        <w:br/>
        <w:t xml:space="preserve">  - Coordinate with investor relations for market communications.</w:t>
        <w:br/>
        <w:br/>
        <w:t>CONCLUSION: The $8 million error is a material cutoff error that requires retrospective correction if material to the prior period (likely given the size). The entity should assess materiality under both SAB 99 and SAB 108 frameworks, communicate with the auditor, disclose the error, remediate the underlying control deficiency, and consider regulatory reporting obligations.</w:t>
        <w:br/>
        <w:br/>
        <w:t>Verify all paragraph references against the licensed FASB Codification and applicable SEC staff guidance.</w:t>
      </w:r>
    </w:p>
    <w:p>
      <w:pPr>
        <w:pStyle w:val="Heading3"/>
      </w:pPr>
      <w:r>
        <w:rPr>
          <w:color w:val="1F3864"/>
        </w:rPr>
        <w:t>M11-R-0002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research</w:t>
            </w:r>
          </w:p>
        </w:tc>
      </w:tr>
      <w:tr>
        <w:tc>
          <w:tcPr>
            <w:tcW w:type="dxa" w:w="4873"/>
          </w:tcPr>
          <w:p>
            <w:r/>
            <w:r>
              <w:rPr>
                <w:b/>
                <w:sz w:val="20"/>
              </w:rPr>
              <w:t>Task type</w:t>
            </w:r>
          </w:p>
        </w:tc>
        <w:tc>
          <w:tcPr>
            <w:tcW w:type="dxa" w:w="4873"/>
          </w:tcPr>
          <w:p>
            <w:r/>
            <w:r>
              <w:rPr>
                <w:sz w:val="20"/>
              </w:rPr>
              <w:t>research</w:t>
            </w:r>
          </w:p>
        </w:tc>
      </w:tr>
      <w:tr>
        <w:tc>
          <w:tcPr>
            <w:tcW w:type="dxa" w:w="4873"/>
          </w:tcPr>
          <w:p>
            <w:r/>
            <w:r>
              <w:rPr>
                <w:b/>
                <w:sz w:val="20"/>
              </w:rPr>
              <w:t>Topic tags</w:t>
            </w:r>
          </w:p>
        </w:tc>
        <w:tc>
          <w:tcPr>
            <w:tcW w:type="dxa" w:w="4873"/>
          </w:tcPr>
          <w:p>
            <w:r/>
            <w:r>
              <w:rPr>
                <w:sz w:val="20"/>
              </w:rPr>
              <w:t>research, conceptual, control, over_time</w:t>
            </w:r>
          </w:p>
        </w:tc>
      </w:tr>
      <w:tr>
        <w:tc>
          <w:tcPr>
            <w:tcW w:type="dxa" w:w="4873"/>
          </w:tcPr>
          <w:p>
            <w:r/>
            <w:r>
              <w:rPr>
                <w:b/>
                <w:sz w:val="20"/>
              </w:rPr>
              <w:t>Required skills</w:t>
            </w:r>
          </w:p>
        </w:tc>
        <w:tc>
          <w:tcPr>
            <w:tcW w:type="dxa" w:w="4873"/>
          </w:tcPr>
          <w:p>
            <w:r/>
            <w:r>
              <w:rPr>
                <w:sz w:val="20"/>
              </w:rPr>
              <w:t>research_methodology, conceptual_analysis</w:t>
            </w:r>
          </w:p>
        </w:tc>
      </w:tr>
      <w:tr>
        <w:tc>
          <w:tcPr>
            <w:tcW w:type="dxa" w:w="4873"/>
          </w:tcPr>
          <w:p>
            <w:r/>
            <w:r>
              <w:rPr>
                <w:b/>
                <w:sz w:val="20"/>
              </w:rPr>
              <w:t>Authoritative refs</w:t>
            </w:r>
          </w:p>
        </w:tc>
        <w:tc>
          <w:tcPr>
            <w:tcW w:type="dxa" w:w="4873"/>
          </w:tcPr>
          <w:p>
            <w:r/>
            <w:r>
              <w:rPr>
                <w:sz w:val="20"/>
              </w:rPr>
              <w:t>ASC 606-10-10-2, ASC 606-10-25-27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research-level accounting analyst. Distinguish authoritative accounting requirements, conceptual arguments, empirical evidence, and normative recommendations. Do not invent studies, datasets, or quotations.</w:t>
      </w:r>
    </w:p>
    <w:p>
      <w:pPr>
        <w:pStyle w:val="Heading4"/>
      </w:pPr>
      <w:r>
        <w:rPr>
          <w:color w:val="1F3864"/>
        </w:rPr>
        <w:t>User Prompt</w:t>
      </w:r>
    </w:p>
    <w:p>
      <w:pPr>
        <w:spacing w:line="312" w:lineRule="auto" w:after="120"/>
      </w:pPr>
      <w:r>
        <w:rPr>
          <w:rFonts w:ascii="Calibri" w:hAnsi="Calibri"/>
          <w:b w:val="0"/>
          <w:i w:val="0"/>
          <w:sz w:val="22"/>
        </w:rPr>
        <w:t>Critically assess whether a control-based revenue recognition model provides a conceptually consistent basis for both point-in-time and over-time recognition under ASC 606.</w:t>
      </w:r>
    </w:p>
    <w:p>
      <w:pPr>
        <w:pStyle w:val="Heading4"/>
      </w:pPr>
      <w:r>
        <w:rPr>
          <w:color w:val="1F3864"/>
        </w:rPr>
        <w:t>Assistant Answer (gold target)</w:t>
      </w:r>
    </w:p>
    <w:p>
      <w:pPr>
        <w:spacing w:line="312" w:lineRule="auto" w:after="120"/>
      </w:pPr>
      <w:r>
        <w:rPr>
          <w:rFonts w:ascii="Calibri" w:hAnsi="Calibri"/>
          <w:b w:val="0"/>
          <w:i w:val="0"/>
          <w:sz w:val="22"/>
        </w:rPr>
        <w:t>A rigorous research-level assessment must distinguish:</w:t>
        <w:br/>
        <w:t xml:space="preserve">  (A) The normative objective of the standard (depict the transfer of promised goods or services).</w:t>
        <w:br/>
        <w:t xml:space="preserve">  (B) The operational criteria used to determine when that transfer occurs (control indicators, over-time criteria).</w:t>
        <w:br/>
        <w:t xml:space="preserve">  (C) Empirical evidence on the standard's effects.</w:t>
        <w:br/>
        <w:t xml:space="preserve">  (D) Conceptual criticisms of the model.</w:t>
        <w:br/>
        <w:br/>
        <w:t>Normative objective (ASC 606-10-10-2, verify): the core principle is that an entity recognizes revenue to depict the transfer of promised goods or services to customers in an amount that reflects the consideration to which the entity expects to be entitled.</w:t>
        <w:br/>
        <w:br/>
        <w:t>Operational criteria:</w:t>
        <w:br/>
        <w:t xml:space="preserve">  • Point-in-time: control transfers at a single moment. Indicators include legal title, physical possession, acceptance, present right to payment, customer's risks and rewards.</w:t>
        <w:br/>
        <w:t xml:space="preserve">  • Over-time (ASC 606-10-25-27, verify): one of three criteria — (i) customer simultaneously receives and consumes benefits as the entity performs; (ii) the entity's performance creates or enhances an asset the customer controls; (iii) the entity has no alternative use for the asset and an enforceable right to payment for performance completed to date.</w:t>
        <w:br/>
        <w:br/>
        <w:t>Conceptual tensions:</w:t>
        <w:br/>
        <w:t xml:space="preserve">  1. Observability of control: in service arrangements, control is conceptually awkward — the customer 'controls' a service as it is performed, but cannot hold or resell it. Criterion (i) addresses this by referencing consumption.</w:t>
        <w:br/>
        <w:t xml:space="preserve">  2. Enforceable payment rights: criterion (iii) imports contract law into recognition, producing potentially different accounting for economically similar arrangements based on whether the contract provides for interim payment.</w:t>
        <w:br/>
        <w:t xml:space="preserve">  3. Cross-industry comparability: a custom manufacturer with criterion (iii) and a recurring service provider with criterion (i) both recognize over time, but the economic substance of their performance may differ.</w:t>
        <w:br/>
        <w:t xml:space="preserve">  4. Distinction between earnings process and asset transfer: the pre-ASC 606 'earnings process' model and the ASC 606 'control transfer' model can produce the same answer in simple cases but diverge in complex ones (e.g., when control is unclear but performance is clearly ongoing).</w:t>
        <w:br/>
        <w:br/>
        <w:t>Counterarguments:</w:t>
        <w:br/>
        <w:t xml:space="preserve">  • Operational rules are necessary for diverse contracts.</w:t>
        <w:br/>
        <w:t xml:space="preserve">  • The control concept provides a unifying organizing principle that is broadly applicable.</w:t>
        <w:br/>
        <w:t xml:space="preserve">  • Alternatives (e.g., critical-event, percentage-of-completion) have their own comparability and operational problems.</w:t>
        <w:br/>
        <w:t xml:space="preserve">  • The FASB/IASB joint transition project explicitly chose control because it is more concretely observable than earnings-process concepts.</w:t>
        <w:br/>
        <w:br/>
        <w:t>Empirical research questions (proposed, NOT asserted as findings):</w:t>
        <w:br/>
        <w:t xml:space="preserve">  • Does ASC 606 over-time recognition shift revenue across periods relative to legacy guidance, and is the shift associated with changes in earnings quality?</w:t>
        <w:br/>
        <w:t xml:space="preserve">  • Are firms with criterion (iii) contracts systematically different from firms with criterion (i)?</w:t>
        <w:br/>
        <w:t xml:space="preserve">  • Does the variable-consideration constraint reduce earnings volatility?</w:t>
        <w:br/>
        <w:br/>
        <w:t>Important: conceptual criticisms of the model are NOT evidence that the accounting is non-compliant. Authoritative requirements are what they are; conceptual arguments bear on standard setting, not on application. To be authoritative, any cited quotation must be verified against the FASB Codification or the FASB/IASB Basis for Conclusions.</w:t>
      </w:r>
    </w:p>
    <w:p>
      <w:pPr>
        <w:pStyle w:val="Heading3"/>
      </w:pPr>
      <w:r>
        <w:rPr>
          <w:color w:val="1F3864"/>
        </w:rPr>
        <w:t>M11-R-0001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M11</w:t>
            </w:r>
          </w:p>
        </w:tc>
      </w:tr>
      <w:tr>
        <w:tc>
          <w:tcPr>
            <w:tcW w:type="dxa" w:w="4873"/>
          </w:tcPr>
          <w:p>
            <w:r/>
            <w:r>
              <w:rPr>
                <w:b/>
                <w:sz w:val="20"/>
              </w:rPr>
              <w:t>Difficulty</w:t>
            </w:r>
          </w:p>
        </w:tc>
        <w:tc>
          <w:tcPr>
            <w:tcW w:type="dxa" w:w="4873"/>
          </w:tcPr>
          <w:p>
            <w:r/>
            <w:r>
              <w:rPr>
                <w:sz w:val="20"/>
              </w:rPr>
              <w:t>research</w:t>
            </w:r>
          </w:p>
        </w:tc>
      </w:tr>
      <w:tr>
        <w:tc>
          <w:tcPr>
            <w:tcW w:type="dxa" w:w="4873"/>
          </w:tcPr>
          <w:p>
            <w:r/>
            <w:r>
              <w:rPr>
                <w:b/>
                <w:sz w:val="20"/>
              </w:rPr>
              <w:t>Task type</w:t>
            </w:r>
          </w:p>
        </w:tc>
        <w:tc>
          <w:tcPr>
            <w:tcW w:type="dxa" w:w="4873"/>
          </w:tcPr>
          <w:p>
            <w:r/>
            <w:r>
              <w:rPr>
                <w:sz w:val="20"/>
              </w:rPr>
              <w:t>research</w:t>
            </w:r>
          </w:p>
        </w:tc>
      </w:tr>
      <w:tr>
        <w:tc>
          <w:tcPr>
            <w:tcW w:type="dxa" w:w="4873"/>
          </w:tcPr>
          <w:p>
            <w:r/>
            <w:r>
              <w:rPr>
                <w:b/>
                <w:sz w:val="20"/>
              </w:rPr>
              <w:t>Topic tags</w:t>
            </w:r>
          </w:p>
        </w:tc>
        <w:tc>
          <w:tcPr>
            <w:tcW w:type="dxa" w:w="4873"/>
          </w:tcPr>
          <w:p>
            <w:r/>
            <w:r>
              <w:rPr>
                <w:sz w:val="20"/>
              </w:rPr>
              <w:t>research, standard_setting, principles_based</w:t>
            </w:r>
          </w:p>
        </w:tc>
      </w:tr>
      <w:tr>
        <w:tc>
          <w:tcPr>
            <w:tcW w:type="dxa" w:w="4873"/>
          </w:tcPr>
          <w:p>
            <w:r/>
            <w:r>
              <w:rPr>
                <w:b/>
                <w:sz w:val="20"/>
              </w:rPr>
              <w:t>Required skills</w:t>
            </w:r>
          </w:p>
        </w:tc>
        <w:tc>
          <w:tcPr>
            <w:tcW w:type="dxa" w:w="4873"/>
          </w:tcPr>
          <w:p>
            <w:r/>
            <w:r>
              <w:rPr>
                <w:sz w:val="20"/>
              </w:rPr>
              <w:t>research_methodology, conceptual_analysis</w:t>
            </w:r>
          </w:p>
        </w:tc>
      </w:tr>
      <w:tr>
        <w:tc>
          <w:tcPr>
            <w:tcW w:type="dxa" w:w="4873"/>
          </w:tcPr>
          <w:p>
            <w:r/>
            <w:r>
              <w:rPr>
                <w:b/>
                <w:sz w:val="20"/>
              </w:rPr>
              <w:t>Authoritative refs</w:t>
            </w:r>
          </w:p>
        </w:tc>
        <w:tc>
          <w:tcPr>
            <w:tcW w:type="dxa" w:w="4873"/>
          </w:tcPr>
          <w:p>
            <w:r/>
            <w:r>
              <w:rPr>
                <w:sz w:val="20"/>
              </w:rPr>
              <w:t>ASC 606-10-10-2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research-level accounting analyst. Distinguish authoritative accounting requirements, conceptual arguments, empirical evidence, and normative recommendations. Do not invent studies, datasets, or quotations.</w:t>
      </w:r>
    </w:p>
    <w:p>
      <w:pPr>
        <w:pStyle w:val="Heading4"/>
      </w:pPr>
      <w:r>
        <w:rPr>
          <w:color w:val="1F3864"/>
        </w:rPr>
        <w:t>User Prompt</w:t>
      </w:r>
    </w:p>
    <w:p>
      <w:pPr>
        <w:spacing w:line="312" w:lineRule="auto" w:after="120"/>
      </w:pPr>
      <w:r>
        <w:rPr>
          <w:rFonts w:ascii="Calibri" w:hAnsi="Calibri"/>
          <w:b w:val="0"/>
          <w:i w:val="0"/>
          <w:sz w:val="22"/>
        </w:rPr>
        <w:t>Critically evaluate the FASB's decision to adopt a principles-based standard (ASC 606) over more detailed rules. What are the conceptual arguments on each side?</w:t>
      </w:r>
    </w:p>
    <w:p>
      <w:pPr>
        <w:pStyle w:val="Heading4"/>
      </w:pPr>
      <w:r>
        <w:rPr>
          <w:color w:val="1F3864"/>
        </w:rPr>
        <w:t>Assistant Answer (gold target)</w:t>
      </w:r>
    </w:p>
    <w:p>
      <w:pPr>
        <w:spacing w:line="312" w:lineRule="auto" w:after="120"/>
      </w:pPr>
      <w:r>
        <w:rPr>
          <w:rFonts w:ascii="Calibri" w:hAnsi="Calibri"/>
          <w:b w:val="0"/>
          <w:i w:val="0"/>
          <w:sz w:val="22"/>
        </w:rPr>
        <w:t>Principles-based vs. rules-based standard setting is a long-standing debate. ASC 606 represented a deliberate shift toward principles-based revenue recognition, replacing the more detailed ASC 605. This research-level assessment evaluates the conceptual arguments.</w:t>
        <w:br/>
        <w:br/>
        <w:t>I. ARGUMENTS FOR PRINCIPLES-BASED (ASC 606 approach):</w:t>
        <w:br/>
        <w:br/>
        <w:t>1. **Faithful representation**. Principles require judgment based on economic substance, which can produce more faithful financial reporting than rules that may permit structuring to achieve a desired accounting outcome.</w:t>
        <w:br/>
        <w:br/>
        <w:t>2. **Adaptability**. Principles-based standards can be applied to new business models and arrangements without amendment. ASC 606 applies to SaaS, marketplace, platform, and other emerging arrangements that did not exist when ASC 605 was written.</w:t>
        <w:br/>
        <w:br/>
        <w:t>3. **Comparability across entities**. By avoiding industry-specific rules, principles-based standards promote cross-industry comparability — a construction firm and a SaaS firm apply the same conceptual framework.</w:t>
        <w:br/>
        <w:br/>
        <w:t>4. **Convergence with IFRS**. ASC 606 was jointly developed with IFRS 15 to converge US GAAP and IFRS. A principles approach facilitates convergence because it can be applied across jurisdictions without prescribing every detail.</w:t>
        <w:br/>
        <w:br/>
        <w:t>5. **Reduced structuring opportunities**. Detailed rules create bright lines that entities can structure around (e.g., a 75% threshold for lease capitalization creates structuring incentives). Principles reduce the value of structuring.</w:t>
        <w:br/>
        <w:br/>
        <w:t>II. ARGUMENTS FOR RULES-BASED (ASC 605 approach):</w:t>
        <w:br/>
        <w:br/>
        <w:t>1. **Auditability**. Detailed rules are easier to audit: the auditor compares facts to specific criteria. Principles require professional judgment, which can introduce auditor-client disagreement.</w:t>
        <w:br/>
        <w:br/>
        <w:t>2. **Comparability within industries**. Industry-specific rules can produce highly comparable results for similar firms. A principles approach can produce different interpretations across firms with similar arrangements.</w:t>
        <w:br/>
        <w:br/>
        <w:t>3. **Reduced litigation risk**. Detailed rules provide clear safe harbors. Entities that comply with the rule have a defense against allegations of accounting impropriety. Principles-based standards expose entities to greater judgment risk.</w:t>
        <w:br/>
        <w:br/>
        <w:t>4. **Lower cost of implementation**. Detailed rules can be applied mechanically in routine transactions. Principles require entity-specific analysis for each material arrangement, raising implementation cost.</w:t>
        <w:br/>
        <w:br/>
        <w:t>5. **Reduced earnings management through estimation discretion**. Detailed rules limit the judgment that management can exercise. Principles-based standards (like ASC 606) expand estimation discretion (variable consideration, SSP, progress measures), which may be used for earnings management.</w:t>
        <w:br/>
        <w:br/>
        <w:t>III. EMPIRICAL CONSIDERATIONS:</w:t>
        <w:br/>
        <w:br/>
        <w:t>1. **Empirical evidence on ASC 606 effects**: research has examined whether ASC 606 adoption improved or harmed earnings quality, comparability, and forecastability. Findings are mixed; this is a research question, not an established fact.</w:t>
        <w:br/>
        <w:br/>
        <w:t>2. **Diversity in practice under principles**: ASC 606 has produced some diversity in practice (e.g., shipping and handling treatment, licensing). FASB TRG and ASU amendments have addressed some diversity.</w:t>
        <w:br/>
        <w:br/>
        <w:t>3. **Implementation cost vs. benefit**: ASC 606 imposed significant implementation cost on public and private entities. The benefit (improved comparability, faithful representation) is harder to quantify.</w:t>
        <w:br/>
        <w:br/>
        <w:t>IV. CONCEPTUAL TENSIONS:</w:t>
        <w:br/>
        <w:br/>
        <w:t>1. **Faithful representation vs. verifiability**. Conceptual framework values both, but they can conflict. Principles favor faithful representation; rules favor verifiability.</w:t>
        <w:br/>
        <w:br/>
        <w:t>2. **Comparability across entities vs. industries**. Principles promote cross-entity comparability but may reduce cross-industry comparability if industries apply the same principle differently.</w:t>
        <w:br/>
        <w:br/>
        <w:t>3. **Standard-setter role vs. preparer judgment**. Principles place more responsibility on preparers (and auditors) to apply judgment. This may be appropriate when preparers have access to facts that standard setters cannot anticipate.</w:t>
        <w:br/>
        <w:br/>
        <w:t>V. EMPIRICAL RESEARCH QUESTIONS (proposed, not asserted):</w:t>
        <w:br/>
        <w:t xml:space="preserve">  - Did ASC 606 adoption increase earnings quality for firms in judgment-intensive industries?</w:t>
        <w:br/>
        <w:t xml:space="preserve">  - Did implementation cost materially burden smaller public entities or private entities?</w:t>
        <w:br/>
        <w:t xml:space="preserve">  - Has ASC 606 reduced structuring behavior relative to ASC 605?</w:t>
        <w:br/>
        <w:t xml:space="preserve">  - Are ASC 606 disclosures used by investors in valuation?</w:t>
        <w:br/>
        <w:t xml:space="preserve">  - Does the variable-consideration constraint reduce or increase earnings management?</w:t>
        <w:br/>
        <w:br/>
        <w:t>VI. STANDARD-SETTING IMPLICATIONS:</w:t>
        <w:br/>
        <w:t xml:space="preserve">  - The FASB has continued the principles-based direction in subsequent standards (ASC 842 leases, ASC 326 credit losses). The conceptual direction is set.</w:t>
        <w:br/>
        <w:t xml:space="preserve">  - Post-implementation reviews and TRG discussions address diversity in practice without reverting to rules-based guidance.</w:t>
        <w:br/>
        <w:br/>
        <w:t>This is a research-level assessment. Authoritative requirements are what they are; conceptual arguments inform future standard setting, not current application.</w:t>
      </w:r>
    </w:p>
    <w:p>
      <w:pPr>
        <w:pStyle w:val="Heading2"/>
      </w:pPr>
      <w:r>
        <w:rPr>
          <w:color w:val="1F3864"/>
        </w:rPr>
        <w:t>5.5 M2 — Contract Identification</w:t>
      </w:r>
    </w:p>
    <w:p>
      <w:pPr>
        <w:spacing w:line="312" w:lineRule="auto" w:after="120"/>
      </w:pPr>
      <w:r>
        <w:rPr>
          <w:rFonts w:ascii="Calibri" w:hAnsi="Calibri"/>
          <w:b w:val="0"/>
          <w:i w:val="0"/>
          <w:sz w:val="22"/>
        </w:rPr>
        <w:t>This module contains 8 curated training template(s) at the following difficulty levels: beginner, foundational, intermediate, advanced, expert, research.</w:t>
      </w:r>
    </w:p>
    <w:p>
      <w:pPr>
        <w:pStyle w:val="Heading3"/>
      </w:pPr>
      <w:r>
        <w:rPr>
          <w:color w:val="1F3864"/>
        </w:rPr>
        <w:t>M2-B-0001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contract_identification, criteria</w:t>
            </w:r>
          </w:p>
        </w:tc>
      </w:tr>
      <w:tr>
        <w:tc>
          <w:tcPr>
            <w:tcW w:type="dxa" w:w="4873"/>
          </w:tcPr>
          <w:p>
            <w:r/>
            <w:r>
              <w:rPr>
                <w:b/>
                <w:sz w:val="20"/>
              </w:rPr>
              <w:t>Required skills</w:t>
            </w:r>
          </w:p>
        </w:tc>
        <w:tc>
          <w:tcPr>
            <w:tcW w:type="dxa" w:w="4873"/>
          </w:tcPr>
          <w:p>
            <w:r/>
            <w:r>
              <w:rPr>
                <w:sz w:val="20"/>
              </w:rPr>
              <w:t>contract_analysis, fact_pattern_evaluation</w:t>
            </w:r>
          </w:p>
        </w:tc>
      </w:tr>
      <w:tr>
        <w:tc>
          <w:tcPr>
            <w:tcW w:type="dxa" w:w="4873"/>
          </w:tcPr>
          <w:p>
            <w:r/>
            <w:r>
              <w:rPr>
                <w:b/>
                <w:sz w:val="20"/>
              </w:rPr>
              <w:t>Authoritative refs</w:t>
            </w:r>
          </w:p>
        </w:tc>
        <w:tc>
          <w:tcPr>
            <w:tcW w:type="dxa" w:w="4873"/>
          </w:tcPr>
          <w:p>
            <w:r/>
            <w:r>
              <w:rPr>
                <w:sz w:val="20"/>
              </w:rPr>
              <w:t>ASC 606-10-25-1, ASC 606-10-25-2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When does a written agreement NOT qualify as a contract under ASC 606? Give three reasons.</w:t>
      </w:r>
    </w:p>
    <w:p>
      <w:pPr>
        <w:pStyle w:val="Heading4"/>
      </w:pPr>
      <w:r>
        <w:rPr>
          <w:color w:val="1F3864"/>
        </w:rPr>
        <w:t>Assistant Answer (gold target)</w:t>
      </w:r>
    </w:p>
    <w:p>
      <w:pPr>
        <w:spacing w:line="312" w:lineRule="auto" w:after="120"/>
      </w:pPr>
      <w:r>
        <w:rPr>
          <w:rFonts w:ascii="Calibri" w:hAnsi="Calibri"/>
          <w:b w:val="0"/>
          <w:i w:val="0"/>
          <w:sz w:val="22"/>
        </w:rPr>
        <w:t>A written agreement may fail to qualify as a contract under ASC 606 if any of the five criteria in ASC 606-10-25-1 (verify against the Codification) is not met. Three common failures:</w:t>
        <w:br/>
        <w:br/>
        <w:t>1. **No real commitment by the parties**. A signed term sheet marked 'subject to definitive agreement', 'subject to board approval', or 'non-binding letter of intent' may lack the mutual approval and commitment required by ASC 606-10-25-1(a). The form (signed paper) does not establish the substance (binding commitment).</w:t>
        <w:br/>
        <w:br/>
        <w:t>2. **No identifiable payment terms**. A master agreement with the price field blank, or with a clause stating 'price to be agreed in writing before delivery', may fail ASC 606-10-25-1(c) because payment terms are not identifiable at contract inception. The 25-1(c) criterion is not satisfied by a future agreement to agree.</w:t>
        <w:br/>
        <w:br/>
        <w:t>3. **Collectibility is not probable**. A customer in bankruptcy, with a poor credit history and no collateral, may fail ASC 606-10-25-1(e). The entity must assess collectibility of the consideration it will be entitled to in exchange for the goods or services. If collection is not probable, ASC 606-10-25-2 (verify) provides an alternative treatment: the entity recognizes revenue only to the extent of consideration received that is nonrefundable, costs are nonrefundable, and the entity has no remaining obligations.</w:t>
        <w:br/>
        <w:br/>
        <w:t>Other failures include: lack of commercial substance (e.g., round-trip transactions between affiliates); rights not identifiable (e.g., 'services as agreed from time to time' with no statement of work); and contracts that are unenforceable as a matter of law (e.g., contracts for illegal activities, contracts lacking capacity).</w:t>
        <w:br/>
        <w:br/>
        <w:t>The five-step ASC 606 model applies only to contracts that meet all five criteria. Perform the contract-identification step at inception and reassess if facts change.</w:t>
      </w:r>
    </w:p>
    <w:p>
      <w:pPr>
        <w:pStyle w:val="Heading3"/>
      </w:pPr>
      <w:r>
        <w:rPr>
          <w:color w:val="1F3864"/>
        </w:rPr>
        <w:t>M2-F-0001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combination, contract_identification</w:t>
            </w:r>
          </w:p>
        </w:tc>
      </w:tr>
      <w:tr>
        <w:tc>
          <w:tcPr>
            <w:tcW w:type="dxa" w:w="4873"/>
          </w:tcPr>
          <w:p>
            <w:r/>
            <w:r>
              <w:rPr>
                <w:b/>
                <w:sz w:val="20"/>
              </w:rPr>
              <w:t>Required skills</w:t>
            </w:r>
          </w:p>
        </w:tc>
        <w:tc>
          <w:tcPr>
            <w:tcW w:type="dxa" w:w="4873"/>
          </w:tcPr>
          <w:p>
            <w:r/>
            <w:r>
              <w:rPr>
                <w:sz w:val="20"/>
              </w:rPr>
              <w:t>contract_analysis, combination_analysis</w:t>
            </w:r>
          </w:p>
        </w:tc>
      </w:tr>
      <w:tr>
        <w:tc>
          <w:tcPr>
            <w:tcW w:type="dxa" w:w="4873"/>
          </w:tcPr>
          <w:p>
            <w:r/>
            <w:r>
              <w:rPr>
                <w:b/>
                <w:sz w:val="20"/>
              </w:rPr>
              <w:t>Authoritative refs</w:t>
            </w:r>
          </w:p>
        </w:tc>
        <w:tc>
          <w:tcPr>
            <w:tcW w:type="dxa" w:w="4873"/>
          </w:tcPr>
          <w:p>
            <w:r/>
            <w:r>
              <w:rPr>
                <w:sz w:val="20"/>
              </w:rPr>
              <w:t>ASC 606-10-25-9</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When must an entity combine two or more contracts (or amendments) and account for them as a single contract under ASC 606?</w:t>
      </w:r>
    </w:p>
    <w:p>
      <w:pPr>
        <w:pStyle w:val="Heading4"/>
      </w:pPr>
      <w:r>
        <w:rPr>
          <w:color w:val="1F3864"/>
        </w:rPr>
        <w:t>Assistant Answer (gold target)</w:t>
      </w:r>
    </w:p>
    <w:p>
      <w:pPr>
        <w:spacing w:line="312" w:lineRule="auto" w:after="120"/>
      </w:pPr>
      <w:r>
        <w:rPr>
          <w:rFonts w:ascii="Calibri" w:hAnsi="Calibri"/>
          <w:b w:val="0"/>
          <w:i w:val="0"/>
          <w:sz w:val="22"/>
        </w:rPr>
        <w:t>ASC 606-10-25-9 (verify against the Codification) requires an entity to combine two or more contracts entered into at or near the same time with the same customer (or related parties) when one or more of the following conditions are met:</w:t>
        <w:br/>
        <w:br/>
        <w:t>1. **Negotiated as a package with a single commercial objective**. The contracts are so interrelated that they form a single commercial transaction; their separate form does not reflect their substance.</w:t>
        <w:br/>
        <w:br/>
        <w:t>2. **The amount of consideration to be paid in one contract depends on the price or performance of another contract**. Example: a contract for software plus a separate contract for training where the training fee is rebated based on software usage.</w:t>
        <w:br/>
        <w:br/>
        <w:t>3. **The goods or services promised in the contracts (or some of them) are a single performance obligation**. Example: one contract for the hardware and another for customized installation that significantly modifies the hardware — the promises are highly interrelated.</w:t>
        <w:br/>
        <w:br/>
        <w:t>Implications:</w:t>
        <w:br/>
        <w:t>- **At or near the same time**: there is no bright-line test in the standard; preparers apply judgment based on the facts (often 30 days is used as a practical threshold).</w:t>
        <w:br/>
        <w:t>- **Same customer or related parties**: related-party common control is considered; this prevents splitting arrangements across affiliates to avoid combination.</w:t>
        <w:br/>
        <w:t>- Combine for ALL ASC 606 purposes: contract identification, PO identification, transaction price, allocation, and recognition.</w:t>
        <w:br/>
        <w:br/>
        <w:t>Common pitfalls:</w:t>
        <w:br/>
        <w:t>- Automatically treating each signed document as a separate contract without evaluating the combination criteria.</w:t>
        <w:br/>
        <w:t>- Failing to combine amendments that effectively modify the original arrangement's commercial terms.</w:t>
        <w:br/>
        <w:t>- Combining contracts that have genuinely independent commercial objectives.</w:t>
        <w:br/>
        <w:br/>
        <w:t>Documentation: the entity should document its combination analysis at contract inception and reassess upon any subsequent amendment or new contract with the same customer.</w:t>
      </w:r>
    </w:p>
    <w:p>
      <w:pPr>
        <w:pStyle w:val="Heading3"/>
      </w:pPr>
      <w:r>
        <w:rPr>
          <w:color w:val="1F3864"/>
        </w:rPr>
        <w:t>M2-I-0001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contract_identification, collectibility, criteria</w:t>
            </w:r>
          </w:p>
        </w:tc>
      </w:tr>
      <w:tr>
        <w:tc>
          <w:tcPr>
            <w:tcW w:type="dxa" w:w="4873"/>
          </w:tcPr>
          <w:p>
            <w:r/>
            <w:r>
              <w:rPr>
                <w:b/>
                <w:sz w:val="20"/>
              </w:rPr>
              <w:t>Required skills</w:t>
            </w:r>
          </w:p>
        </w:tc>
        <w:tc>
          <w:tcPr>
            <w:tcW w:type="dxa" w:w="4873"/>
          </w:tcPr>
          <w:p>
            <w:r/>
            <w:r>
              <w:rPr>
                <w:sz w:val="20"/>
              </w:rPr>
              <w:t>contract_analysis, fact_pattern_evaluation</w:t>
            </w:r>
          </w:p>
        </w:tc>
      </w:tr>
      <w:tr>
        <w:tc>
          <w:tcPr>
            <w:tcW w:type="dxa" w:w="4873"/>
          </w:tcPr>
          <w:p>
            <w:r/>
            <w:r>
              <w:rPr>
                <w:b/>
                <w:sz w:val="20"/>
              </w:rPr>
              <w:t>Authoritative refs</w:t>
            </w:r>
          </w:p>
        </w:tc>
        <w:tc>
          <w:tcPr>
            <w:tcW w:type="dxa" w:w="4873"/>
          </w:tcPr>
          <w:p>
            <w:r/>
            <w:r>
              <w:rPr>
                <w:sz w:val="20"/>
              </w:rPr>
              <w:t>ASC 606-10-25-1, ASC 606-10-25-2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List the five criteria an agreement must meet to qualify as a contract under ASC 606. For each, give one fact pattern that would fail the criterion.</w:t>
      </w:r>
    </w:p>
    <w:p>
      <w:pPr>
        <w:pStyle w:val="Heading4"/>
      </w:pPr>
      <w:r>
        <w:rPr>
          <w:color w:val="1F3864"/>
        </w:rPr>
        <w:t>Assistant Answer (gold target)</w:t>
      </w:r>
    </w:p>
    <w:p>
      <w:pPr>
        <w:spacing w:line="312" w:lineRule="auto" w:after="120"/>
      </w:pPr>
      <w:r>
        <w:rPr>
          <w:rFonts w:ascii="Calibri" w:hAnsi="Calibri"/>
          <w:b w:val="0"/>
          <w:i w:val="0"/>
          <w:sz w:val="22"/>
        </w:rPr>
        <w:t>ASC 606-10-25-1 (verify against the Codification) requires all five criteria to be met:</w:t>
        <w:br/>
        <w:br/>
        <w:t>1. **Approval and commitment** — the parties have approved the contract and are committed to performing their obligations.</w:t>
        <w:br/>
        <w:t xml:space="preserve">   Failure: a signed term sheet marked 'subject to definitive agreement' with no binding commitment.</w:t>
        <w:br/>
        <w:t>2. **Identifiable rights** — the contract identifies the rights of each party regarding the goods or services to be transferred.</w:t>
        <w:br/>
        <w:t xml:space="preserve">   Failure: a master agreement that only references 'services as agreed from time to time' with no statement of work.</w:t>
        <w:br/>
        <w:t>3. **Identifiable payment terms** — the contract identifies payment terms for the goods or services to be transferred.</w:t>
        <w:br/>
        <w:t xml:space="preserve">   Failure: a contract that says 'price to be determined by mutual agreement at completion' without any pricing mechanism.</w:t>
        <w:br/>
        <w:t>4. **Commercial substance** — the contract has commercial substance, meaning the entity's risk, timing, or amount of future cash flows is expected to change as a result of the contract.</w:t>
        <w:br/>
        <w:t xml:space="preserve">   Failure: a sham transaction between affiliates to round-trip revenue with no economic substance.</w:t>
        <w:br/>
        <w:t>5. **Collectibility** — it is probable that the entity will collect substantially all of the consideration to which it will be entitled in exchange for the goods or services.</w:t>
        <w:br/>
        <w:t xml:space="preserve">   Failure: a customer in bankruptcy proceedings with no evidence of ability to pay the contract price.</w:t>
        <w:br/>
        <w:br/>
        <w:t>When collectibility is NOT probable at inception, the entity applies ASC 606-10-25-2 (the 'optional' treatment) by recognizing revenue only to the extent of consideration received that is nonrefundable, costs are nonrefundable, and the entity has no remaining obligations. If any criterion subsequently becomes satisfied, cumulative catch-up treatment applies.</w:t>
      </w:r>
    </w:p>
    <w:p>
      <w:pPr>
        <w:pStyle w:val="Heading3"/>
      </w:pPr>
      <w:r>
        <w:rPr>
          <w:color w:val="1F3864"/>
        </w:rPr>
        <w:t>M2-I-0002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collectibility, probable, credit_risk</w:t>
            </w:r>
          </w:p>
        </w:tc>
      </w:tr>
      <w:tr>
        <w:tc>
          <w:tcPr>
            <w:tcW w:type="dxa" w:w="4873"/>
          </w:tcPr>
          <w:p>
            <w:r/>
            <w:r>
              <w:rPr>
                <w:b/>
                <w:sz w:val="20"/>
              </w:rPr>
              <w:t>Required skills</w:t>
            </w:r>
          </w:p>
        </w:tc>
        <w:tc>
          <w:tcPr>
            <w:tcW w:type="dxa" w:w="4873"/>
          </w:tcPr>
          <w:p>
            <w:r/>
            <w:r>
              <w:rPr>
                <w:sz w:val="20"/>
              </w:rPr>
              <w:t>credit_analysis, contract_identification</w:t>
            </w:r>
          </w:p>
        </w:tc>
      </w:tr>
      <w:tr>
        <w:tc>
          <w:tcPr>
            <w:tcW w:type="dxa" w:w="4873"/>
          </w:tcPr>
          <w:p>
            <w:r/>
            <w:r>
              <w:rPr>
                <w:b/>
                <w:sz w:val="20"/>
              </w:rPr>
              <w:t>Authoritative refs</w:t>
            </w:r>
          </w:p>
        </w:tc>
        <w:tc>
          <w:tcPr>
            <w:tcW w:type="dxa" w:w="4873"/>
          </w:tcPr>
          <w:p>
            <w:r/>
            <w:r>
              <w:rPr>
                <w:sz w:val="20"/>
              </w:rPr>
              <w:t>ASC 606-10-25-1, ASC 606-10-25-2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how to assess 'collectibility' under ASC 606-10-25-1(e). What does 'probable' mean? Does collectibility assessment differ from credit-risk assessment for the receivable?</w:t>
      </w:r>
    </w:p>
    <w:p>
      <w:pPr>
        <w:pStyle w:val="Heading4"/>
      </w:pPr>
      <w:r>
        <w:rPr>
          <w:color w:val="1F3864"/>
        </w:rPr>
        <w:t>Assistant Answer (gold target)</w:t>
      </w:r>
    </w:p>
    <w:p>
      <w:pPr>
        <w:spacing w:line="312" w:lineRule="auto" w:after="120"/>
      </w:pPr>
      <w:r>
        <w:rPr>
          <w:rFonts w:ascii="Calibri" w:hAnsi="Calibri"/>
          <w:b w:val="0"/>
          <w:i w:val="0"/>
          <w:sz w:val="22"/>
        </w:rPr>
        <w:t>**Collectibility criterion (ASC 606-10-25-1(e), verify)**:</w:t>
        <w:br/>
        <w:t>It is probable that the entity will collect substantially all of the consideration to which it will be entitled in exchange for the goods or services that will be transferred to the customer.</w:t>
        <w:br/>
        <w:br/>
        <w:t>**'Probable' under US GAAP** means 'likely to occur' — generally interpreted as a probability of 75-80% or higher. (This is a higher threshold than 'probable' under IFRS, which means 'more likely than not' — i.e., &gt;50%.)</w:t>
        <w:br/>
        <w:br/>
        <w:t>**Substantially all** is not a defined percentage in the standard. In practice, entities apply judgment, often using 75-90% as a working threshold. The assessment considers:</w:t>
        <w:br/>
        <w:t xml:space="preserve">  - The customer's ability and intention to pay.</w:t>
        <w:br/>
        <w:t xml:space="preserve">  - The credit profile of the customer (including any guarantors).</w:t>
        <w:br/>
        <w:t xml:space="preserve">  - The entity's historical collection experience with similar customers.</w:t>
        <w:br/>
        <w:t xml:space="preserve">  - Macroeconomic and industry factors.</w:t>
        <w:br/>
        <w:t xml:space="preserve">  - The contractual payment terms and any collateral.</w:t>
        <w:br/>
        <w:br/>
        <w:t>**Entitled to** vs. **contractually stated**: the entity assesses collectibility of the consideration it expects to be entitled to, which may differ from the stated contract price if variable consideration is constrained or if the entity expects to grant concessions.</w:t>
        <w:br/>
        <w:br/>
        <w:t>**Difference from credit-loss allowance for the receivable**:</w:t>
        <w:br/>
        <w:t xml:space="preserve">  - **Collectibility (contract identification)**: assessed at contract inception to determine whether ASC 606 applies. A binary probable/not probable determination.</w:t>
        <w:br/>
        <w:t xml:space="preserve">  - **Credit-loss allowance (ASC 326)**: assessed each reporting period for receivables recognized. A measurement of expected credit losses over the lifetime (or default) of the receivable.</w:t>
        <w:br/>
        <w:t xml:space="preserve">  - The two assessments serve different purposes but draw on similar evidence. An entity can have a probable collectibility conclusion (so ASC 606 applies) and still have a material expected credit loss allowance.</w:t>
        <w:br/>
        <w:br/>
        <w:t>**Failed collectibility treatment (ASC 606-10-25-2, verify)**: if collectibility is not probable at inception, the entity:</w:t>
        <w:br/>
        <w:t xml:space="preserve">  - Recognizes revenue only to the extent of the lesser of (a) consideration received that is nonrefundable or (b) consideration to which the entity is entitled that is nonrefundable.</w:t>
        <w:br/>
        <w:t xml:space="preserve">  - Recognizes costs incurred as expenses unless they are within scope of other guidance.</w:t>
        <w:br/>
        <w:t xml:space="preserve">  - Reassesses the contract criteria each period. If all criteria subsequently become met, a cumulative catch-up adjustment applies.</w:t>
        <w:br/>
        <w:br/>
        <w:t>Documentation: maintain credit memoranda, customer financials, and a written collectibility conclusion at contract inception.</w:t>
      </w:r>
    </w:p>
    <w:p>
      <w:pPr>
        <w:pStyle w:val="Heading3"/>
      </w:pPr>
      <w:r>
        <w:rPr>
          <w:color w:val="1F3864"/>
        </w:rPr>
        <w:t>M2-A-0002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critique</w:t>
            </w:r>
          </w:p>
        </w:tc>
      </w:tr>
      <w:tr>
        <w:tc>
          <w:tcPr>
            <w:tcW w:type="dxa" w:w="4873"/>
          </w:tcPr>
          <w:p>
            <w:r/>
            <w:r>
              <w:rPr>
                <w:b/>
                <w:sz w:val="20"/>
              </w:rPr>
              <w:t>Topic tags</w:t>
            </w:r>
          </w:p>
        </w:tc>
        <w:tc>
          <w:tcPr>
            <w:tcW w:type="dxa" w:w="4873"/>
          </w:tcPr>
          <w:p>
            <w:r/>
            <w:r>
              <w:rPr>
                <w:sz w:val="20"/>
              </w:rPr>
              <w:t>contract_identification, payment_terms, collectibility</w:t>
            </w:r>
          </w:p>
        </w:tc>
      </w:tr>
      <w:tr>
        <w:tc>
          <w:tcPr>
            <w:tcW w:type="dxa" w:w="4873"/>
          </w:tcPr>
          <w:p>
            <w:r/>
            <w:r>
              <w:rPr>
                <w:b/>
                <w:sz w:val="20"/>
              </w:rPr>
              <w:t>Required skills</w:t>
            </w:r>
          </w:p>
        </w:tc>
        <w:tc>
          <w:tcPr>
            <w:tcW w:type="dxa" w:w="4873"/>
          </w:tcPr>
          <w:p>
            <w:r/>
            <w:r>
              <w:rPr>
                <w:sz w:val="20"/>
              </w:rPr>
              <w:t>fact_pattern_evaluation, skepticism</w:t>
            </w:r>
          </w:p>
        </w:tc>
      </w:tr>
      <w:tr>
        <w:tc>
          <w:tcPr>
            <w:tcW w:type="dxa" w:w="4873"/>
          </w:tcPr>
          <w:p>
            <w:r/>
            <w:r>
              <w:rPr>
                <w:b/>
                <w:sz w:val="20"/>
              </w:rPr>
              <w:t>Authoritative refs</w:t>
            </w:r>
          </w:p>
        </w:tc>
        <w:tc>
          <w:tcPr>
            <w:tcW w:type="dxa" w:w="4873"/>
          </w:tcPr>
          <w:p>
            <w:r/>
            <w:r>
              <w:rPr>
                <w:sz w:val="20"/>
              </w:rPr>
              <w:t>ASC 606-10-25-1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An entity's standard terms state 'Payment terms to be agreed in writing before delivery.' Contracts are signed by the customer with the price blank and the field 'filled in by sales'. Is this a contract under ASC 606 at signature?</w:t>
      </w:r>
    </w:p>
    <w:p>
      <w:pPr>
        <w:pStyle w:val="Heading4"/>
      </w:pPr>
      <w:r>
        <w:rPr>
          <w:color w:val="1F3864"/>
        </w:rPr>
        <w:t>Assistant Answer (gold target)</w:t>
      </w:r>
    </w:p>
    <w:p>
      <w:pPr>
        <w:spacing w:line="312" w:lineRule="auto" w:after="120"/>
      </w:pPr>
      <w:r>
        <w:rPr>
          <w:rFonts w:ascii="Calibri" w:hAnsi="Calibri"/>
          <w:b w:val="0"/>
          <w:i w:val="0"/>
          <w:sz w:val="22"/>
        </w:rPr>
        <w:t>Probably not. The agreement fails the 'identifiable payment terms' criterion at ASC 606-10-25-1(c) (verify against the Codification) because, at signature, no payment terms are stated — the price field is blank and 'to be agreed' is not an identifiable term.</w:t>
        <w:br/>
        <w:br/>
        <w:t>Counter-arguments to test:</w:t>
        <w:br/>
        <w:t>(a) Does the entity have a demonstrable customary pattern of filling in prices before delivery? If so, the parties' subsequent conduct may establish enforceable terms, but only once the conduct occurs — not at signature.</w:t>
        <w:br/>
        <w:t>(b) Does industry custom (UCC, trade usage) supply a default price? Possibly for commodity sales, but rarely for differentiated services.</w:t>
        <w:br/>
        <w:t>(c) Is the customer's signature itself an enforceable commitment to a 'reasonable price'? Only if the contract says so; otherwise no.</w:t>
        <w:br/>
        <w:br/>
        <w:t>Recommended accounting treatment: do not apply the five-step model until payment terms are identifiable. If the entity delivers the good or service before then, it should evaluate whether it has any enforceable right to consideration. If not, any cash received is a contract liability or deposit; revenue is not yet recognizable. Once the parties subsequently agree to payment terms, ASC 606 applies prospectively with consideration of any cumulative catch-up.</w:t>
        <w:br/>
        <w:br/>
        <w:t>Missing evidence I would request: (1) the executed contract, (2) any side letters or course-of-dealing evidence, (3) the sales-order fulfillment process, (4) the credit and approval policy.</w:t>
      </w:r>
    </w:p>
    <w:p>
      <w:pPr>
        <w:pStyle w:val="Heading3"/>
      </w:pPr>
      <w:r>
        <w:rPr>
          <w:color w:val="1F3864"/>
        </w:rPr>
        <w:t>M2-A-0003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critique</w:t>
            </w:r>
          </w:p>
        </w:tc>
      </w:tr>
      <w:tr>
        <w:tc>
          <w:tcPr>
            <w:tcW w:type="dxa" w:w="4873"/>
          </w:tcPr>
          <w:p>
            <w:r/>
            <w:r>
              <w:rPr>
                <w:b/>
                <w:sz w:val="20"/>
              </w:rPr>
              <w:t>Topic tags</w:t>
            </w:r>
          </w:p>
        </w:tc>
        <w:tc>
          <w:tcPr>
            <w:tcW w:type="dxa" w:w="4873"/>
          </w:tcPr>
          <w:p>
            <w:r/>
            <w:r>
              <w:rPr>
                <w:sz w:val="20"/>
              </w:rPr>
              <w:t>master_agreement, sow, contract_identification</w:t>
            </w:r>
          </w:p>
        </w:tc>
      </w:tr>
      <w:tr>
        <w:tc>
          <w:tcPr>
            <w:tcW w:type="dxa" w:w="4873"/>
          </w:tcPr>
          <w:p>
            <w:r/>
            <w:r>
              <w:rPr>
                <w:b/>
                <w:sz w:val="20"/>
              </w:rPr>
              <w:t>Required skills</w:t>
            </w:r>
          </w:p>
        </w:tc>
        <w:tc>
          <w:tcPr>
            <w:tcW w:type="dxa" w:w="4873"/>
          </w:tcPr>
          <w:p>
            <w:r/>
            <w:r>
              <w:rPr>
                <w:sz w:val="20"/>
              </w:rPr>
              <w:t>contract_analysis, skepticism</w:t>
            </w:r>
          </w:p>
        </w:tc>
      </w:tr>
      <w:tr>
        <w:tc>
          <w:tcPr>
            <w:tcW w:type="dxa" w:w="4873"/>
          </w:tcPr>
          <w:p>
            <w:r/>
            <w:r>
              <w:rPr>
                <w:b/>
                <w:sz w:val="20"/>
              </w:rPr>
              <w:t>Authoritative refs</w:t>
            </w:r>
          </w:p>
        </w:tc>
        <w:tc>
          <w:tcPr>
            <w:tcW w:type="dxa" w:w="4873"/>
          </w:tcPr>
          <w:p>
            <w:r/>
            <w:r>
              <w:rPr>
                <w:sz w:val="20"/>
              </w:rPr>
              <w:t>ASC 606-10-25-1, ASC 606-10-25-9</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 customer signed a master services agreement with no stated end date, no minimum spend, and a clause stating 'specific engagements will be set forth in statements of work (SOWs)'. Management treats the master agreement as a contract under ASC 606. Critique this treatment.</w:t>
      </w:r>
    </w:p>
    <w:p>
      <w:pPr>
        <w:pStyle w:val="Heading4"/>
      </w:pPr>
      <w:r>
        <w:rPr>
          <w:color w:val="1F3864"/>
        </w:rPr>
        <w:t>Assistant Answer (gold target)</w:t>
      </w:r>
    </w:p>
    <w:p>
      <w:pPr>
        <w:spacing w:line="312" w:lineRule="auto" w:after="120"/>
      </w:pPr>
      <w:r>
        <w:rPr>
          <w:rFonts w:ascii="Calibri" w:hAnsi="Calibri"/>
          <w:b w:val="0"/>
          <w:i w:val="0"/>
          <w:sz w:val="22"/>
        </w:rPr>
        <w:t>The master agreement alone may NOT qualify as a contract under ASC 606. The five ASC 606-10-25-1 criteria must be evaluated at the level of the legally enforceable agreement.</w:t>
        <w:br/>
        <w:br/>
        <w:t>Step-by-step analysis:</w:t>
        <w:br/>
        <w:br/>
        <w:t>1. **Approval and commitment (25-1(a))**. Both parties have signed the master agreement, so this criterion is met at the master-agreement level. However, approval at the SOW level is required for each specific engagement.</w:t>
        <w:br/>
        <w:br/>
        <w:t>2. **Identifiable rights (25-1(b))**. The master agreement does not specify what goods or services will be delivered — it says 'specific engagements will be set forth in SOWs'. No promise to transfer anything has been made at the master agreement level. This criterion is **NOT met** at the master level.</w:t>
        <w:br/>
        <w:br/>
        <w:t>3. **Identifiable payment terms (25-1(c))**. Similar to (b), no payment terms are stated for any specific engagement until an SOW is signed. This criterion is **NOT met** at the master level.</w:t>
        <w:br/>
        <w:br/>
        <w:t>4. **Commercial substance (25-1(d))**. Likely met at the master level because the parties intend to do business.</w:t>
        <w:br/>
        <w:br/>
        <w:t>5. **Collectibility (25-1(e))**. Cannot be assessed at the master level because no consideration amount is identifiable.</w:t>
        <w:br/>
        <w:br/>
        <w:t>**Conclusion**: ASC 606 applies to each SOW (when signed), not to the master agreement alone. The master agreement is a framework for future contracts, not itself a contract for ASC 606 purposes.</w:t>
        <w:br/>
        <w:br/>
        <w:t>**Errors in the management assertion**:</w:t>
        <w:br/>
        <w:t>- Treating the master as 'the contract' collapses potentially distinct engagements into a single accounting unit. Each SOW must be evaluated separately for contract criteria, POs, transaction price, and recognition timing.</w:t>
        <w:br/>
        <w:t>- Some SOWs may be combined under ASC 606-10-25-9 if the combination criteria are met. But the combination analysis occurs at the SOW level, not the master level.</w:t>
        <w:br/>
        <w:br/>
        <w:t>**Required documentation**: each SOW should be evaluated for the 25-1 criteria at signature, and combination analysis should be performed for SOWs entered at or near the same time with the same customer.</w:t>
        <w:br/>
        <w:br/>
        <w:t>An alternative conclusion (defensible but requires evidence): if a SOW incorporates the master agreement by reference and the master agreement contains pricing schedules, the analysis may differ. The specific facts of the master agreement must be reviewed before concluding.</w:t>
      </w:r>
    </w:p>
    <w:p>
      <w:pPr>
        <w:pStyle w:val="Heading3"/>
      </w:pPr>
      <w:r>
        <w:rPr>
          <w:color w:val="1F3864"/>
        </w:rPr>
        <w:t>M2-E-0002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memo</w:t>
            </w:r>
          </w:p>
        </w:tc>
      </w:tr>
      <w:tr>
        <w:tc>
          <w:tcPr>
            <w:tcW w:type="dxa" w:w="4873"/>
          </w:tcPr>
          <w:p>
            <w:r/>
            <w:r>
              <w:rPr>
                <w:b/>
                <w:sz w:val="20"/>
              </w:rPr>
              <w:t>Topic tags</w:t>
            </w:r>
          </w:p>
        </w:tc>
        <w:tc>
          <w:tcPr>
            <w:tcW w:type="dxa" w:w="4873"/>
          </w:tcPr>
          <w:p>
            <w:r/>
            <w:r>
              <w:rPr>
                <w:sz w:val="20"/>
              </w:rPr>
              <w:t>enforceability, memo, contract_identification</w:t>
            </w:r>
          </w:p>
        </w:tc>
      </w:tr>
      <w:tr>
        <w:tc>
          <w:tcPr>
            <w:tcW w:type="dxa" w:w="4873"/>
          </w:tcPr>
          <w:p>
            <w:r/>
            <w:r>
              <w:rPr>
                <w:b/>
                <w:sz w:val="20"/>
              </w:rPr>
              <w:t>Required skills</w:t>
            </w:r>
          </w:p>
        </w:tc>
        <w:tc>
          <w:tcPr>
            <w:tcW w:type="dxa" w:w="4873"/>
          </w:tcPr>
          <w:p>
            <w:r/>
            <w:r>
              <w:rPr>
                <w:sz w:val="20"/>
              </w:rPr>
              <w:t>memo_writing, judgment, legal_analysis</w:t>
            </w:r>
          </w:p>
        </w:tc>
      </w:tr>
      <w:tr>
        <w:tc>
          <w:tcPr>
            <w:tcW w:type="dxa" w:w="4873"/>
          </w:tcPr>
          <w:p>
            <w:r/>
            <w:r>
              <w:rPr>
                <w:b/>
                <w:sz w:val="20"/>
              </w:rPr>
              <w:t>Authoritative refs</w:t>
            </w:r>
          </w:p>
        </w:tc>
        <w:tc>
          <w:tcPr>
            <w:tcW w:type="dxa" w:w="4873"/>
          </w:tcPr>
          <w:p>
            <w:r/>
            <w:r>
              <w:rPr>
                <w:sz w:val="20"/>
              </w:rPr>
              <w:t>ASC 606-10-25-1, ASC 606-10-25-2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Draft a memo addressing: a customer and the entity have signed a contract, but the customer's legal counsel has since asserted that one clause is unenforceable. How should the entity assess whether the arrangement remains a contract under ASC 606?</w:t>
      </w:r>
    </w:p>
    <w:p>
      <w:pPr>
        <w:pStyle w:val="Heading4"/>
      </w:pPr>
      <w:r>
        <w:rPr>
          <w:color w:val="1F3864"/>
        </w:rPr>
        <w:t>Assistant Answer (gold target)</w:t>
      </w:r>
    </w:p>
    <w:p>
      <w:pPr>
        <w:spacing w:line="312" w:lineRule="auto" w:after="120"/>
      </w:pPr>
      <w:r>
        <w:rPr>
          <w:rFonts w:ascii="Calibri" w:hAnsi="Calibri"/>
          <w:b w:val="0"/>
          <w:i w:val="0"/>
          <w:sz w:val="22"/>
        </w:rPr>
        <w:t>MEMORANDUM — Enforceability Challenge and ASC 606 Contract Status</w:t>
        <w:br/>
        <w:br/>
        <w:t>ISSUE: Does the arrangement remain a contract under ASC 606-10-25-1 if the customer's counsel asserts that one clause is unenforceable?</w:t>
        <w:br/>
        <w:br/>
        <w:t>AUTHORITATIVE GUIDANCE: ASC 606-10-25-1 (verify against the Codification); ASC 606-10-25-2; ASC 606-10-25-3 (modifications); general contract law principles (state law) that ASC 606 incorporates by reference.</w:t>
        <w:br/>
        <w:br/>
        <w:t>FACTS:</w:t>
        <w:br/>
        <w:t xml:space="preserve">  - The parties signed a contract.</w:t>
        <w:br/>
        <w:t xml:space="preserve">  - Customer's counsel asserts that one clause is unenforceable under applicable state law.</w:t>
        <w:br/>
        <w:t xml:space="preserve">  - The clause does not, by its terms, address the existence of enforceable rights or payment terms for the primary performance obligations.</w:t>
        <w:br/>
        <w:br/>
        <w:t>ANALYSIS:</w:t>
        <w:br/>
        <w:br/>
        <w:t>1. **ASC 606-10-25-1(b) requires that the contract identify the rights of the parties**. The criterion is met if the rights regarding the goods or services to be transferred remain identifiable and enforceable.</w:t>
        <w:br/>
        <w:br/>
        <w:t>2. **Partial unenforceability analysis**: ASC 606 does not explicitly address partial unenforceability. Apply general contract law principles to determine:</w:t>
        <w:br/>
        <w:t xml:space="preserve">  (a) Is the unenforceable clause severable from the rest of the contract? If yes, the remainder may stand.</w:t>
        <w:br/>
        <w:t xml:space="preserve">  (b) If the unenforceable clause is integral to the agreement (e.g., the price term), the entire contract may fail.</w:t>
        <w:br/>
        <w:t xml:space="preserve">  (c) Is the customer asserting unenforceability as a defense to payment, or only as to one clause? Customer behavior is relevant evidence.</w:t>
        <w:br/>
        <w:br/>
        <w:t>3. **Practical reassessment (ASC 606-10-25-2 path)**: if the contract no longer meets the 25-1 criteria, the entity may apply the alternative treatment: recognize revenue only to the extent of nonrefundable consideration received, with no remaining obligations.</w:t>
        <w:br/>
        <w:br/>
        <w:t>4. **Modification analysis**: if the parties formally amend the contract to remove the unenforceable clause, evaluate the modification under ASC 606-10-25-10 through 25-13.</w:t>
        <w:br/>
        <w:br/>
        <w:t>CONCLUSION:</w:t>
        <w:br/>
        <w:t xml:space="preserve">  - If the unenforceable clause is severable and the remaining contract meets the 25-1 criteria, the contract remains in scope of ASC 606.</w:t>
        <w:br/>
        <w:t xml:space="preserve">  - If the clause is integral, the contract may fail the 25-1(b) or (c) criteria; apply ASC 606-10-25-2 alternative treatment.</w:t>
        <w:br/>
        <w:t xml:space="preserve">  - Document the legal analysis (with outside counsel) and the accounting conclusion.</w:t>
        <w:br/>
        <w:br/>
        <w:t>CONTRARY ARGUMENTS:</w:t>
        <w:br/>
        <w:t xml:space="preserve">  - One might argue that even a partially unenforceable contract is enforceable as to the unaffected clauses.</w:t>
        <w:br/>
        <w:t xml:space="preserve">  - One might argue that the customer's signing of the contract created estoppel, regardless of enforceability.</w:t>
        <w:br/>
        <w:t xml:space="preserve">  - These arguments are fact-specific and require legal advice.</w:t>
        <w:br/>
        <w:br/>
        <w:t>MISSING EVIDENCE:</w:t>
        <w:br/>
        <w:t xml:space="preserve">  - The specific clause at issue.</w:t>
        <w:br/>
        <w:t xml:space="preserve">  - Applicable state law analysis from outside counsel.</w:t>
        <w:br/>
        <w:t xml:space="preserve">  - Customer's intent to dispute payment or to perform.</w:t>
        <w:br/>
        <w:t xml:space="preserve">  - History of similar arrangements and disputes.</w:t>
        <w:br/>
        <w:br/>
        <w:t>CONTROLS NEEDED:</w:t>
        <w:br/>
        <w:t xml:space="preserve">  - Coordination between the legal and accounting functions.</w:t>
        <w:br/>
        <w:t xml:space="preserve">  - Disclosure committee review of significant enforceability disputes.</w:t>
        <w:br/>
        <w:t xml:space="preserve">  - Documentation of the reassessment under ASC 606-10-25-2 if the alternative treatment is applied.</w:t>
      </w:r>
    </w:p>
    <w:p>
      <w:pPr>
        <w:pStyle w:val="Heading3"/>
      </w:pPr>
      <w:r>
        <w:rPr>
          <w:color w:val="1F3864"/>
        </w:rPr>
        <w:t>M2-R-0001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M2</w:t>
            </w:r>
          </w:p>
        </w:tc>
      </w:tr>
      <w:tr>
        <w:tc>
          <w:tcPr>
            <w:tcW w:type="dxa" w:w="4873"/>
          </w:tcPr>
          <w:p>
            <w:r/>
            <w:r>
              <w:rPr>
                <w:b/>
                <w:sz w:val="20"/>
              </w:rPr>
              <w:t>Difficulty</w:t>
            </w:r>
          </w:p>
        </w:tc>
        <w:tc>
          <w:tcPr>
            <w:tcW w:type="dxa" w:w="4873"/>
          </w:tcPr>
          <w:p>
            <w:r/>
            <w:r>
              <w:rPr>
                <w:sz w:val="20"/>
              </w:rPr>
              <w:t>research</w:t>
            </w:r>
          </w:p>
        </w:tc>
      </w:tr>
      <w:tr>
        <w:tc>
          <w:tcPr>
            <w:tcW w:type="dxa" w:w="4873"/>
          </w:tcPr>
          <w:p>
            <w:r/>
            <w:r>
              <w:rPr>
                <w:b/>
                <w:sz w:val="20"/>
              </w:rPr>
              <w:t>Task type</w:t>
            </w:r>
          </w:p>
        </w:tc>
        <w:tc>
          <w:tcPr>
            <w:tcW w:type="dxa" w:w="4873"/>
          </w:tcPr>
          <w:p>
            <w:r/>
            <w:r>
              <w:rPr>
                <w:sz w:val="20"/>
              </w:rPr>
              <w:t>research</w:t>
            </w:r>
          </w:p>
        </w:tc>
      </w:tr>
      <w:tr>
        <w:tc>
          <w:tcPr>
            <w:tcW w:type="dxa" w:w="4873"/>
          </w:tcPr>
          <w:p>
            <w:r/>
            <w:r>
              <w:rPr>
                <w:b/>
                <w:sz w:val="20"/>
              </w:rPr>
              <w:t>Topic tags</w:t>
            </w:r>
          </w:p>
        </w:tc>
        <w:tc>
          <w:tcPr>
            <w:tcW w:type="dxa" w:w="4873"/>
          </w:tcPr>
          <w:p>
            <w:r/>
            <w:r>
              <w:rPr>
                <w:sz w:val="20"/>
              </w:rPr>
              <w:t>collectibility, asc_326, research, threshold</w:t>
            </w:r>
          </w:p>
        </w:tc>
      </w:tr>
      <w:tr>
        <w:tc>
          <w:tcPr>
            <w:tcW w:type="dxa" w:w="4873"/>
          </w:tcPr>
          <w:p>
            <w:r/>
            <w:r>
              <w:rPr>
                <w:b/>
                <w:sz w:val="20"/>
              </w:rPr>
              <w:t>Required skills</w:t>
            </w:r>
          </w:p>
        </w:tc>
        <w:tc>
          <w:tcPr>
            <w:tcW w:type="dxa" w:w="4873"/>
          </w:tcPr>
          <w:p>
            <w:r/>
            <w:r>
              <w:rPr>
                <w:sz w:val="20"/>
              </w:rPr>
              <w:t>research_methodology, credit_analysis</w:t>
            </w:r>
          </w:p>
        </w:tc>
      </w:tr>
      <w:tr>
        <w:tc>
          <w:tcPr>
            <w:tcW w:type="dxa" w:w="4873"/>
          </w:tcPr>
          <w:p>
            <w:r/>
            <w:r>
              <w:rPr>
                <w:b/>
                <w:sz w:val="20"/>
              </w:rPr>
              <w:t>Authoritative refs</w:t>
            </w:r>
          </w:p>
        </w:tc>
        <w:tc>
          <w:tcPr>
            <w:tcW w:type="dxa" w:w="4873"/>
          </w:tcPr>
          <w:p>
            <w:r/>
            <w:r>
              <w:rPr>
                <w:sz w:val="20"/>
              </w:rPr>
              <w:t>ASC 606-10-25-1, ASC 606-10-25-2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research-level accounting analyst. Distinguish authoritative accounting requirements, conceptual arguments, empirical evidence, and normative recommendations. Do not invent studies, datasets, or quotations.</w:t>
      </w:r>
    </w:p>
    <w:p>
      <w:pPr>
        <w:pStyle w:val="Heading4"/>
      </w:pPr>
      <w:r>
        <w:rPr>
          <w:color w:val="1F3864"/>
        </w:rPr>
        <w:t>User Prompt</w:t>
      </w:r>
    </w:p>
    <w:p>
      <w:pPr>
        <w:spacing w:line="312" w:lineRule="auto" w:after="120"/>
      </w:pPr>
      <w:r>
        <w:rPr>
          <w:rFonts w:ascii="Calibri" w:hAnsi="Calibri"/>
          <w:b w:val="0"/>
          <w:i w:val="0"/>
          <w:sz w:val="22"/>
        </w:rPr>
        <w:t>Critically evaluate the 'probable collectibility' threshold for contract identification under ASC 606. Does the threshold interact appropriately with the ASC 326 expected-credit-losses model?</w:t>
      </w:r>
    </w:p>
    <w:p>
      <w:pPr>
        <w:pStyle w:val="Heading4"/>
      </w:pPr>
      <w:r>
        <w:rPr>
          <w:color w:val="1F3864"/>
        </w:rPr>
        <w:t>Assistant Answer (gold target)</w:t>
      </w:r>
    </w:p>
    <w:p>
      <w:pPr>
        <w:spacing w:line="312" w:lineRule="auto" w:after="120"/>
      </w:pPr>
      <w:r>
        <w:rPr>
          <w:rFonts w:ascii="Calibri" w:hAnsi="Calibri"/>
          <w:b w:val="0"/>
          <w:i w:val="0"/>
          <w:sz w:val="22"/>
        </w:rPr>
        <w:t>The 'probable collectibility' criterion in ASC 606-10-25-1(e) (verify against the Codification) is one of five criteria an agreement must meet to qualify as a contract for ASC 606 purposes. This research-level assessment evaluates the threshold's coherence and its interaction with the ASC 326 expected-credit-losses (ECL) model.</w:t>
        <w:br/>
        <w:br/>
        <w:t>**Conceptual basis**:</w:t>
        <w:br/>
        <w:t xml:space="preserve">  The criterion gates ASC 606 application: if collectibility is not probable, the entity applies the alternative treatment under ASC 606-10-25-2 (cost-recovery-like) instead of the full five-step model.</w:t>
        <w:br/>
        <w:br/>
        <w:t>**Strengths**:</w:t>
        <w:br/>
        <w:t>1. The threshold prevents entities from recognizing revenue on contracts where collection is in serious doubt, preserving faithful representation.</w:t>
        <w:br/>
        <w:t>2. It provides an alternative treatment (cost-recovery) that matches revenue to cash collection when collectibility is highly uncertain — a sensible conservative approach.</w:t>
        <w:br/>
        <w:t>3. It is administrable; entities routinely perform credit assessments for new customers.</w:t>
        <w:br/>
        <w:br/>
        <w:t>**Weaknesses and tensions**:</w:t>
        <w:br/>
        <w:br/>
        <w:t>1. **Binary gate vs. continuous measurement**. ASC 606 collectibility is binary (probable or not); ASC 326 measures expected losses continuously. The same customer can be 'probable' for ASC 606 purposes (so revenue is recognized) while having a material expected credit loss under ASC 326. The two models give inconsistent signals about credit quality.</w:t>
        <w:br/>
        <w:t>2. **Threshold ambiguity**. 'Probable' in US GAAP generally means 'likely to occur' (often operationalized at 75-80%), but the standard does not specify a numeric threshold. Entities apply inconsistent thresholds, reducing comparability.</w:t>
        <w:br/>
        <w:t>3. **Decoupling from initial measurement of the receivable**. ASC 606 measures the receivable at the transaction price (the consideration the entity expects to be entitled to), while ASC 326 measures the allowance for expected credit losses separately. The net receivable may differ from the transaction price.</w:t>
        <w:br/>
        <w:t>4. **No mid-contract reassessment of probable collectibility**. ASC 606-10-25-1(e) is assessed at inception; subsequent deterioration in collectibility does not 'un-do' the ASC 606 status. Instead, the deterioration is captured through the ASC 326 allowance. This is sensible but creates a two-step process that some find unintuitive.</w:t>
        <w:br/>
        <w:t>5. **Comparability with IFRS 15**. IFRS defines 'probable' as 'more likely than not' (i.e., &gt;50%), a materially lower threshold than US GAAP. The same contract may be 'in scope' under IFRS but treated under the alternative path under US GAAP. This is one of the few substantive differences between ASC 606 and IFRS 15, despite the standards' convergence objective.</w:t>
        <w:br/>
        <w:t>6. **Difficulty applying to long-duration contracts**. For multi-year service contracts, collectibility at inception is a forecast; the binary assessment obscures the uncertainty.</w:t>
        <w:br/>
        <w:t>7. **Implications for credit-loss allowance presentation**. An entity using the alternative treatment recognizes revenue only as cash is collected; no receivable arises. But the same customer may have a relationship where some elements are within ASC 606 and others are not, creating presentation complexity.</w:t>
        <w:br/>
        <w:br/>
        <w:t>**Empirical research questions** (proposed, not asserted):</w:t>
        <w:br/>
        <w:t xml:space="preserve">  - Does the binary threshold lead to delayed revenue recognition for customers with borderline credit quality, and is this delay associated with reporting-quality outcomes?</w:t>
        <w:br/>
        <w:t xml:space="preserve">  - Are the differences between ASC 606 (US GAAP) and IFRS 15 collectibility thresholds associated with cross-listed firms' reporting differences?</w:t>
        <w:br/>
        <w:t xml:space="preserve">  - Do firms that use the alternative treatment differ systematically from firms that use the full model in terms of earnings quality?</w:t>
        <w:br/>
        <w:br/>
        <w:t>**Standard-setting observation**: the FASB has not reconsidered the probable threshold since the original ASC 606 issuance (2014, ASU 2014-09). The divergent threshold under IFRS 15 remains a known comparability limitation.</w:t>
      </w:r>
    </w:p>
    <w:p>
      <w:pPr>
        <w:pStyle w:val="Heading2"/>
      </w:pPr>
      <w:r>
        <w:rPr>
          <w:color w:val="1F3864"/>
        </w:rPr>
        <w:t>5.6 M3 — Performance Obligations</w:t>
      </w:r>
    </w:p>
    <w:p>
      <w:pPr>
        <w:spacing w:line="312" w:lineRule="auto" w:after="120"/>
      </w:pPr>
      <w:r>
        <w:rPr>
          <w:rFonts w:ascii="Calibri" w:hAnsi="Calibri"/>
          <w:b w:val="0"/>
          <w:i w:val="0"/>
          <w:sz w:val="22"/>
        </w:rPr>
        <w:t>This module contains 7 curated training template(s) at the following difficulty levels: beginner, foundational, intermediate, advanced, expert.</w:t>
      </w:r>
    </w:p>
    <w:p>
      <w:pPr>
        <w:pStyle w:val="Heading3"/>
      </w:pPr>
      <w:r>
        <w:rPr>
          <w:color w:val="1F3864"/>
        </w:rPr>
        <w:t>M3-B-0001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M3</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promised_good_service, definition</w:t>
            </w:r>
          </w:p>
        </w:tc>
      </w:tr>
      <w:tr>
        <w:tc>
          <w:tcPr>
            <w:tcW w:type="dxa" w:w="4873"/>
          </w:tcPr>
          <w:p>
            <w:r/>
            <w:r>
              <w:rPr>
                <w:b/>
                <w:sz w:val="20"/>
              </w:rPr>
              <w:t>Required skills</w:t>
            </w:r>
          </w:p>
        </w:tc>
        <w:tc>
          <w:tcPr>
            <w:tcW w:type="dxa" w:w="4873"/>
          </w:tcPr>
          <w:p>
            <w:r/>
            <w:r>
              <w:rPr>
                <w:sz w:val="20"/>
              </w:rPr>
              <w:t>definition, promise_identification</w:t>
            </w:r>
          </w:p>
        </w:tc>
      </w:tr>
      <w:tr>
        <w:tc>
          <w:tcPr>
            <w:tcW w:type="dxa" w:w="4873"/>
          </w:tcPr>
          <w:p>
            <w:r/>
            <w:r>
              <w:rPr>
                <w:b/>
                <w:sz w:val="20"/>
              </w:rPr>
              <w:t>Authoritative refs</w:t>
            </w:r>
          </w:p>
        </w:tc>
        <w:tc>
          <w:tcPr>
            <w:tcW w:type="dxa" w:w="4873"/>
          </w:tcPr>
          <w:p>
            <w:r/>
            <w:r>
              <w:rPr>
                <w:sz w:val="20"/>
              </w:rPr>
              <w:t>ASC 606-10-25-16</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'promised good or service' under ASC 606. Provide three examples of promises that count and three that do not.</w:t>
      </w:r>
    </w:p>
    <w:p>
      <w:pPr>
        <w:pStyle w:val="Heading4"/>
      </w:pPr>
      <w:r>
        <w:rPr>
          <w:color w:val="1F3864"/>
        </w:rPr>
        <w:t>Assistant Answer (gold target)</w:t>
      </w:r>
    </w:p>
    <w:p>
      <w:pPr>
        <w:spacing w:line="312" w:lineRule="auto" w:after="120"/>
      </w:pPr>
      <w:r>
        <w:rPr>
          <w:rFonts w:ascii="Calibri" w:hAnsi="Calibri"/>
          <w:b w:val="0"/>
          <w:i w:val="0"/>
          <w:sz w:val="22"/>
        </w:rPr>
        <w:t>Under ASC 606 (ASC 606-10-25-16; verify against the Codification), an entity identifies promises in a contract by assessing both explicit and implicit promises to transfer goods or services to the customer. A promise may be explicit (e.g., a written contract clause) or implicit (e.g., customary business practice, published policies, or the entity's customary conduct).</w:t>
        <w:br/>
        <w:br/>
        <w:t>Three examples of promises that count:</w:t>
        <w:br/>
        <w:t>1. **Sale of inventory** — the explicit promise to transfer physical goods to the customer.</w:t>
        <w:br/>
        <w:t>2. **Service contract** — the promise to perform a defined service (e.g., one year of maintenance, one year of software support).</w:t>
        <w:br/>
        <w:t>3. **License of intellectual property** — the promise to grant the customer the right to use or access the entity's IP.</w:t>
        <w:br/>
        <w:br/>
        <w:t>Three examples that do NOT count as separate promised goods or services (and hence are not separate POs):</w:t>
        <w:br/>
        <w:t>1. **Administrative setup tasks** that do not transfer a good or service to the customer (e.g., opening a customer account in the entity's CRM).</w:t>
        <w:br/>
        <w:t>2. **Marketing offers** for separate future purchases that the customer could obtain without a contract (e.g., a promotional discount coupon available to all customers).</w:t>
        <w:br/>
        <w:t>3. **Internal preparation activities** that the entity must perform to fulfill the contract but that do not themselves transfer anything to the customer.</w:t>
        <w:br/>
        <w:br/>
        <w:t>A key concept: the promise must transfer something to the customer. Activities that the entity performs that do not transfer a good or service (and that are not material rights) are part of the entity's fulfillment effort, not separate POs. The accounting for costs of these activities is governed by ASC 340-40.</w:t>
      </w:r>
    </w:p>
    <w:p>
      <w:pPr>
        <w:pStyle w:val="Heading3"/>
      </w:pPr>
      <w:r>
        <w:rPr>
          <w:color w:val="1F3864"/>
        </w:rPr>
        <w:t>M3-F-0001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M3</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series, stand_ready, over_time</w:t>
            </w:r>
          </w:p>
        </w:tc>
      </w:tr>
      <w:tr>
        <w:tc>
          <w:tcPr>
            <w:tcW w:type="dxa" w:w="4873"/>
          </w:tcPr>
          <w:p>
            <w:r/>
            <w:r>
              <w:rPr>
                <w:b/>
                <w:sz w:val="20"/>
              </w:rPr>
              <w:t>Required skills</w:t>
            </w:r>
          </w:p>
        </w:tc>
        <w:tc>
          <w:tcPr>
            <w:tcW w:type="dxa" w:w="4873"/>
          </w:tcPr>
          <w:p>
            <w:r/>
            <w:r>
              <w:rPr>
                <w:sz w:val="20"/>
              </w:rPr>
              <w:t>series_analysis, performance_obligation_analysis</w:t>
            </w:r>
          </w:p>
        </w:tc>
      </w:tr>
      <w:tr>
        <w:tc>
          <w:tcPr>
            <w:tcW w:type="dxa" w:w="4873"/>
          </w:tcPr>
          <w:p>
            <w:r/>
            <w:r>
              <w:rPr>
                <w:b/>
                <w:sz w:val="20"/>
              </w:rPr>
              <w:t>Authoritative refs</w:t>
            </w:r>
          </w:p>
        </w:tc>
        <w:tc>
          <w:tcPr>
            <w:tcW w:type="dxa" w:w="4873"/>
          </w:tcPr>
          <w:p>
            <w:r/>
            <w:r>
              <w:rPr>
                <w:sz w:val="20"/>
              </w:rPr>
              <w:t>ASC 606-10-25-14, ASC 606-10-25-17, ASC 606-10-25-18</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'series of distinct goods or services' performance obligation concept under ASC 606. Give an example.</w:t>
      </w:r>
    </w:p>
    <w:p>
      <w:pPr>
        <w:pStyle w:val="Heading4"/>
      </w:pPr>
      <w:r>
        <w:rPr>
          <w:color w:val="1F3864"/>
        </w:rPr>
        <w:t>Assistant Answer (gold target)</w:t>
      </w:r>
    </w:p>
    <w:p>
      <w:pPr>
        <w:spacing w:line="312" w:lineRule="auto" w:after="120"/>
      </w:pPr>
      <w:r>
        <w:rPr>
          <w:rFonts w:ascii="Calibri" w:hAnsi="Calibri"/>
          <w:b w:val="0"/>
          <w:i w:val="0"/>
          <w:sz w:val="22"/>
        </w:rPr>
        <w:t>Under ASC 606 (ASC 606-10-25-14(b), 25-15, 25-17, 25-18; verify against the Codification), a series of distinct goods or services can be treated as a **single performance obligation** if BOTH of the following conditions are met:</w:t>
        <w:br/>
        <w:br/>
        <w:t>1. Each distinct item in the series is **substantially the same** and has the **same pattern of transfer** to the customer.</w:t>
        <w:br/>
        <w:t>2. The items are transferred to the customer over time using the same measure of progress.</w:t>
        <w:br/>
        <w:br/>
        <w:t>Examples that qualify as series POs:</w:t>
        <w:br/>
        <w:t>- A 12-month daily cleaning service (each daily clean is distinct; they are substantially the same; transferred over time using a time-based measure).</w:t>
        <w:br/>
        <w:t>- A 1-year SaaS subscription with continuous access (each day of access is distinct; substantially the same; transferred ratably).</w:t>
        <w:br/>
        <w:t>- A 5-year managed-services contract with monthly service credits.</w:t>
        <w:br/>
        <w:br/>
        <w:t>Examples that DO NOT qualify:</w:t>
        <w:br/>
        <w:t>- A 3-year contract where the first year is software implementation and years 2-3 are maintenance — the goods are not substantially the same.</w:t>
        <w:br/>
        <w:t>- A contract where the first unit delivered is at a different point in time than subsequent units (different transfer pattern).</w:t>
        <w:br/>
        <w:br/>
        <w:t>Key implications:</w:t>
        <w:br/>
        <w:t>- Series POs are recognized over time using a single measure of progress applied to the entire series.</w:t>
        <w:br/>
        <w:t>- The series treatment is **mandatory** when both criteria are met — the entity does NOT have the option to treat each item as a separate PO.</w:t>
        <w:br/>
        <w:t>- The series treatment simplifies accounting: one PO rather than 365 POs for a daily service.</w:t>
        <w:br/>
        <w:br/>
        <w:t>Common error: failing to recognize that a stand-ready obligation (e.g., SaaS) is a series. Many SaaS arrangements should be analyzed as series POs recognized ratably.</w:t>
      </w:r>
    </w:p>
    <w:p>
      <w:pPr>
        <w:pStyle w:val="Heading3"/>
      </w:pPr>
      <w:r>
        <w:rPr>
          <w:color w:val="1F3864"/>
        </w:rPr>
        <w:t>M3-I-0001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M3</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distinct, performance_obligations, criteria</w:t>
            </w:r>
          </w:p>
        </w:tc>
      </w:tr>
      <w:tr>
        <w:tc>
          <w:tcPr>
            <w:tcW w:type="dxa" w:w="4873"/>
          </w:tcPr>
          <w:p>
            <w:r/>
            <w:r>
              <w:rPr>
                <w:b/>
                <w:sz w:val="20"/>
              </w:rPr>
              <w:t>Required skills</w:t>
            </w:r>
          </w:p>
        </w:tc>
        <w:tc>
          <w:tcPr>
            <w:tcW w:type="dxa" w:w="4873"/>
          </w:tcPr>
          <w:p>
            <w:r/>
            <w:r>
              <w:rPr>
                <w:sz w:val="20"/>
              </w:rPr>
              <w:t>fact_pattern_evaluation, two_step_test</w:t>
            </w:r>
          </w:p>
        </w:tc>
      </w:tr>
      <w:tr>
        <w:tc>
          <w:tcPr>
            <w:tcW w:type="dxa" w:w="4873"/>
          </w:tcPr>
          <w:p>
            <w:r/>
            <w:r>
              <w:rPr>
                <w:b/>
                <w:sz w:val="20"/>
              </w:rPr>
              <w:t>Authoritative refs</w:t>
            </w:r>
          </w:p>
        </w:tc>
        <w:tc>
          <w:tcPr>
            <w:tcW w:type="dxa" w:w="4873"/>
          </w:tcPr>
          <w:p>
            <w:r/>
            <w:r>
              <w:rPr>
                <w:sz w:val="20"/>
              </w:rPr>
              <w:t>ASC 606-10-25-19, ASC 606-10-25-21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two-criterion test for whether a promised good or service is 'distinct' under ASC 606. Provide a simple example of each criterion failing.</w:t>
      </w:r>
    </w:p>
    <w:p>
      <w:pPr>
        <w:pStyle w:val="Heading4"/>
      </w:pPr>
      <w:r>
        <w:rPr>
          <w:color w:val="1F3864"/>
        </w:rPr>
        <w:t>Assistant Answer (gold target)</w:t>
      </w:r>
    </w:p>
    <w:p>
      <w:pPr>
        <w:spacing w:line="312" w:lineRule="auto" w:after="120"/>
      </w:pPr>
      <w:r>
        <w:rPr>
          <w:rFonts w:ascii="Calibri" w:hAnsi="Calibri"/>
          <w:b w:val="0"/>
          <w:i w:val="0"/>
          <w:sz w:val="22"/>
        </w:rPr>
        <w:t>ASC 606-10-25-19 (verify against the Codification) requires BOTH criteria to be met:</w:t>
        <w:br/>
        <w:br/>
        <w:t>**Criterion 1 — Capable of being benefited from on a standalone basis**: the customer can benefit from the good or service either on its own or together with resources that are readily available. Evidence: the entity or another entity sells the same good or service separately; the customer could use it with resources it already has.</w:t>
        <w:br/>
        <w:t xml:space="preserve">   Failure example: a custom-engineered firmware image baked into a single customer-specific chip — the firmware cannot be used apart from that chip.</w:t>
        <w:br/>
        <w:br/>
        <w:t>**Criterion 2 — Separately identifiable from other promises**: the promise is not highly interrelated with other promises such that significantly integrated effort is required. The factors include: significant integration/interdependence/interrelation; significant modification/customization; and whether the good or service is highly dependent on, or interrelated with, other promises.</w:t>
        <w:br/>
        <w:t xml:space="preserve">   Failure example: an installation service that significantly modifies or customizes the equipment being installed — the installation and the equipment are highly interrelated.</w:t>
        <w:br/>
        <w:br/>
        <w:t>Only when BOTH criteria are met is the promised good or service a separate performance obligation. Otherwise the promise is combined with other promises into a single performance obligation that is accounted for as a single unit of account.</w:t>
      </w:r>
    </w:p>
    <w:p>
      <w:pPr>
        <w:pStyle w:val="Heading3"/>
      </w:pPr>
      <w:r>
        <w:rPr>
          <w:color w:val="1F3864"/>
        </w:rPr>
        <w:t>M3-I-0002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M3</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loyalty_program, material_right, allocation</w:t>
            </w:r>
          </w:p>
        </w:tc>
      </w:tr>
      <w:tr>
        <w:tc>
          <w:tcPr>
            <w:tcW w:type="dxa" w:w="4873"/>
          </w:tcPr>
          <w:p>
            <w:r/>
            <w:r>
              <w:rPr>
                <w:b/>
                <w:sz w:val="20"/>
              </w:rPr>
              <w:t>Required skills</w:t>
            </w:r>
          </w:p>
        </w:tc>
        <w:tc>
          <w:tcPr>
            <w:tcW w:type="dxa" w:w="4873"/>
          </w:tcPr>
          <w:p>
            <w:r/>
            <w:r>
              <w:rPr>
                <w:sz w:val="20"/>
              </w:rPr>
              <w:t>loyalty_program_analysis, arithmetic_accuracy</w:t>
            </w:r>
          </w:p>
        </w:tc>
      </w:tr>
      <w:tr>
        <w:tc>
          <w:tcPr>
            <w:tcW w:type="dxa" w:w="4873"/>
          </w:tcPr>
          <w:p>
            <w:r/>
            <w:r>
              <w:rPr>
                <w:b/>
                <w:sz w:val="20"/>
              </w:rPr>
              <w:t>Authoritative refs</w:t>
            </w:r>
          </w:p>
        </w:tc>
        <w:tc>
          <w:tcPr>
            <w:tcW w:type="dxa" w:w="4873"/>
          </w:tcPr>
          <w:p>
            <w:r/>
            <w:r>
              <w:rPr>
                <w:sz w:val="20"/>
              </w:rPr>
              <w:t>ASC 606-10-25-14, ASC 606-10-25-21, ASC 606-10-32-28, ASC 606-10-55-47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retailer operates a loyalty program. Customers earn 1 point per $1 spent; 1,000 points can be redeemed for a $10 reward. The retailer expects 90% of points to be redeemed. Customer makes a $100 cash purchase and earns 100 points. How should the retailer account for the transaction?</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Sale price: $100</w:t>
        <w:br/>
        <w:t xml:space="preserve">  - Points earned: 100</w:t>
        <w:br/>
        <w:t xml:space="preserve">  - Standalone value of points (per 1,000 pts = $10): 100 pts × ($10/1,000) = $1</w:t>
        <w:br/>
        <w:t xml:space="preserve">  - Expected redemption: 90%</w:t>
        <w:br/>
        <w:t xml:space="preserve">  - Adjusted standalone value: $1 × 90% = $0.90</w:t>
        <w:br/>
        <w:br/>
        <w:t>Step 1 — Identify POs (ASC 606-10-25-14, verify):</w:t>
        <w:br/>
        <w:t xml:space="preserve">  Two distinct POs:</w:t>
        <w:br/>
        <w:t xml:space="preserve">  (a) The goods transferred today (the $100 of merchandise).</w:t>
        <w:br/>
        <w:t xml:space="preserve">  (b) The loyalty reward — a material right because the customer receives a discount on future purchases that would not otherwise be available. ASC 606-10-25-21(c) (verify) addresses options that provide a material right.</w:t>
        <w:br/>
        <w:br/>
        <w:t>Step 2 — Determine the transaction price: $100 cash.</w:t>
        <w:br/>
        <w:br/>
        <w:t>Step 3 — Allocate transaction price using relative SSP:</w:t>
        <w:br/>
        <w:t xml:space="preserve">  - SSP of merchandise: $100</w:t>
        <w:br/>
        <w:t xml:space="preserve">  - SSP of loyalty points: $0.90 (expected redemption value)</w:t>
        <w:br/>
        <w:t xml:space="preserve">  - Total SSP: $100 + $0.90 = $100.90</w:t>
        <w:br/>
        <w:t xml:space="preserve">  - Allocation to merchandise: $100 × ($100/$100.90) = $99.11</w:t>
        <w:br/>
        <w:t xml:space="preserve">  - Allocation to loyalty points: $100 × ($0.90/$100.90) = $0.89</w:t>
        <w:br/>
        <w:br/>
        <w:t>Step 4 — Recognize revenue:</w:t>
        <w:br/>
        <w:t xml:space="preserve">  - Merchandise revenue is recognized at the time of sale (point of control transfer).</w:t>
        <w:br/>
        <w:t xml:space="preserve">  - Loyalty point revenue is deferred and recognized when the customer redeems the points (or when redemption expectations expire).</w:t>
        <w:br/>
        <w:br/>
        <w:t>Journal entry at sale:</w:t>
        <w:br/>
        <w:t xml:space="preserve">  Dr Cash                          100.00</w:t>
        <w:br/>
        <w:t xml:space="preserve">  Cr Revenue (merchandise)             99.11</w:t>
        <w:br/>
        <w:t xml:space="preserve">  Cr Contract Liability (loyalty)      0.89</w:t>
        <w:br/>
        <w:br/>
        <w:t>Subsequent entries:</w:t>
        <w:br/>
        <w:t xml:space="preserve">  - Each period, reassess expected redemption; adjust contract liability and revenue for changes in estimate (cumulative catch-up).</w:t>
        <w:br/>
        <w:t xml:space="preserve">  - When points are redeemed: Dr Contract Liability / Cr Revenue.</w:t>
        <w:br/>
        <w:t xml:space="preserve">  - When unredeemed points expire: Dr Contract Liability / Cr Revenue (breakage).</w:t>
        <w:br/>
        <w:br/>
        <w:t>ASC 606-10-55-47 (verify) addresses loyalty programs and material rights. Verify paragraph references against the licensed Codification.</w:t>
      </w:r>
    </w:p>
    <w:p>
      <w:pPr>
        <w:pStyle w:val="Heading3"/>
      </w:pPr>
      <w:r>
        <w:rPr>
          <w:color w:val="1F3864"/>
        </w:rPr>
        <w:t>M3-I-0003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M3</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option, material_right, performance_obligation</w:t>
            </w:r>
          </w:p>
        </w:tc>
      </w:tr>
      <w:tr>
        <w:tc>
          <w:tcPr>
            <w:tcW w:type="dxa" w:w="4873"/>
          </w:tcPr>
          <w:p>
            <w:r/>
            <w:r>
              <w:rPr>
                <w:b/>
                <w:sz w:val="20"/>
              </w:rPr>
              <w:t>Required skills</w:t>
            </w:r>
          </w:p>
        </w:tc>
        <w:tc>
          <w:tcPr>
            <w:tcW w:type="dxa" w:w="4873"/>
          </w:tcPr>
          <w:p>
            <w:r/>
            <w:r>
              <w:rPr>
                <w:sz w:val="20"/>
              </w:rPr>
              <w:t>option_analysis, material_right_analysis</w:t>
            </w:r>
          </w:p>
        </w:tc>
      </w:tr>
      <w:tr>
        <w:tc>
          <w:tcPr>
            <w:tcW w:type="dxa" w:w="4873"/>
          </w:tcPr>
          <w:p>
            <w:r/>
            <w:r>
              <w:rPr>
                <w:b/>
                <w:sz w:val="20"/>
              </w:rPr>
              <w:t>Authoritative refs</w:t>
            </w:r>
          </w:p>
        </w:tc>
        <w:tc>
          <w:tcPr>
            <w:tcW w:type="dxa" w:w="4873"/>
          </w:tcPr>
          <w:p>
            <w:r/>
            <w:r>
              <w:rPr>
                <w:sz w:val="20"/>
              </w:rPr>
              <w:t>ASC 606-10-25-21, ASC 606-10-55-43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how ASC 606 treats options to acquire additional goods or services. When is an option a separate performance obligation?</w:t>
      </w:r>
    </w:p>
    <w:p>
      <w:pPr>
        <w:pStyle w:val="Heading4"/>
      </w:pPr>
      <w:r>
        <w:rPr>
          <w:color w:val="1F3864"/>
        </w:rPr>
        <w:t>Assistant Answer (gold target)</w:t>
      </w:r>
    </w:p>
    <w:p>
      <w:pPr>
        <w:spacing w:line="312" w:lineRule="auto" w:after="120"/>
      </w:pPr>
      <w:r>
        <w:rPr>
          <w:rFonts w:ascii="Calibri" w:hAnsi="Calibri"/>
          <w:b w:val="0"/>
          <w:i w:val="0"/>
          <w:sz w:val="22"/>
        </w:rPr>
        <w:t>Under ASC 606 (ASC 606-10-25-21, 55-43, 55-44; verify), an option to acquire additional goods or services is a separate performance obligation when it provides the customer with a **material right** that the customer would not receive without the option.</w:t>
        <w:br/>
        <w:br/>
        <w:t>Two scenarios:</w:t>
        <w:br/>
        <w:br/>
        <w:t>1. **Option that is NOT a material right** — the option merely offers the customer the same terms available to other customers; no separate PO is identified. The entity does not allocate any transaction price to the option. Example: a SaaS renewal option at the entity's then-current list price.</w:t>
        <w:br/>
        <w:br/>
        <w:t>2. **Option that IS a material right** — the option grants the customer a discount or other benefit that is not otherwise available. A separate PO is identified at contract inception; the transaction price is allocated to this PO and revenue is recognized when (or as) the option is exercised or expires. Example: a renewal option at a 10% discount from the list price at renewal date.</w:t>
        <w:br/>
        <w:br/>
        <w:t>Common material-rights scenarios:</w:t>
        <w:br/>
        <w:t xml:space="preserve">  - Discount coupons given with a purchase.</w:t>
        <w:br/>
        <w:t xml:space="preserve">  - Renewal options at below-market rates.</w:t>
        <w:br/>
        <w:t xml:space="preserve">  - Free shipping or other perks available only if the customer makes a subsequent purchase.</w:t>
        <w:br/>
        <w:t xml:space="preserve">  - Customer-loyalty program points (similar analysis to material rights; ASC 606-10-55-47).</w:t>
        <w:br/>
        <w:br/>
        <w:t>Analysis steps:</w:t>
        <w:br/>
        <w:t>1. Determine whether the option provides a material right (typically a discount not otherwise available).</w:t>
        <w:br/>
        <w:t>2. If yes, treat the option as a separate PO.</w:t>
        <w:br/>
        <w:t>3. Allocate a portion of the transaction price to the option based on relative SSP (the standalone price of the discount, often estimated using adjusted market assessment or expected-value methods).</w:t>
        <w:br/>
        <w:t>4. Defer revenue on the option until exercised or expired.</w:t>
        <w:br/>
        <w:br/>
        <w:t>If the option is not exercised, the deferred revenue is recognized when the likelihood of exercise becomes remote (breakage concept).</w:t>
      </w:r>
    </w:p>
    <w:p>
      <w:pPr>
        <w:pStyle w:val="Heading3"/>
      </w:pPr>
      <w:r>
        <w:rPr>
          <w:color w:val="1F3864"/>
        </w:rPr>
        <w:t>M3-A-0002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M3</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bundled, distinct, license, warranty</w:t>
            </w:r>
          </w:p>
        </w:tc>
      </w:tr>
      <w:tr>
        <w:tc>
          <w:tcPr>
            <w:tcW w:type="dxa" w:w="4873"/>
          </w:tcPr>
          <w:p>
            <w:r/>
            <w:r>
              <w:rPr>
                <w:b/>
                <w:sz w:val="20"/>
              </w:rPr>
              <w:t>Required skills</w:t>
            </w:r>
          </w:p>
        </w:tc>
        <w:tc>
          <w:tcPr>
            <w:tcW w:type="dxa" w:w="4873"/>
          </w:tcPr>
          <w:p>
            <w:r/>
            <w:r>
              <w:rPr>
                <w:sz w:val="20"/>
              </w:rPr>
              <w:t>performance_obligation_analysis, fact_pattern_evaluation</w:t>
            </w:r>
          </w:p>
        </w:tc>
      </w:tr>
      <w:tr>
        <w:tc>
          <w:tcPr>
            <w:tcW w:type="dxa" w:w="4873"/>
          </w:tcPr>
          <w:p>
            <w:r/>
            <w:r>
              <w:rPr>
                <w:b/>
                <w:sz w:val="20"/>
              </w:rPr>
              <w:t>Authoritative refs</w:t>
            </w:r>
          </w:p>
        </w:tc>
        <w:tc>
          <w:tcPr>
            <w:tcW w:type="dxa" w:w="4873"/>
          </w:tcPr>
          <w:p>
            <w:r/>
            <w:r>
              <w:rPr>
                <w:sz w:val="20"/>
              </w:rPr>
              <w:t>ASC 606-10-25-19, ASC 606-10-55-29, ASC 606-10-55-43, ASC 606-10-55-65</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An entity sells a hardware device, proprietary software preloaded on the device, on-site installation, and one year of warranty support as a bundled package. How many performance obligations? Justify each conclusion.</w:t>
      </w:r>
    </w:p>
    <w:p>
      <w:pPr>
        <w:pStyle w:val="Heading4"/>
      </w:pPr>
      <w:r>
        <w:rPr>
          <w:color w:val="1F3864"/>
        </w:rPr>
        <w:t>Assistant Answer (gold target)</w:t>
      </w:r>
    </w:p>
    <w:p>
      <w:pPr>
        <w:spacing w:line="312" w:lineRule="auto" w:after="120"/>
      </w:pPr>
      <w:r>
        <w:rPr>
          <w:rFonts w:ascii="Calibri" w:hAnsi="Calibri"/>
          <w:b w:val="0"/>
          <w:i w:val="0"/>
          <w:sz w:val="22"/>
        </w:rPr>
        <w:t>Identification requires evaluating each promise against the two-criterion distinctness test (ASC 606-10-25-19, verify) and the specialized licensing and warranty guidance.</w:t>
        <w:br/>
        <w:br/>
        <w:t>Promise 1 — Hardware device:</w:t>
        <w:br/>
        <w:t xml:space="preserve">  - Capable of standalone benefit: yes (customer can use the device itself).</w:t>
        <w:br/>
        <w:t xml:space="preserve">  - Separately identifiable: yes (hardware is not highly interrelated with other promises unless customized).</w:t>
        <w:br/>
        <w:t xml:space="preserve">  - Conclusion: distinct PO. Recognized at point of delivery/acceptance.</w:t>
        <w:br/>
        <w:br/>
        <w:t>Promise 2 — Preloaded proprietary software:</w:t>
        <w:br/>
        <w:t xml:space="preserve">  - If the software is a functional IP that the customer can use independently of the entity's ongoing activities, it is a right-to-use license — distinct PO recognized at the point in time control transfers (typically delivery).</w:t>
        <w:br/>
        <w:t xml:space="preserve">  - If the software requires the entity's ongoing updates to remain functional (right-to-access), recognized over time. The fact pattern must specify which.</w:t>
        <w:br/>
        <w:t xml:space="preserve">  - If the software is inextricably bundled with the hardware (cannot run on any other hardware), the software and hardware together are one PO.</w:t>
        <w:br/>
        <w:br/>
        <w:t>Promise 3 — On-site installation:</w:t>
        <w:br/>
        <w:t xml:space="preserve">  - Capable of standalone benefit: yes, installation is a service that customers commonly contract for separately.</w:t>
        <w:br/>
        <w:t xml:space="preserve">  - Separately identifiable: depends on whether installation significantly modifies or customizes the hardware. If standard installation that does not modify the hardware, distinct. If installation significantly modifies or customizes, combine with hardware into one PO.</w:t>
        <w:br/>
        <w:t xml:space="preserve">  - Conclusion: distinct PO unless significant customization (then combined with hardware).</w:t>
        <w:br/>
        <w:br/>
        <w:t>Promise 4 — Warranty support:</w:t>
        <w:br/>
        <w:t xml:space="preserve">  - Two-step analysis (ASC 606-10-55-29, 55-30, verify):</w:t>
        <w:br/>
        <w:t xml:space="preserve">    (a) Is the warranty assurance-type (provides assurance the product complies with specifications)? If yes, NOT a separate PO; accounted for under ASC 460.</w:t>
        <w:br/>
        <w:t xml:space="preserve">    (b) Is the warranty service-type (in addition to assurance, provides a service such as coverage for accidental damage)? If yes, separate PO recognized over the warranty period.</w:t>
        <w:br/>
        <w:t xml:space="preserve">  - Conclusion: depends on the warranty terms. A standard 1-year manufacturer's warranty is typically assurance-type. A premium support plan with extended coverage is service-type.</w:t>
        <w:br/>
        <w:br/>
        <w:t>Plausible PO count: 3 or 4 depending on (a) whether the software is inextricably bundled, (b) whether installation modifies the hardware, and (c) whether the warranty is service-type. Cannot conclude without the specific contract terms and product characteristics.</w:t>
      </w:r>
    </w:p>
    <w:p>
      <w:pPr>
        <w:pStyle w:val="Heading3"/>
      </w:pPr>
      <w:r>
        <w:rPr>
          <w:color w:val="1F3864"/>
        </w:rPr>
        <w:t>M3-E-0001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M3</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memo</w:t>
            </w:r>
          </w:p>
        </w:tc>
      </w:tr>
      <w:tr>
        <w:tc>
          <w:tcPr>
            <w:tcW w:type="dxa" w:w="4873"/>
          </w:tcPr>
          <w:p>
            <w:r/>
            <w:r>
              <w:rPr>
                <w:b/>
                <w:sz w:val="20"/>
              </w:rPr>
              <w:t>Topic tags</w:t>
            </w:r>
          </w:p>
        </w:tc>
        <w:tc>
          <w:tcPr>
            <w:tcW w:type="dxa" w:w="4873"/>
          </w:tcPr>
          <w:p>
            <w:r/>
            <w:r>
              <w:rPr>
                <w:sz w:val="20"/>
              </w:rPr>
              <w:t>shipping_handling, memo, practical_expedient</w:t>
            </w:r>
          </w:p>
        </w:tc>
      </w:tr>
      <w:tr>
        <w:tc>
          <w:tcPr>
            <w:tcW w:type="dxa" w:w="4873"/>
          </w:tcPr>
          <w:p>
            <w:r/>
            <w:r>
              <w:rPr>
                <w:b/>
                <w:sz w:val="20"/>
              </w:rPr>
              <w:t>Required skills</w:t>
            </w:r>
          </w:p>
        </w:tc>
        <w:tc>
          <w:tcPr>
            <w:tcW w:type="dxa" w:w="4873"/>
          </w:tcPr>
          <w:p>
            <w:r/>
            <w:r>
              <w:rPr>
                <w:sz w:val="20"/>
              </w:rPr>
              <w:t>memo_writing, practical_expedient_analysis</w:t>
            </w:r>
          </w:p>
        </w:tc>
      </w:tr>
      <w:tr>
        <w:tc>
          <w:tcPr>
            <w:tcW w:type="dxa" w:w="4873"/>
          </w:tcPr>
          <w:p>
            <w:r/>
            <w:r>
              <w:rPr>
                <w:b/>
                <w:sz w:val="20"/>
              </w:rPr>
              <w:t>Authoritative refs</w:t>
            </w:r>
          </w:p>
        </w:tc>
        <w:tc>
          <w:tcPr>
            <w:tcW w:type="dxa" w:w="4873"/>
          </w:tcPr>
          <w:p>
            <w:r/>
            <w:r>
              <w:rPr>
                <w:sz w:val="20"/>
              </w:rPr>
              <w:t>ASC 606-10-25-16, ASC 606-10-25-19, ASC 606-10-25-18B, ASC 340-40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Draft a memo addressing: does the entity's obligation to provide shipping and handling services constitute a separate performance obligation, or is it part of the transfer of the goods?</w:t>
      </w:r>
    </w:p>
    <w:p>
      <w:pPr>
        <w:pStyle w:val="Heading4"/>
      </w:pPr>
      <w:r>
        <w:rPr>
          <w:color w:val="1F3864"/>
        </w:rPr>
        <w:t>Assistant Answer (gold target)</w:t>
      </w:r>
    </w:p>
    <w:p>
      <w:pPr>
        <w:spacing w:line="312" w:lineRule="auto" w:after="120"/>
      </w:pPr>
      <w:r>
        <w:rPr>
          <w:rFonts w:ascii="Calibri" w:hAnsi="Calibri"/>
          <w:b w:val="0"/>
          <w:i w:val="0"/>
          <w:sz w:val="22"/>
        </w:rPr>
        <w:t>MEMORANDUM — Shipping and Handling as a Performance Obligation</w:t>
        <w:br/>
        <w:br/>
        <w:t>ISSUE: Are shipping and handling a separate performance obligation, or fulfillment activity that is not a separate PO?</w:t>
        <w:br/>
        <w:br/>
        <w:t>AUTHORITATIVE GUIDANCE: ASC 606-10-25-16 through 25-22 (promised goods and services); ASC 606-10-25-19 (distinctness); ASC 606-10-55-36 through 55-40 (principal-agent); ASC 340-40 (costs to fulfill). Verify all paragraph references against the licensed Codification.</w:t>
        <w:br/>
        <w:br/>
        <w:t>FACTS: Standard fact pattern — entity sells goods to customers and charges a separate shipping fee.</w:t>
        <w:br/>
        <w:br/>
        <w:t>ANALYSIS:</w:t>
        <w:br/>
        <w:br/>
        <w:t>1. Is shipping a promised good or service? Shipping is an activity performed to transfer the goods; it does not transfer a separate good or service to the customer (unless the customer separately contracts for shipping as a service, e.g., freight forwarding).</w:t>
        <w:br/>
        <w:br/>
        <w:t>2. Distinctness analysis: even if shipping were a promised service, it is generally highly interrelated with the underlying goods transfer — shipping is the means by which the goods are delivered. Customer cannot benefit from shipping without the underlying goods.</w:t>
        <w:br/>
        <w:br/>
        <w:t>3. Practical expedient (ASC 606-10-25-18B, verify): an entity may elect to treat shipping and handling as fulfillment activity (not a separate PO) if shipping is performed after the customer obtains control of the goods. In that case, the entity expenses shipping costs as incurred under ASC 340-40 and does not allocate any transaction price to shipping.</w:t>
        <w:br/>
        <w:br/>
        <w:t>4. Alternative conclusion: if the entity controls the shipping service before transferring it to the customer (e.g., operates its own freight function as a service), and the shipping is a service the customer could obtain separately, shipping may be a separate PO.</w:t>
        <w:br/>
        <w:br/>
        <w:t>CONCLUSION (default pattern):</w:t>
        <w:br/>
        <w:t xml:space="preserve">  - Shipping and handling are fulfillment activity, not a separate PO.</w:t>
        <w:br/>
        <w:t xml:space="preserve">  - Shipping fees collected from customers are part of the transaction price for the goods (treated as part of the consideration for the goods transfer), not separate shipping revenue.</w:t>
        <w:br/>
        <w:t xml:space="preserve">  - Shipping costs incurred by the entity are expensed as incurred under ASC 340-40 (subject to the practical expedient for costs amortized over one year or less).</w:t>
        <w:br/>
        <w:br/>
        <w:t>CONTRARY ARGUMENTS:</w:t>
        <w:br/>
        <w:t xml:space="preserve">  - If shipping is contracted for as a freight-forwarding service with the customer (e.g., third-party logistics arrangement), the analysis changes — shipping is a separate PO.</w:t>
        <w:br/>
        <w:t xml:space="preserve">  - If the entity charges shipping at a markup above cost, the markup may suggest the entity is the principal for shipping (separate PO).</w:t>
        <w:br/>
        <w:br/>
        <w:t>MISSING EVIDENCE: customer contracts, shipping pricing structure, freight forwarder arrangements, and customer billing practices.</w:t>
        <w:br/>
        <w:br/>
        <w:t>RECOMMENDATION: elect the practical expedient if applicable; document the policy; ensure consistent application across customers.</w:t>
      </w:r>
    </w:p>
    <w:p>
      <w:pPr>
        <w:pStyle w:val="Heading2"/>
      </w:pPr>
      <w:r>
        <w:rPr>
          <w:color w:val="1F3864"/>
        </w:rPr>
        <w:t>5.7 M4 — Transaction Price &amp; Variable Consideration</w:t>
      </w:r>
    </w:p>
    <w:p>
      <w:pPr>
        <w:spacing w:line="312" w:lineRule="auto" w:after="120"/>
      </w:pPr>
      <w:r>
        <w:rPr>
          <w:rFonts w:ascii="Calibri" w:hAnsi="Calibri"/>
          <w:b w:val="0"/>
          <w:i w:val="0"/>
          <w:sz w:val="22"/>
        </w:rPr>
        <w:t>This module contains 8 curated training template(s) at the following difficulty levels: beginner, foundational, intermediate, advanced, expert.</w:t>
      </w:r>
    </w:p>
    <w:p>
      <w:pPr>
        <w:pStyle w:val="Heading3"/>
      </w:pPr>
      <w:r>
        <w:rPr>
          <w:color w:val="1F3864"/>
        </w:rPr>
        <w:t>M4-B-0001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transaction_price, definition</w:t>
            </w:r>
          </w:p>
        </w:tc>
      </w:tr>
      <w:tr>
        <w:tc>
          <w:tcPr>
            <w:tcW w:type="dxa" w:w="4873"/>
          </w:tcPr>
          <w:p>
            <w:r/>
            <w:r>
              <w:rPr>
                <w:b/>
                <w:sz w:val="20"/>
              </w:rPr>
              <w:t>Required skills</w:t>
            </w:r>
          </w:p>
        </w:tc>
        <w:tc>
          <w:tcPr>
            <w:tcW w:type="dxa" w:w="4873"/>
          </w:tcPr>
          <w:p>
            <w:r/>
            <w:r>
              <w:rPr>
                <w:sz w:val="20"/>
              </w:rPr>
              <w:t>definition, transaction_price_analysis</w:t>
            </w:r>
          </w:p>
        </w:tc>
      </w:tr>
      <w:tr>
        <w:tc>
          <w:tcPr>
            <w:tcW w:type="dxa" w:w="4873"/>
          </w:tcPr>
          <w:p>
            <w:r/>
            <w:r>
              <w:rPr>
                <w:b/>
                <w:sz w:val="20"/>
              </w:rPr>
              <w:t>Authoritative refs</w:t>
            </w:r>
          </w:p>
        </w:tc>
        <w:tc>
          <w:tcPr>
            <w:tcW w:type="dxa" w:w="4873"/>
          </w:tcPr>
          <w:p>
            <w:r/>
            <w:r>
              <w:rPr>
                <w:sz w:val="20"/>
              </w:rPr>
              <w:t>ASC 606-10-32-2, ASC 606-10-32-3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'transaction price' under ASC 606. What items does it include and exclude?</w:t>
      </w:r>
    </w:p>
    <w:p>
      <w:pPr>
        <w:pStyle w:val="Heading4"/>
      </w:pPr>
      <w:r>
        <w:rPr>
          <w:color w:val="1F3864"/>
        </w:rPr>
        <w:t>Assistant Answer (gold target)</w:t>
      </w:r>
    </w:p>
    <w:p>
      <w:pPr>
        <w:spacing w:line="312" w:lineRule="auto" w:after="120"/>
      </w:pPr>
      <w:r>
        <w:rPr>
          <w:rFonts w:ascii="Calibri" w:hAnsi="Calibri"/>
          <w:b w:val="0"/>
          <w:i w:val="0"/>
          <w:sz w:val="22"/>
        </w:rPr>
        <w:t>Under ASC 606 (ASC 606-10-32-2 through 32-7; verify against the Codification), the **transaction price** is the amount of consideration to which an entity expects to be entitled in exchange for transferring promised goods or services to a customer, excluding amounts collected on behalf of third parties (e.g., sales taxes, value-added taxes, certain excise taxes).</w:t>
        <w:br/>
        <w:br/>
        <w:t>Items INCLUDED in the transaction price:</w:t>
        <w:br/>
        <w:br/>
        <w:t>1. **Fixed consideration** — the amount the customer agrees to pay that is not contingent on anything.</w:t>
        <w:br/>
        <w:t>2. **Variable consideration** — amounts that vary based on future events (e.g., discounts, rebates, refunds, performance bonuses, penalties, price concessions).</w:t>
        <w:br/>
        <w:t>3. **Variable consideration that is constrained** — only to the extent it is probable that a significant revenue reversal will not occur.</w:t>
        <w:br/>
        <w:t>4. **Significant financing component** — the effect of the time value of money when the timing of payments provides a significant financing benefit.</w:t>
        <w:br/>
        <w:t>5. **Noncash consideration** at fair value (if reasonably measurable).</w:t>
        <w:br/>
        <w:t>6. **Consideration payable to a customer** (reduces the transaction price unless it is in exchange for a distinct good or service from the customer).</w:t>
        <w:br/>
        <w:br/>
        <w:t>Items EXCLUDED from the transaction price:</w:t>
        <w:br/>
        <w:br/>
        <w:t>1. Amounts collected on behalf of third parties (sales taxes, VAT, certain excise taxes) — these are not consideration to the entity.</w:t>
        <w:br/>
        <w:t>2. Amounts that are not consideration for the entity's transfer of goods or services (e.g., reimbursements of out-of-pocket expenses that are not part of the entity's promised performance).</w:t>
        <w:br/>
        <w:br/>
        <w:t>Key principle: the transaction price reflects the amount the entity expects to be entitled to, which may differ from the stated contract price. Estimation, the constraint, and the financing component can all cause the transaction price to differ from the contractually stated amount.</w:t>
      </w:r>
    </w:p>
    <w:p>
      <w:pPr>
        <w:pStyle w:val="Heading3"/>
      </w:pPr>
      <w:r>
        <w:rPr>
          <w:color w:val="1F3864"/>
        </w:rPr>
        <w:t>M4-F-0001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expected_value, variable_consideration, constraint</w:t>
            </w:r>
          </w:p>
        </w:tc>
      </w:tr>
      <w:tr>
        <w:tc>
          <w:tcPr>
            <w:tcW w:type="dxa" w:w="4873"/>
          </w:tcPr>
          <w:p>
            <w:r/>
            <w:r>
              <w:rPr>
                <w:b/>
                <w:sz w:val="20"/>
              </w:rPr>
              <w:t>Required skills</w:t>
            </w:r>
          </w:p>
        </w:tc>
        <w:tc>
          <w:tcPr>
            <w:tcW w:type="dxa" w:w="4873"/>
          </w:tcPr>
          <w:p>
            <w:r/>
            <w:r>
              <w:rPr>
                <w:sz w:val="20"/>
              </w:rPr>
              <w:t>estimation, arithmetic_accuracy, constraint_analysis</w:t>
            </w:r>
          </w:p>
        </w:tc>
      </w:tr>
      <w:tr>
        <w:tc>
          <w:tcPr>
            <w:tcW w:type="dxa" w:w="4873"/>
          </w:tcPr>
          <w:p>
            <w:r/>
            <w:r>
              <w:rPr>
                <w:b/>
                <w:sz w:val="20"/>
              </w:rPr>
              <w:t>Authoritative refs</w:t>
            </w:r>
          </w:p>
        </w:tc>
        <w:tc>
          <w:tcPr>
            <w:tcW w:type="dxa" w:w="4873"/>
          </w:tcPr>
          <w:p>
            <w:r/>
            <w:r>
              <w:rPr>
                <w:sz w:val="20"/>
              </w:rPr>
              <w:t>ASC 606-10-32-8, ASC 606-10-32-11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contractor has 100 similar service contracts. Each contract has a 60% chance of $50,000 consideration and a 40% chance of $40,000 consideration (depending on whether a milestone is met). Compute the expected value per contract and explain when this method is preferred.</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- 100 contracts, each with two outcomes.</w:t>
        <w:br/>
        <w:t xml:space="preserve">  - Outcome A (60% probability): $50,000.</w:t>
        <w:br/>
        <w:t xml:space="preserve">  - Outcome B (40% probability): $40,000.</w:t>
        <w:br/>
        <w:br/>
        <w:t>Step 1 — Apply the expected-value method (ASC 606-10-32-8, verify):</w:t>
        <w:br/>
        <w:t xml:space="preserve">  Expected value per contract = (0.60 × $50,000) + (0.40 × $40,000)</w:t>
        <w:br/>
        <w:t xml:space="preserve">                              = $30,000 + $16,000</w:t>
        <w:br/>
        <w:t xml:space="preserve">                              = $46,000</w:t>
        <w:br/>
        <w:br/>
        <w:t>Step 2 — Apply the constraint (ASC 606-10-32-11, verify):</w:t>
        <w:br/>
        <w:t xml:space="preserve">  Include $46,000 in the transaction price only to the extent it is probable that a significant reversal will not occur. For 100 similar contracts, the law of large numbers suggests the aggregate outcome will approximate the expected value; reversal risk at the portfolio level is low. Include $46,000 per contract ($4,600,000 aggregate) if the constraint is satisfied.</w:t>
        <w:br/>
        <w:br/>
        <w:t>When the expected-value method is preferred:</w:t>
        <w:br/>
        <w:t xml:space="preserve">  - When the entity has a large number of similar contracts with similar variability (portfolio effect).</w:t>
        <w:br/>
        <w:t xml:space="preserve">  - When there are multiple possible outcomes (more than two), making the most-likely-amount method inappropriate.</w:t>
        <w:br/>
        <w:t xml:space="preserve">  - When the variable consideration is not binary in nature (e.g., volume discounts with tiered thresholds).</w:t>
        <w:br/>
        <w:br/>
        <w:t>Comparison with most-likely-amount method:</w:t>
        <w:br/>
        <w:t xml:space="preserve">  - Most-likely-amount is preferred when there are only two possible outcomes and the entity's expectation is dominated by one outcome. For a single contract with a 60%/40% split, the most-likely-amount would be $50,000.</w:t>
        <w:br/>
        <w:t xml:space="preserve">  - For a portfolio of 100 contracts, expected-value ($46,000) is generally more predictive.</w:t>
        <w:br/>
        <w:br/>
        <w:t>Reconciliation check: 100 × $46,000 = $4,600,000 expected aggregate consideration. If actual outcomes materialize as 60 with milestone achieved and 40 without: (60 × $50,000) + (40 × $40,000) = $3,000,000 + $1,600,000 = $4,600,000. ✓</w:t>
        <w:br/>
        <w:br/>
        <w:t>Verify ASC 606-10-32-8 and ASC 606-10-32-11 paragraph references against the licensed Codification.</w:t>
      </w:r>
    </w:p>
    <w:p>
      <w:pPr>
        <w:pStyle w:val="Heading3"/>
      </w:pPr>
      <w:r>
        <w:rPr>
          <w:color w:val="1F3864"/>
        </w:rPr>
        <w:t>M4-F-0002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most_likely_amount, constraint, binary_outcome</w:t>
            </w:r>
          </w:p>
        </w:tc>
      </w:tr>
      <w:tr>
        <w:tc>
          <w:tcPr>
            <w:tcW w:type="dxa" w:w="4873"/>
          </w:tcPr>
          <w:p>
            <w:r/>
            <w:r>
              <w:rPr>
                <w:b/>
                <w:sz w:val="20"/>
              </w:rPr>
              <w:t>Required skills</w:t>
            </w:r>
          </w:p>
        </w:tc>
        <w:tc>
          <w:tcPr>
            <w:tcW w:type="dxa" w:w="4873"/>
          </w:tcPr>
          <w:p>
            <w:r/>
            <w:r>
              <w:rPr>
                <w:sz w:val="20"/>
              </w:rPr>
              <w:t>estimation, constraint_analysis</w:t>
            </w:r>
          </w:p>
        </w:tc>
      </w:tr>
      <w:tr>
        <w:tc>
          <w:tcPr>
            <w:tcW w:type="dxa" w:w="4873"/>
          </w:tcPr>
          <w:p>
            <w:r/>
            <w:r>
              <w:rPr>
                <w:b/>
                <w:sz w:val="20"/>
              </w:rPr>
              <w:t>Authoritative refs</w:t>
            </w:r>
          </w:p>
        </w:tc>
        <w:tc>
          <w:tcPr>
            <w:tcW w:type="dxa" w:w="4873"/>
          </w:tcPr>
          <w:p>
            <w:r/>
            <w:r>
              <w:rPr>
                <w:sz w:val="20"/>
              </w:rPr>
              <w:t>ASC 606-10-32-8, ASC 606-10-32-11, ASC 606-10-32-12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software vendor has a single contract with a customer. Either the customer will pay $200,000 (70% probability, if the project passes acceptance) or pay $0 with a refund (30% probability, if acceptance fails). Compute the transaction price using the most-likely-amount method and apply the constraint.</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Binary outcome (two possibilities only).</w:t>
        <w:br/>
        <w:t xml:space="preserve">  - Outcome A (70% probability): $200,000 (acceptance).</w:t>
        <w:br/>
        <w:t xml:space="preserve">  - Outcome B (30% probability): $0 (refund).</w:t>
        <w:br/>
        <w:br/>
        <w:t>Step 1 — Choose estimation method:</w:t>
        <w:br/>
        <w:t xml:space="preserve">  For binary outcomes with two principal possibilities, the most-likely-amount method is generally preferred (ASC 606-10-32-8, verify). The most likely outcome is $200,000 (70% probability).</w:t>
        <w:br/>
        <w:br/>
        <w:t>Step 2 — Apply the constraint (ASC 606-10-32-11/12, verify):</w:t>
        <w:br/>
        <w:t xml:space="preserve">  Include $200,000 only to the extent it is probable that a significant reversal will not occur.</w:t>
        <w:br/>
        <w:t xml:space="preserve">  - Reversal magnitude if acceptance fails: $200,000 — clearly material/significant.</w:t>
        <w:br/>
        <w:t xml:space="preserve">  - Probability of reversal: 30% — non-trivial.</w:t>
        <w:br/>
        <w:t xml:space="preserve">  - Susceptibility to outside factors: high (acceptance criteria depend on customer evaluation, often involving subjective factors).</w:t>
        <w:br/>
        <w:t xml:space="preserve">  - Length of time before uncertainty resolves: depends on acceptance timeline (could be months).</w:t>
        <w:br/>
        <w:t xml:space="preserve">  - Entity's experience: must be assessed.</w:t>
        <w:br/>
        <w:br/>
        <w:t>Conditional conclusion:</w:t>
        <w:br/>
        <w:t xml:space="preserve">  - If the entity has a strong track record (95%+ historical acceptance rate, similar acceptance criteria, short period before resolution), include $200,000 in the transaction price.</w:t>
        <w:br/>
        <w:t xml:space="preserve">  - If the entity has limited experience or if the acceptance criteria are subjective, constrain the transaction price to a lower amount (potentially $0) until acceptance occurs.</w:t>
        <w:br/>
        <w:br/>
        <w:t>Comparison: expected-value method would give 0.70 × $200,000 + 0.30 × $0 = $140,000. But for a single contract with binary outcome, most-likely-amount is generally more predictive of the actual amount the entity will receive.</w:t>
        <w:br/>
        <w:br/>
        <w:t>Important: the 70% probability does NOT justify automatically recognizing $140,000 (expected value) or $200,000 (most-likely). The choice of method must be documented, and the constraint must be applied irrespective of the chosen method. Verify ASC 606-10-32-8 and ASC 606-10-32-11/12 against the licensed Codification.</w:t>
      </w:r>
    </w:p>
    <w:p>
      <w:pPr>
        <w:pStyle w:val="Heading3"/>
      </w:pPr>
      <w:r>
        <w:rPr>
          <w:color w:val="1F3864"/>
        </w:rPr>
        <w:t>M4-I-0001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rebate, variable_consideration, reassessment</w:t>
            </w:r>
          </w:p>
        </w:tc>
      </w:tr>
      <w:tr>
        <w:tc>
          <w:tcPr>
            <w:tcW w:type="dxa" w:w="4873"/>
          </w:tcPr>
          <w:p>
            <w:r/>
            <w:r>
              <w:rPr>
                <w:b/>
                <w:sz w:val="20"/>
              </w:rPr>
              <w:t>Required skills</w:t>
            </w:r>
          </w:p>
        </w:tc>
        <w:tc>
          <w:tcPr>
            <w:tcW w:type="dxa" w:w="4873"/>
          </w:tcPr>
          <w:p>
            <w:r/>
            <w:r>
              <w:rPr>
                <w:sz w:val="20"/>
              </w:rPr>
              <w:t>rebate_analysis, arithmetic_accuracy, constraint_analysis</w:t>
            </w:r>
          </w:p>
        </w:tc>
      </w:tr>
      <w:tr>
        <w:tc>
          <w:tcPr>
            <w:tcW w:type="dxa" w:w="4873"/>
          </w:tcPr>
          <w:p>
            <w:r/>
            <w:r>
              <w:rPr>
                <w:b/>
                <w:sz w:val="20"/>
              </w:rPr>
              <w:t>Authoritative refs</w:t>
            </w:r>
          </w:p>
        </w:tc>
        <w:tc>
          <w:tcPr>
            <w:tcW w:type="dxa" w:w="4873"/>
          </w:tcPr>
          <w:p>
            <w:r/>
            <w:r>
              <w:rPr>
                <w:sz w:val="20"/>
              </w:rPr>
              <w:t>ASC 606-10-32-5, ASC 606-10-32-8, ASC 606-10-32-11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retailer offers a 5% rebate to customers who purchase $10,000 or more in a calendar year. A customer purchases $8,000 of goods on March 1 and is projected to spend another $5,000 by year-end (exceeding the $10,000 threshold). How should the retailer account for the rebate on the March 1 sale?</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Sale on March 1: $8,000.</w:t>
        <w:br/>
        <w:t xml:space="preserve">  - Cumulative expected spend by year-end: $13,000 ($8,000 + $5,000).</w:t>
        <w:br/>
        <w:t xml:space="preserve">  - Rebate threshold: $10,000.</w:t>
        <w:br/>
        <w:t xml:space="preserve">  - Rebate: 5% on cumulative purchases once threshold is met.</w:t>
        <w:br/>
        <w:br/>
        <w:t>Step 1 — Determine the transaction price (ASC 606-10-32-5, 32-8, verify). Variable consideration arises from the potential rebate. Expected rebate amount (if threshold is met and assuming rebate applies to all cumulative purchases): 5% × $13,000 = $650.</w:t>
        <w:br/>
        <w:br/>
        <w:t>Step 2 — Apply the constraint. Assume the entity has experience with similar customers and customers typically complete planned purchases. Probability of meeting the threshold: high (the projected $13,000 exceeds $10,000 by $3,000). Include the rebate estimate in the transaction price.</w:t>
        <w:br/>
        <w:br/>
        <w:t>Step 3 — Allocate to the March 1 sale. The rebate applies to all qualifying cumulative purchases; each sale's transaction price is reduced by its share of expected rebate: $8,000 × 5% = $400 rebate on March 1 sale.</w:t>
        <w:br/>
        <w:t>Adjusted transaction price for March 1 sale: $8,000 − $400 = $7,600.</w:t>
        <w:br/>
        <w:br/>
        <w:t>Step 4 — Journal entry on March 1:</w:t>
        <w:br/>
        <w:t xml:space="preserve">  Dr Cash / Accounts Receivable      8,000</w:t>
        <w:br/>
        <w:t xml:space="preserve">  Cr Revenue                              7,600</w:t>
        <w:br/>
        <w:t xml:space="preserve">  Cr Contract Liability (rebate)         400</w:t>
        <w:br/>
        <w:br/>
        <w:t>Step 5 — Subsequent reassessment. Each period, update the rebate estimate based on updated cumulative spend and expected spend. Recognize changes in estimate as a cumulative catch-up adjustment in the period of change.</w:t>
        <w:br/>
        <w:br/>
        <w:t>Step 6 — Year-end (if customer actually spent $13,000):</w:t>
        <w:br/>
        <w:t xml:space="preserve">  - Total rebate owed: $13,000 × 5% = $650.</w:t>
        <w:br/>
        <w:t xml:space="preserve">  - Already accrued through March 1 entry and subsequent entries: $650 (assuming consistent estimation).</w:t>
        <w:br/>
        <w:t xml:space="preserve">  - Settle: Dr Contract Liability $650 / Cr Cash $650.</w:t>
        <w:br/>
        <w:br/>
        <w:t>If customer fell short of threshold: contract liability settles by recognizing revenue (breakage).</w:t>
        <w:br/>
        <w:br/>
        <w:t>ASC 606-10-32-11/12 constraint analysis applies (verify). The threshold-subsequent-purchase fact pattern is common in customer-rebate arrangements; the entity should apply consistent estimation methodology and reassess each reporting period.</w:t>
      </w:r>
    </w:p>
    <w:p>
      <w:pPr>
        <w:pStyle w:val="Heading3"/>
      </w:pPr>
      <w:r>
        <w:rPr>
          <w:color w:val="1F3864"/>
        </w:rPr>
        <w:t>M4-A-0001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variable_consideration, constraint, estimation</w:t>
            </w:r>
          </w:p>
        </w:tc>
      </w:tr>
      <w:tr>
        <w:tc>
          <w:tcPr>
            <w:tcW w:type="dxa" w:w="4873"/>
          </w:tcPr>
          <w:p>
            <w:r/>
            <w:r>
              <w:rPr>
                <w:b/>
                <w:sz w:val="20"/>
              </w:rPr>
              <w:t>Required skills</w:t>
            </w:r>
          </w:p>
        </w:tc>
        <w:tc>
          <w:tcPr>
            <w:tcW w:type="dxa" w:w="4873"/>
          </w:tcPr>
          <w:p>
            <w:r/>
            <w:r>
              <w:rPr>
                <w:sz w:val="20"/>
              </w:rPr>
              <w:t>estimation, constraint_analysis, skepticism</w:t>
            </w:r>
          </w:p>
        </w:tc>
      </w:tr>
      <w:tr>
        <w:tc>
          <w:tcPr>
            <w:tcW w:type="dxa" w:w="4873"/>
          </w:tcPr>
          <w:p>
            <w:r/>
            <w:r>
              <w:rPr>
                <w:b/>
                <w:sz w:val="20"/>
              </w:rPr>
              <w:t>Authoritative refs</w:t>
            </w:r>
          </w:p>
        </w:tc>
        <w:tc>
          <w:tcPr>
            <w:tcW w:type="dxa" w:w="4873"/>
          </w:tcPr>
          <w:p>
            <w:r/>
            <w:r>
              <w:rPr>
                <w:sz w:val="20"/>
              </w:rPr>
              <w:t>ASC 606-10-32-8, ASC 606-10-32-11, ASC 606-10-32-12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 contractor will receive a fixed fee of $500,000 plus a potential $100,000 bonus if the project is completed before the contractual deadline. Management estimates a 70% probability of receiving the bonus. The contractor has limited experience with similar deadlines. How much variable consideration should be included in the transaction price?</w:t>
      </w:r>
    </w:p>
    <w:p>
      <w:pPr>
        <w:pStyle w:val="Heading4"/>
      </w:pPr>
      <w:r>
        <w:rPr>
          <w:color w:val="1F3864"/>
        </w:rPr>
        <w:t>Assistant Answer (gold target)</w:t>
      </w:r>
    </w:p>
    <w:p>
      <w:pPr>
        <w:spacing w:line="312" w:lineRule="auto" w:after="120"/>
      </w:pPr>
      <w:r>
        <w:rPr>
          <w:rFonts w:ascii="Calibri" w:hAnsi="Calibri"/>
          <w:b w:val="0"/>
          <w:i w:val="0"/>
          <w:sz w:val="22"/>
        </w:rPr>
        <w:t>The 70% probability does NOT by itself justify recognizing $70,000 (or $100,000) in the transaction price. The analysis is two-stage:</w:t>
        <w:br/>
        <w:br/>
        <w:t>**Stage 1 — Estimation method (ASC 606-10-32-8 et seq., verify):**</w:t>
        <w:br/>
        <w:t>Two methods are available:</w:t>
        <w:br/>
        <w:t>(a) Expected-value method: sum of probability-weighted amounts across possible outcomes. With two outcomes ($100k bonus or $0), the expected value is 0.70 × $100,000 + 0.30 × $0 = $70,000.</w:t>
        <w:br/>
        <w:t>(b) Most-likely-amount method: the single most likely outcome. With a 70% probability, the most likely outcome is $100,000.</w:t>
        <w:br/>
        <w:br/>
        <w:t>The choice depends on which method better predicts the consideration to which the entity expects to be entitled. For binary outcomes, the most-likely-amount method is generally preferred.</w:t>
        <w:br/>
        <w:br/>
        <w:t>**Stage 2 — Constraint (ASC 606-10-32-11/12, verify):**</w:t>
        <w:br/>
        <w:t>Include the estimated amount ONLY to the extent it is probable that a significant reversal of cumulative revenue will not occur when the uncertainty is resolved. Factors to consider:</w:t>
        <w:br/>
        <w:t>— Whether the amount is highly susceptible to factors outside the entity's influence (weather, supply chain, third-party decisions) — here, project deadlines are typically sensitive to many such factors.</w:t>
        <w:br/>
        <w:t>— The entity's experience with similar bonuses — explicitly stated to be limited.</w:t>
        <w:br/>
        <w:t>— The length of time until the uncertainty resolves.</w:t>
        <w:br/>
        <w:t>— Past practice of paying or receiving similar bonuses.</w:t>
        <w:br/>
        <w:br/>
        <w:t>Given limited experience and likely exposure to outside factors, recognizing the full $100,000 most-likely-amount (or the $70,000 expected value) is probably NOT supportable.</w:t>
        <w:br/>
        <w:br/>
        <w:t>**Conditional conclusion:** without further evidence (e.g., a long track record of meeting similar deadlines, low historical volatility, low sensitivity to external factors), the safer treatment is to include $0 (or a substantially reduced amount) in the transaction price and reassess each period as evidence accumulates. Cite ASC 606-10-32-8 through 32-15 (verify paragraph numbers against the licensed Codification).</w:t>
      </w:r>
    </w:p>
    <w:p>
      <w:pPr>
        <w:pStyle w:val="Heading3"/>
      </w:pPr>
      <w:r>
        <w:rPr>
          <w:color w:val="1F3864"/>
        </w:rPr>
        <w:t>M4-A-0002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noncash_consideration, fair_value, airline_points</w:t>
            </w:r>
          </w:p>
        </w:tc>
      </w:tr>
      <w:tr>
        <w:tc>
          <w:tcPr>
            <w:tcW w:type="dxa" w:w="4873"/>
          </w:tcPr>
          <w:p>
            <w:r/>
            <w:r>
              <w:rPr>
                <w:b/>
                <w:sz w:val="20"/>
              </w:rPr>
              <w:t>Required skills</w:t>
            </w:r>
          </w:p>
        </w:tc>
        <w:tc>
          <w:tcPr>
            <w:tcW w:type="dxa" w:w="4873"/>
          </w:tcPr>
          <w:p>
            <w:r/>
            <w:r>
              <w:rPr>
                <w:sz w:val="20"/>
              </w:rPr>
              <w:t>noncash_consideration_analysis, fair_value_measurement</w:t>
            </w:r>
          </w:p>
        </w:tc>
      </w:tr>
      <w:tr>
        <w:tc>
          <w:tcPr>
            <w:tcW w:type="dxa" w:w="4873"/>
          </w:tcPr>
          <w:p>
            <w:r/>
            <w:r>
              <w:rPr>
                <w:b/>
                <w:sz w:val="20"/>
              </w:rPr>
              <w:t>Authoritative refs</w:t>
            </w:r>
          </w:p>
        </w:tc>
        <w:tc>
          <w:tcPr>
            <w:tcW w:type="dxa" w:w="4873"/>
          </w:tcPr>
          <w:p>
            <w:r/>
            <w:r>
              <w:rPr>
                <w:sz w:val="20"/>
              </w:rPr>
              <w:t>ASC 606-10-32-21, ASC 606-10-32-23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customer pays a vendor with 100,000 loyalty points of a third-party airline. The airline points have a publicly stated redemption value of $0.01 per point. The fair value of the goods the vendor transferred is $1,500. How should the vendor measure the noncash consideration?</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Noncash consideration received: 100,000 airline points.</w:t>
        <w:br/>
        <w:t xml:space="preserve">  - Public redemption value: $0.01 per point = $1,000.</w:t>
        <w:br/>
        <w:t xml:space="preserve">  - Fair value of goods transferred: $1,500.</w:t>
        <w:br/>
        <w:br/>
        <w:t>Step 1 — Measurement of noncash consideration (ASC 606-10-32-21 through 32-24, verify):</w:t>
        <w:br/>
        <w:t xml:space="preserve">  Noncash consideration is measured at fair value. If fair value cannot be reasonably estimated, use the standalone selling price of the goods/services received in exchange (or, indirectly, by reference to the SSP of the goods/services the entity transfers).</w:t>
        <w:br/>
        <w:br/>
        <w:t>Step 2 — Determine fair value of the airline points:</w:t>
        <w:br/>
        <w:t xml:space="preserve">  - The publicly stated redemption value ($0.01/point) is evidence of fair value, but redemption value may differ from fair value if the airline program has restrictions (blackout dates, capacity controls, expiry).</w:t>
        <w:br/>
        <w:t xml:space="preserve">  - Better evidence: recent transactions where the entity or third parties exchanged points for cash or for goods with known cash value.</w:t>
        <w:br/>
        <w:t xml:space="preserve">  - If fair value cannot be reasonably estimated, use the standalone selling price of the goods transferred ($1,500).</w:t>
        <w:br/>
        <w:br/>
        <w:t>Step 3 — Measurement approach:</w:t>
        <w:br/>
        <w:t xml:space="preserve">  Option A: Use the redemption value of $1,000 as the noncash consideration if that is the best estimate of fair value. Transaction price = $1,000. Revenue = $1,000 (with a $500 difference against the SSP of goods transferred — this difference is generally not recognized as additional revenue unless the entity construes it as variable consideration or as a separate financing-related item).</w:t>
        <w:br/>
        <w:t xml:space="preserve">  Option B: Use the SSP of the goods transferred ($1,500) if fair value of the noncash consideration cannot be reasonably estimated. Transaction price = $1,500.</w:t>
        <w:br/>
        <w:br/>
        <w:t>Step 4 — Variable consideration overlap. If the noncash consideration's value varies (e.g., points redemption value changes over time), the entity treats the variability as variable consideration and applies the constraint.</w:t>
        <w:br/>
        <w:br/>
        <w:t>Conclusion (default): measure noncash consideration at $1,000 (redemption value) if this is the best estimate of fair value. Apply the variable-consideration framework if value is uncertain. Verify ASC 606-10-32-21 through 32-24 paragraph references against the licensed Codification.</w:t>
      </w:r>
    </w:p>
    <w:p>
      <w:pPr>
        <w:pStyle w:val="Heading3"/>
      </w:pPr>
      <w:r>
        <w:rPr>
          <w:color w:val="1F3864"/>
        </w:rPr>
        <w:t>M4-A-0003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consideration_payable, marketing_development_fund</w:t>
            </w:r>
          </w:p>
        </w:tc>
      </w:tr>
      <w:tr>
        <w:tc>
          <w:tcPr>
            <w:tcW w:type="dxa" w:w="4873"/>
          </w:tcPr>
          <w:p>
            <w:r/>
            <w:r>
              <w:rPr>
                <w:b/>
                <w:sz w:val="20"/>
              </w:rPr>
              <w:t>Required skills</w:t>
            </w:r>
          </w:p>
        </w:tc>
        <w:tc>
          <w:tcPr>
            <w:tcW w:type="dxa" w:w="4873"/>
          </w:tcPr>
          <w:p>
            <w:r/>
            <w:r>
              <w:rPr>
                <w:sz w:val="20"/>
              </w:rPr>
              <w:t>consideration_payable_analysis, fact_pattern_evaluation</w:t>
            </w:r>
          </w:p>
        </w:tc>
      </w:tr>
      <w:tr>
        <w:tc>
          <w:tcPr>
            <w:tcW w:type="dxa" w:w="4873"/>
          </w:tcPr>
          <w:p>
            <w:r/>
            <w:r>
              <w:rPr>
                <w:b/>
                <w:sz w:val="20"/>
              </w:rPr>
              <w:t>Authoritative refs</w:t>
            </w:r>
          </w:p>
        </w:tc>
        <w:tc>
          <w:tcPr>
            <w:tcW w:type="dxa" w:w="4873"/>
          </w:tcPr>
          <w:p>
            <w:r/>
            <w:r>
              <w:rPr>
                <w:sz w:val="20"/>
              </w:rPr>
              <w:t>ASC 606-10-32-25, ASC 606-10-32-27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manufacturer pays a retailer $50,000 as a 'marketing development fund' to incentivize the retailer to feature the manufacturer's products in promotional materials. Should this payment reduce the manufacturer's transaction price?</w:t>
      </w:r>
    </w:p>
    <w:p>
      <w:pPr>
        <w:pStyle w:val="Heading4"/>
      </w:pPr>
      <w:r>
        <w:rPr>
          <w:color w:val="1F3864"/>
        </w:rPr>
        <w:t>Assistant Answer (gold target)</w:t>
      </w:r>
    </w:p>
    <w:p>
      <w:pPr>
        <w:spacing w:line="312" w:lineRule="auto" w:after="120"/>
      </w:pPr>
      <w:r>
        <w:rPr>
          <w:rFonts w:ascii="Calibri" w:hAnsi="Calibri"/>
          <w:b w:val="0"/>
          <w:i w:val="0"/>
          <w:sz w:val="22"/>
        </w:rPr>
        <w:t>Analysis under ASC 606 (ASC 606-10-32-25 through 32-28, verify): consideration payable to a customer generally reduces the transaction price UNLESS it is in exchange for a distinct good or service that the customer transfers to the entity.</w:t>
        <w:br/>
        <w:br/>
        <w:t>Step 1 — Identify the consideration payable to the customer: $50,000 marketing development fund.</w:t>
        <w:br/>
        <w:br/>
        <w:t>Step 2 — Determine whether the retailer is providing a distinct good or service to the manufacturer:</w:t>
        <w:br/>
        <w:t xml:space="preserve">  - Co-op advertising services are commonly provided by retailers; the retailer can provide these services separately to other vendors (standalone benefit).</w:t>
        <w:br/>
        <w:t xml:space="preserve">  - The services are separately identifiable from the manufacturer's underlying product sales to the retailer (no significant integration).</w:t>
        <w:br/>
        <w:t xml:space="preserve">  - If the retailer's obligation to perform advertising is verifiable (specific deliverables, defined deliverables, audience measurement), the services are distinct.</w:t>
        <w:br/>
        <w:br/>
        <w:t>Step 3 — Conclusion depends on whether the consideration is for distinct goods/services:</w:t>
        <w:br/>
        <w:t xml:space="preserve">  - If YES (the retailer provides distinct advertising services with identifiable fair value, and the payment is commensurate with the fair value of those services), the payment is NOT a reduction of the transaction price. The manufacturer accounts for the payment as a purchase of advertising services (expense as advertising is consumed).</w:t>
        <w:br/>
        <w:t xml:space="preserve">  - If NO (the payment is not for distinct goods/services from the retailer, or the amount is not commensurate with fair value), the payment reduces the manufacturer's transaction price for product sales to the retailer.</w:t>
        <w:br/>
        <w:br/>
        <w:t>Step 4 — Allocation. If the payment reduces the transaction price, allocate it to the underlying performance obligations (the products sold to the retailer) on the same basis as the transaction price.</w:t>
        <w:br/>
        <w:br/>
        <w:t>Common pitfalls:</w:t>
        <w:br/>
        <w:t xml:space="preserve">  - Automatically treating all 'marketing development funds' as reductions of transaction price without evaluating whether distinct services are received.</w:t>
        <w:br/>
        <w:t xml:space="preserve">  - Treating slotting fees (payments for shelf space) as reductions of transaction price — slotting fees are commonly reductions of transaction price unless the retailer provides distinct promotional services.</w:t>
        <w:br/>
        <w:t xml:space="preserve">  - Paying above fair value for the distinct services to disguise a price reduction — ASC 606 requires the excess to reduce the transaction price.</w:t>
        <w:br/>
        <w:br/>
        <w:t>Verify ASC 606-10-32-25 through 32-28 against the licensed Codification.</w:t>
      </w:r>
    </w:p>
    <w:p>
      <w:pPr>
        <w:pStyle w:val="Heading3"/>
      </w:pPr>
      <w:r>
        <w:rPr>
          <w:color w:val="1F3864"/>
        </w:rPr>
        <w:t>M4-E-0001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M4</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license, royalty, exception, ip</w:t>
            </w:r>
          </w:p>
        </w:tc>
      </w:tr>
      <w:tr>
        <w:tc>
          <w:tcPr>
            <w:tcW w:type="dxa" w:w="4873"/>
          </w:tcPr>
          <w:p>
            <w:r/>
            <w:r>
              <w:rPr>
                <w:b/>
                <w:sz w:val="20"/>
              </w:rPr>
              <w:t>Required skills</w:t>
            </w:r>
          </w:p>
        </w:tc>
        <w:tc>
          <w:tcPr>
            <w:tcW w:type="dxa" w:w="4873"/>
          </w:tcPr>
          <w:p>
            <w:r/>
            <w:r>
              <w:rPr>
                <w:sz w:val="20"/>
              </w:rPr>
              <w:t>license_analysis, royalty_exception</w:t>
            </w:r>
          </w:p>
        </w:tc>
      </w:tr>
      <w:tr>
        <w:tc>
          <w:tcPr>
            <w:tcW w:type="dxa" w:w="4873"/>
          </w:tcPr>
          <w:p>
            <w:r/>
            <w:r>
              <w:rPr>
                <w:b/>
                <w:sz w:val="20"/>
              </w:rPr>
              <w:t>Authoritative refs</w:t>
            </w:r>
          </w:p>
        </w:tc>
        <w:tc>
          <w:tcPr>
            <w:tcW w:type="dxa" w:w="4873"/>
          </w:tcPr>
          <w:p>
            <w:r/>
            <w:r>
              <w:rPr>
                <w:sz w:val="20"/>
              </w:rPr>
              <w:t>ASC 606-10-55-65, ASC 606-10-55-65B</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Explain the sales- or usage-based royalty exception under ASC 606 for licenses of intellectual property. When does revenue get recognized, and what pitfalls should the entity watch for?</w:t>
      </w:r>
    </w:p>
    <w:p>
      <w:pPr>
        <w:pStyle w:val="Heading4"/>
      </w:pPr>
      <w:r>
        <w:rPr>
          <w:color w:val="1F3864"/>
        </w:rPr>
        <w:t>Assistant Answer (gold target)</w:t>
      </w:r>
    </w:p>
    <w:p>
      <w:pPr>
        <w:spacing w:line="312" w:lineRule="auto" w:after="120"/>
      </w:pPr>
      <w:r>
        <w:rPr>
          <w:rFonts w:ascii="Calibri" w:hAnsi="Calibri"/>
          <w:b w:val="0"/>
          <w:i w:val="0"/>
          <w:sz w:val="22"/>
        </w:rPr>
        <w:t>The sales- or usage-based royalty exception (ASC 606-10-55-65 through 55-65B, verify against the Codification) applies to licenses of intellectual property where the consideration is a sales-based or usage-based royalty. Under the exception, revenue is recognized:</w:t>
        <w:br/>
        <w:br/>
        <w:t xml:space="preserve">  (a) no earlier than the later of:</w:t>
        <w:br/>
        <w:t xml:space="preserve">    - When the subsequent sale or usage occurs; AND</w:t>
        <w:br/>
        <w:t xml:space="preserve">    - When the performance obligation to which some or all of the royalty is allocated is satisfied (in whole or in part).</w:t>
        <w:br/>
        <w:br/>
        <w:t xml:space="preserve">  (b) for licenses of symbolic IP (right-to-access licenses), the performance obligation is satisfied over time, so the royalty is recognized over the license period as the entity performs and the customer uses.</w:t>
        <w:br/>
        <w:br/>
        <w:t xml:space="preserve">  (c) for licenses of functional IP (right-to-use licenses), the performance obligation is satisfied at the point in time control transfers (typically license start), but the royalty is still constrained until the subsequent sales or usage occur.</w:t>
        <w:br/>
        <w:br/>
        <w:t>Key principles:</w:t>
        <w:br/>
        <w:br/>
        <w:t>1. **The exception applies only to royalties tied to subsequent sales or usage**. Fixed minimum royalties are NOT subject to the exception — they are recognized as revenue based on the underlying license's recognition pattern.</w:t>
        <w:br/>
        <w:t>2. **The exception does NOT apply to fixed amounts plus variable royalties**: split into two components — fixed (recognized normally) and variable (recognized under the exception).</w:t>
        <w:br/>
        <w:t>3. **Constraint overlap**: the variable-consideration constraint (ASC 606-10-32-11/12, verify) is generally not applied to royalties subject to the exception because the exception itself provides the timing control.</w:t>
        <w:br/>
        <w:t>4. **Reassessment**: the entity does not estimate future royalty amounts at inception; it waits for the subsequent sales/usage to occur.</w:t>
        <w:br/>
        <w:br/>
        <w:t>Pitfalls:</w:t>
        <w:br/>
        <w:t xml:space="preserve">  - Treating the exception as a constraint that allows recognition of an estimated amount upfront. It does NOT — the entity waits for sales/usage to occur.</w:t>
        <w:br/>
        <w:t xml:space="preserve">  - Applying the exception to non-royalty variable consideration (e.g., performance bonuses). The exception is specific to sales- or usage-based royalties on licenses.</w:t>
        <w:br/>
        <w:t xml:space="preserve">  - Misclassifying a license as functional IP when it is symbolic IP, or vice versa. The classification affects the underlying recognition pattern even though the royalty timing is the same under the exception.</w:t>
        <w:br/>
        <w:t xml:space="preserve">  - Mistakenly using the exception for non-IP arrangements. The exception is limited to licenses of intellectual property.</w:t>
        <w:br/>
        <w:t xml:space="preserve">  - Failing to disclose the policy election for the exception and the related royalty accounting policies.</w:t>
        <w:br/>
        <w:br/>
        <w:t>Verify all paragraph references against the licensed FASB Codification.</w:t>
      </w:r>
    </w:p>
    <w:p>
      <w:pPr>
        <w:pStyle w:val="Heading2"/>
      </w:pPr>
      <w:r>
        <w:rPr>
          <w:color w:val="1F3864"/>
        </w:rPr>
        <w:t>5.8 M5 — Allocation &amp; Standalone Selling Prices</w:t>
      </w:r>
    </w:p>
    <w:p>
      <w:pPr>
        <w:spacing w:line="312" w:lineRule="auto" w:after="120"/>
      </w:pPr>
      <w:r>
        <w:rPr>
          <w:rFonts w:ascii="Calibri" w:hAnsi="Calibri"/>
          <w:b w:val="0"/>
          <w:i w:val="0"/>
          <w:sz w:val="22"/>
        </w:rPr>
        <w:t>This module contains 7 curated training template(s) at the following difficulty levels: beginner, foundational, intermediate, advanced, expert.</w:t>
      </w:r>
    </w:p>
    <w:p>
      <w:pPr>
        <w:pStyle w:val="Heading3"/>
      </w:pPr>
      <w:r>
        <w:rPr>
          <w:color w:val="1F3864"/>
        </w:rPr>
        <w:t>M5-B-0001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M5</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allocation, rationale</w:t>
            </w:r>
          </w:p>
        </w:tc>
      </w:tr>
      <w:tr>
        <w:tc>
          <w:tcPr>
            <w:tcW w:type="dxa" w:w="4873"/>
          </w:tcPr>
          <w:p>
            <w:r/>
            <w:r>
              <w:rPr>
                <w:b/>
                <w:sz w:val="20"/>
              </w:rPr>
              <w:t>Required skills</w:t>
            </w:r>
          </w:p>
        </w:tc>
        <w:tc>
          <w:tcPr>
            <w:tcW w:type="dxa" w:w="4873"/>
          </w:tcPr>
          <w:p>
            <w:r/>
            <w:r>
              <w:rPr>
                <w:sz w:val="20"/>
              </w:rPr>
              <w:t>conceptual_understanding, allocation</w:t>
            </w:r>
          </w:p>
        </w:tc>
      </w:tr>
      <w:tr>
        <w:tc>
          <w:tcPr>
            <w:tcW w:type="dxa" w:w="4873"/>
          </w:tcPr>
          <w:p>
            <w:r/>
            <w:r>
              <w:rPr>
                <w:b/>
                <w:sz w:val="20"/>
              </w:rPr>
              <w:t>Authoritative refs</w:t>
            </w:r>
          </w:p>
        </w:tc>
        <w:tc>
          <w:tcPr>
            <w:tcW w:type="dxa" w:w="4873"/>
          </w:tcPr>
          <w:p>
            <w:r/>
            <w:r>
              <w:rPr>
                <w:sz w:val="20"/>
              </w:rPr>
              <w:t>ASC 606-10-32-28, ASC 606-10-50-5</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why ASC 606 requires allocation of the transaction price rather than recognizing all revenue at the contract level.</w:t>
      </w:r>
    </w:p>
    <w:p>
      <w:pPr>
        <w:pStyle w:val="Heading4"/>
      </w:pPr>
      <w:r>
        <w:rPr>
          <w:color w:val="1F3864"/>
        </w:rPr>
        <w:t>Assistant Answer (gold target)</w:t>
      </w:r>
    </w:p>
    <w:p>
      <w:pPr>
        <w:spacing w:line="312" w:lineRule="auto" w:after="120"/>
      </w:pPr>
      <w:r>
        <w:rPr>
          <w:rFonts w:ascii="Calibri" w:hAnsi="Calibri"/>
          <w:b w:val="0"/>
          <w:i w:val="0"/>
          <w:sz w:val="22"/>
        </w:rPr>
        <w:t>ASC 606 requires the transaction price to be allocated to each identified performance obligation (ASC 606-10-32-28, verify) for several reasons:</w:t>
        <w:br/>
        <w:br/>
        <w:t>1. **Different recognition timing**. Performance obligations in a single contract are often satisfied at different times. Hardware is delivered today; a 3-year warranty service is satisfied over 3 years. If revenue were recognized only at the contract level, the entity would have to pick a single recognition pattern that would either understate early performance or overstate it.</w:t>
        <w:br/>
        <w:br/>
        <w:t>2. **Different recognition patterns**. Some POs are satisfied at a point in time (delivery); others over time (services). Different recognition patterns require different revenue timing.</w:t>
        <w:br/>
        <w:br/>
        <w:t>3. **Different measures of progress**. Two over-time POs may use different measures (input method for installation, time-based for SaaS access). Allocation at the contract level would force a single measure of progress that would not faithfully depict either PO.</w:t>
        <w:br/>
        <w:br/>
        <w:t>4. **Disclosure requirements**. ASC 606 requires disaggregation of revenue (ASC 606-10-50-5, verify). Disaggregation at the PO level provides investors with useful information about the entity's revenue streams.</w:t>
        <w:br/>
        <w:br/>
        <w:t>5. **Identification of contract balances**. Contract assets and liabilities arise at the PO level. Treating the contract as a single unit would obscure the timing of contract asset/liability changes.</w:t>
        <w:br/>
        <w:br/>
        <w:t>6. **Economic substance**. The amount the customer is willing to pay for each component of a bundle reflects the value of that component to the customer. Allocation approximates the standalone economics of each component.</w:t>
        <w:br/>
        <w:br/>
        <w:t>Allocation is not optional or merely an administrative exercise; it is fundamental to faithful revenue recognition under ASC 606. The relative SSP method is the default; alternative methods apply when specific facts support them (e.g., a discount that relates only to specific POs).</w:t>
      </w:r>
    </w:p>
    <w:p>
      <w:pPr>
        <w:pStyle w:val="Heading3"/>
      </w:pPr>
      <w:r>
        <w:rPr>
          <w:color w:val="1F3864"/>
        </w:rPr>
        <w:t>M5-F-0001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M5</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standalone_selling_price, estimation_methods</w:t>
            </w:r>
          </w:p>
        </w:tc>
      </w:tr>
      <w:tr>
        <w:tc>
          <w:tcPr>
            <w:tcW w:type="dxa" w:w="4873"/>
          </w:tcPr>
          <w:p>
            <w:r/>
            <w:r>
              <w:rPr>
                <w:b/>
                <w:sz w:val="20"/>
              </w:rPr>
              <w:t>Required skills</w:t>
            </w:r>
          </w:p>
        </w:tc>
        <w:tc>
          <w:tcPr>
            <w:tcW w:type="dxa" w:w="4873"/>
          </w:tcPr>
          <w:p>
            <w:r/>
            <w:r>
              <w:rPr>
                <w:sz w:val="20"/>
              </w:rPr>
              <w:t>ssp_estimation, method_selection</w:t>
            </w:r>
          </w:p>
        </w:tc>
      </w:tr>
      <w:tr>
        <w:tc>
          <w:tcPr>
            <w:tcW w:type="dxa" w:w="4873"/>
          </w:tcPr>
          <w:p>
            <w:r/>
            <w:r>
              <w:rPr>
                <w:b/>
                <w:sz w:val="20"/>
              </w:rPr>
              <w:t>Authoritative refs</w:t>
            </w:r>
          </w:p>
        </w:tc>
        <w:tc>
          <w:tcPr>
            <w:tcW w:type="dxa" w:w="4873"/>
          </w:tcPr>
          <w:p>
            <w:r/>
            <w:r>
              <w:rPr>
                <w:sz w:val="20"/>
              </w:rPr>
              <w:t>ASC 606-10-32-32, ASC 606-10-32-33, ASC 606-10-32-34</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List the methods ASC 606 allows for estimating the standalone selling price (SSP) when it is not directly observable. Explain when each is appropriate.</w:t>
      </w:r>
    </w:p>
    <w:p>
      <w:pPr>
        <w:pStyle w:val="Heading4"/>
      </w:pPr>
      <w:r>
        <w:rPr>
          <w:color w:val="1F3864"/>
        </w:rPr>
        <w:t>Assistant Answer (gold target)</w:t>
      </w:r>
    </w:p>
    <w:p>
      <w:pPr>
        <w:spacing w:line="312" w:lineRule="auto" w:after="120"/>
      </w:pPr>
      <w:r>
        <w:rPr>
          <w:rFonts w:ascii="Calibri" w:hAnsi="Calibri"/>
          <w:b w:val="0"/>
          <w:i w:val="0"/>
          <w:sz w:val="22"/>
        </w:rPr>
        <w:t>When SSP is not directly observable, ASC 606 (ASC 606-10-32-32 through 32-34, verify) allows the entity to estimate SSP using one or more of the following methods:</w:t>
        <w:br/>
        <w:br/>
        <w:t>1. **Adjusted market assessment approach**: estimate the price that the entity believes market participants would be willing to pay for the good or service. Use external market data (competitor pricing, market surveys, industry benchmarks) adjusted for the entity's specific facts (brand, quality, channel). Appropriate when external market data is available and reliable.</w:t>
        <w:br/>
        <w:br/>
        <w:t>2. **Expected-cost-plus-margin approach**: forecast the expected costs of providing the good or service and add an appropriate margin. Appropriate when costs are predictable and a market-consistent margin can be established. Useful for new products without market data.</w:t>
        <w:br/>
        <w:br/>
        <w:t>3. **Residual approach**: total transaction price less the sum of observable SSPs of other POs in the contract. Appropriate only when one or more of the following conditions exist (ASC 606-10-32-34, verify):</w:t>
        <w:br/>
        <w:t xml:space="preserve">  - The entity sells the same good or service to different customers at the same or similar prices.</w:t>
        <w:br/>
        <w:t xml:space="preserve">  - The entity sells the good or service separately on its own.</w:t>
        <w:br/>
        <w:t xml:space="preserve">  - The entity has observable SSPs for most of the POs in the contract; using the residual for the rest does not require significant estimation.</w:t>
        <w:br/>
        <w:t>The residual approach is restricted to prevent its use as a default that hides uncertainty.</w:t>
        <w:br/>
        <w:br/>
        <w:t>General principles:</w:t>
        <w:br/>
        <w:t>- Use the same estimation method consistently for similar POs.</w:t>
        <w:br/>
        <w:t>- Use a method that maximizes the use of observable inputs.</w:t>
        <w:br/>
        <w:t>- Update SSP estimates when material facts change.</w:t>
        <w:br/>
        <w:t>- Document the estimation method, inputs, and rationale.</w:t>
        <w:br/>
        <w:t>- Consider both quantitative evidence (transaction data) and qualitative factors (product positioning, customer concentration).</w:t>
        <w:br/>
        <w:br/>
        <w:t>Common pitfalls:</w:t>
        <w:br/>
        <w:t>- Using the residual approach as a default for any PO without observable SSP, ignoring the conditions in ASC 606-10-32-34.</w:t>
        <w:br/>
        <w:t>- Using SSP that includes the entity's incremental marketing costs (SSP should be the price the customer pays, not the cost).</w:t>
        <w:br/>
        <w:t>- Failing to update SSP for material changes in market conditions or product mix.</w:t>
      </w:r>
    </w:p>
    <w:p>
      <w:pPr>
        <w:pStyle w:val="Heading3"/>
      </w:pPr>
      <w:r>
        <w:rPr>
          <w:color w:val="1F3864"/>
        </w:rPr>
        <w:t>M5-I-0001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M5</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allocation, standalone_selling_price, reconciliation</w:t>
            </w:r>
          </w:p>
        </w:tc>
      </w:tr>
      <w:tr>
        <w:tc>
          <w:tcPr>
            <w:tcW w:type="dxa" w:w="4873"/>
          </w:tcPr>
          <w:p>
            <w:r/>
            <w:r>
              <w:rPr>
                <w:b/>
                <w:sz w:val="20"/>
              </w:rPr>
              <w:t>Required skills</w:t>
            </w:r>
          </w:p>
        </w:tc>
        <w:tc>
          <w:tcPr>
            <w:tcW w:type="dxa" w:w="4873"/>
          </w:tcPr>
          <w:p>
            <w:r/>
            <w:r>
              <w:rPr>
                <w:sz w:val="20"/>
              </w:rPr>
              <w:t>arithmetic_accuracy, formula_application, reconciliation</w:t>
            </w:r>
          </w:p>
        </w:tc>
      </w:tr>
      <w:tr>
        <w:tc>
          <w:tcPr>
            <w:tcW w:type="dxa" w:w="4873"/>
          </w:tcPr>
          <w:p>
            <w:r/>
            <w:r>
              <w:rPr>
                <w:b/>
                <w:sz w:val="20"/>
              </w:rPr>
              <w:t>Authoritative refs</w:t>
            </w:r>
          </w:p>
        </w:tc>
        <w:tc>
          <w:tcPr>
            <w:tcW w:type="dxa" w:w="4873"/>
          </w:tcPr>
          <w:p>
            <w:r/>
            <w:r>
              <w:rPr>
                <w:sz w:val="20"/>
              </w:rPr>
              <w:t>ASC 606-10-32-28, ASC 606-10-32-29</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Allocate $100,000 of transaction price across three distinct performance obligations using the relative standalone selling price method. Standalone prices: Equipment $80,000, Installation $20,000, Maintenance $50,000.</w:t>
      </w:r>
    </w:p>
    <w:p>
      <w:pPr>
        <w:pStyle w:val="Heading4"/>
      </w:pPr>
      <w:r>
        <w:rPr>
          <w:color w:val="1F3864"/>
        </w:rPr>
        <w:t>Assistant Answer (gold target)</w:t>
      </w:r>
    </w:p>
    <w:p>
      <w:pPr>
        <w:spacing w:line="312" w:lineRule="auto" w:after="120"/>
      </w:pPr>
      <w:r>
        <w:rPr>
          <w:rFonts w:ascii="Calibri" w:hAnsi="Calibri"/>
          <w:b w:val="0"/>
          <w:i w:val="0"/>
          <w:sz w:val="22"/>
        </w:rPr>
        <w:t>Step 1 — Total standalone selling price (TSSP):</w:t>
        <w:br/>
        <w:t xml:space="preserve">  $80,000 + $20,000 + $50,000 = $150,000</w:t>
        <w:br/>
        <w:br/>
        <w:t>Step 2 — Relative allocation percentages:</w:t>
        <w:br/>
        <w:t xml:space="preserve">  Equipment:    80,000 / 150,000 = 53.3333%</w:t>
        <w:br/>
        <w:t xml:space="preserve">  Installation: 20,000 / 150,000 = 13.3333%</w:t>
        <w:br/>
        <w:t xml:space="preserve">  Maintenance:  50,000 / 150,000 = 33.3333%</w:t>
        <w:br/>
        <w:br/>
        <w:t>Step 3 — Allocate the $100,000 transaction price:</w:t>
        <w:br/>
        <w:t xml:space="preserve">  Equipment:    100,000 × 53.3333% = $53,333.33</w:t>
        <w:br/>
        <w:t xml:space="preserve">  Installation: 100,000 × 13.3333% = $13,333.33</w:t>
        <w:br/>
        <w:t xml:space="preserve">  Maintenance:  100,000 × 33.3333% = $33,333.34 (rounding adjustment to make the column foot)</w:t>
        <w:br/>
        <w:br/>
        <w:t>Step 4 — Reconciliation:</w:t>
        <w:br/>
        <w:t xml:space="preserve">  $53,333.33 + $13,333.33 + $33,333.34 = $100,000.00 ✓</w:t>
        <w:br/>
        <w:br/>
        <w:t>General formula:</w:t>
        <w:br/>
        <w:t xml:space="preserve">  Allocated_Amount_i = Transaction_Price × (SSP_i / TSSP)</w:t>
        <w:br/>
        <w:br/>
        <w:t>Revenue recognition timing is determined separately for each obligation based on when or as each is satisfied:</w:t>
        <w:br/>
        <w:t xml:space="preserve">  — Equipment: typically point in time (control transfers on delivery/acceptance).</w:t>
        <w:br/>
        <w:t xml:space="preserve">  — Installation: typically over time as the work is performed, unless completed instantaneously.</w:t>
        <w:br/>
        <w:t xml:space="preserve">  — Maintenance: typically over time as the stand-ready obligation is satisfied ratably over the coverage period.</w:t>
        <w:br/>
        <w:br/>
        <w:t>Assumptions: (1) all three obligations are distinct; (2) no discount requires alternative allocation (e.g., allocation of a discount only to specific obligations); (3) no variable consideration is constrained differently across obligations. Verify the relevant allocation paragraphs (e.g., ASC 606-10-32-28 through 32-41) against the Codification before relying on this answer.</w:t>
      </w:r>
    </w:p>
    <w:p>
      <w:pPr>
        <w:pStyle w:val="Heading3"/>
      </w:pPr>
      <w:r>
        <w:rPr>
          <w:color w:val="1F3864"/>
        </w:rPr>
        <w:t>M5-I-0002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M5</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residual_approach, allocation</w:t>
            </w:r>
          </w:p>
        </w:tc>
      </w:tr>
      <w:tr>
        <w:tc>
          <w:tcPr>
            <w:tcW w:type="dxa" w:w="4873"/>
          </w:tcPr>
          <w:p>
            <w:r/>
            <w:r>
              <w:rPr>
                <w:b/>
                <w:sz w:val="20"/>
              </w:rPr>
              <w:t>Required skills</w:t>
            </w:r>
          </w:p>
        </w:tc>
        <w:tc>
          <w:tcPr>
            <w:tcW w:type="dxa" w:w="4873"/>
          </w:tcPr>
          <w:p>
            <w:r/>
            <w:r>
              <w:rPr>
                <w:sz w:val="20"/>
              </w:rPr>
              <w:t>allocation, residual_approach, arithmetic_accuracy</w:t>
            </w:r>
          </w:p>
        </w:tc>
      </w:tr>
      <w:tr>
        <w:tc>
          <w:tcPr>
            <w:tcW w:type="dxa" w:w="4873"/>
          </w:tcPr>
          <w:p>
            <w:r/>
            <w:r>
              <w:rPr>
                <w:b/>
                <w:sz w:val="20"/>
              </w:rPr>
              <w:t>Authoritative refs</w:t>
            </w:r>
          </w:p>
        </w:tc>
        <w:tc>
          <w:tcPr>
            <w:tcW w:type="dxa" w:w="4873"/>
          </w:tcPr>
          <w:p>
            <w:r/>
            <w:r>
              <w:rPr>
                <w:sz w:val="20"/>
              </w:rPr>
              <w:t>ASC 606-10-32-32, ASC 606-10-32-34</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An entity has a contract with three POs and a combined stated price of $200,000. Observable SSPs: PO-A $120,000, PO-B $80,000, PO-C $40,000 (sum = $240,000). Allocate the $200,000 transaction price using the adjusted market assessment for PO-A (SSP $120,000) and PO-B (SSP $80,000), and the residual approach for PO-C.</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PO-A observable SSP: $120,000</w:t>
        <w:br/>
        <w:t xml:space="preserve">  - PO-B observable SSP: $80,000</w:t>
        <w:br/>
        <w:t xml:space="preserve">  - PO-C SSP unobservable; using residual approach.</w:t>
        <w:br/>
        <w:t xml:space="preserve">  - Transaction price: $200,000</w:t>
        <w:br/>
        <w:br/>
        <w:t>Eligibility for residual (ASC 606-10-32-34, verify):</w:t>
        <w:br/>
        <w:t xml:space="preserve">  The residual approach is permitted if the entity has observable SSPs for most of the POs in the contract. Here, 2 of 3 POs have observable SSPs, satisfying the 'most of the POs' condition. (The other conditions in 32-34 also should be reviewed.)</w:t>
        <w:br/>
        <w:br/>
        <w:t>Step 1 — Allocate to PO-A and PO-B using their observable SSPs: $120,000 + $80,000 = $200,000.</w:t>
        <w:br/>
        <w:br/>
        <w:t>Step 2 — Residual for PO-C:</w:t>
        <w:br/>
        <w:t xml:space="preserve">  Residual = Transaction price − allocated to PO-A − allocated to PO-B</w:t>
        <w:br/>
        <w:t xml:space="preserve">           = $200,000 − $120,000 − $80,000</w:t>
        <w:br/>
        <w:t xml:space="preserve">           = $0</w:t>
        <w:br/>
        <w:br/>
        <w:t>Step 3 — Conclusion: PO-C is allocated $0. PO-A and PO-B are allocated their full SSPs ($120,000 and $80,000).</w:t>
        <w:br/>
        <w:br/>
        <w:t>Interpretation: the contract gives the customer PO-C (support, perhaps) 'for free' as part of the bundle. The support service is a real promise, but its allocation is $0 because the transaction price was fully allocated to the other POs by their observable SSPs.</w:t>
        <w:br/>
        <w:br/>
        <w:t>Step 4 — Reconciliation: $120,000 + $80,000 + $0 = $200,000 ✓</w:t>
        <w:br/>
        <w:br/>
        <w:t>Revenue recognition:</w:t>
        <w:br/>
        <w:t xml:space="preserve">  - PO-A: at delivery/acceptance (point in time).</w:t>
        <w:br/>
        <w:t xml:space="preserve">  - PO-B: over time or point in time, depending on the nature of the obligation.</w:t>
        <w:br/>
        <w:t xml:space="preserve">  - PO-C: over time as support is provided, but $0 revenue per period because $0 was allocated.</w:t>
        <w:br/>
        <w:br/>
        <w:t>If the residual approach is not eligible (e.g., SSPs are observable for only one PO), the entity must estimate PO-C's SSP using adjusted market assessment or expected-cost-plus-margin, then apply relative-SSP allocation to all three POs.</w:t>
        <w:br/>
        <w:br/>
        <w:t>Verify ASC 606-10-32-32 through 32-34 against the licensed Codification.</w:t>
      </w:r>
    </w:p>
    <w:p>
      <w:pPr>
        <w:pStyle w:val="Heading3"/>
      </w:pPr>
      <w:r>
        <w:rPr>
          <w:color w:val="1F3864"/>
        </w:rPr>
        <w:t>M5-A-0001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M5</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discount, allocation, specific_attribution</w:t>
            </w:r>
          </w:p>
        </w:tc>
      </w:tr>
      <w:tr>
        <w:tc>
          <w:tcPr>
            <w:tcW w:type="dxa" w:w="4873"/>
          </w:tcPr>
          <w:p>
            <w:r/>
            <w:r>
              <w:rPr>
                <w:b/>
                <w:sz w:val="20"/>
              </w:rPr>
              <w:t>Required skills</w:t>
            </w:r>
          </w:p>
        </w:tc>
        <w:tc>
          <w:tcPr>
            <w:tcW w:type="dxa" w:w="4873"/>
          </w:tcPr>
          <w:p>
            <w:r/>
            <w:r>
              <w:rPr>
                <w:sz w:val="20"/>
              </w:rPr>
              <w:t>discount_allocation, arithmetic_accuracy</w:t>
            </w:r>
          </w:p>
        </w:tc>
      </w:tr>
      <w:tr>
        <w:tc>
          <w:tcPr>
            <w:tcW w:type="dxa" w:w="4873"/>
          </w:tcPr>
          <w:p>
            <w:r/>
            <w:r>
              <w:rPr>
                <w:b/>
                <w:sz w:val="20"/>
              </w:rPr>
              <w:t>Authoritative refs</w:t>
            </w:r>
          </w:p>
        </w:tc>
        <w:tc>
          <w:tcPr>
            <w:tcW w:type="dxa" w:w="4873"/>
          </w:tcPr>
          <w:p>
            <w:r/>
            <w:r>
              <w:rPr>
                <w:sz w:val="20"/>
              </w:rPr>
              <w:t>ASC 606-10-32-36, ASC 606-10-32-37, ASC 606-10-32-38</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contract bundles Product X (SSP $100) and Product Y (SSP $50) for a combined price of $120 (a $30 discount from the sum of SSPs). The contract states the discount applies only to Product X. Allocate the $120 transaction price.</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SSP of Product X: $100</w:t>
        <w:br/>
        <w:t xml:space="preserve">  - SSP of Product Y: $50</w:t>
        <w:br/>
        <w:t xml:space="preserve">  - Total SSP: $150</w:t>
        <w:br/>
        <w:t xml:space="preserve">  - Transaction price: $120</w:t>
        <w:br/>
        <w:t xml:space="preserve">  - Discount: $30, attributable only to Product X per the contract.</w:t>
        <w:br/>
        <w:br/>
        <w:t>Step 1 — Discount allocation analysis (ASC 606-10-32-36 through 32-38, verify):</w:t>
        <w:br/>
        <w:t xml:space="preserve">  By default, discounts are allocated proportionally to all POs based on relative SSP. EXCEPTION: if a discount relates entirely to one or more (but not all) specific POs, allocate the discount to those POs only.</w:t>
        <w:br/>
        <w:br/>
        <w:t>Step 2 — Determine if the discount relates to specific POs:</w:t>
        <w:br/>
        <w:t xml:space="preserve">  The contract explicitly states the $30 discount applies only to Product X. This is direct evidence of specific attribution.</w:t>
        <w:br/>
        <w:t xml:space="preserve">  Allocate the $30 discount to Product X only.</w:t>
        <w:br/>
        <w:br/>
        <w:t>Step 3 — Allocation:</w:t>
        <w:br/>
        <w:t xml:space="preserve">  Product X: SSP $100 − discount $30 = $70.</w:t>
        <w:br/>
        <w:t xml:space="preserve">  Product Y: SSP $50 (no discount applied).</w:t>
        <w:br/>
        <w:t xml:space="preserve">  Total allocated: $70 + $50 = $120 ✓</w:t>
        <w:br/>
        <w:br/>
        <w:t>Alternative allocation if the discount were general (default treatment):</w:t>
        <w:br/>
        <w:t xml:space="preserve">  - Proportional discount: $30 × ($100/$150) = $20 to X; $30 × ($50/$150) = $10 to Y.</w:t>
        <w:br/>
        <w:t xml:space="preserve">  - Product X: $100 − $20 = $80.</w:t>
        <w:br/>
        <w:t xml:space="preserve">  - Product Y: $50 − $10 = $40.</w:t>
        <w:br/>
        <w:t xml:space="preserve">  - Total: $120 ✓</w:t>
        <w:br/>
        <w:br/>
        <w:t>Revenue recognition (subject to specific PO timing):</w:t>
        <w:br/>
        <w:t xml:space="preserve">  - Product X: $70 at delivery.</w:t>
        <w:br/>
        <w:t xml:space="preserve">  - Product Y: $50 at delivery.</w:t>
        <w:br/>
        <w:br/>
        <w:t>Documentation: maintain contract evidence that the discount is specific to Product X (the contract clause, negotiation notes, customer acknowledgment). Without such evidence, default proportional allocation applies.</w:t>
        <w:br/>
        <w:br/>
        <w:t>Verify ASC 606-10-32-36 through 32-38 against the licensed Codification.</w:t>
      </w:r>
    </w:p>
    <w:p>
      <w:pPr>
        <w:pStyle w:val="Heading3"/>
      </w:pPr>
      <w:r>
        <w:rPr>
          <w:color w:val="1F3864"/>
        </w:rPr>
        <w:t>M5-A-0002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M5</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variable_allocation, specific_attribution</w:t>
            </w:r>
          </w:p>
        </w:tc>
      </w:tr>
      <w:tr>
        <w:tc>
          <w:tcPr>
            <w:tcW w:type="dxa" w:w="4873"/>
          </w:tcPr>
          <w:p>
            <w:r/>
            <w:r>
              <w:rPr>
                <w:b/>
                <w:sz w:val="20"/>
              </w:rPr>
              <w:t>Required skills</w:t>
            </w:r>
          </w:p>
        </w:tc>
        <w:tc>
          <w:tcPr>
            <w:tcW w:type="dxa" w:w="4873"/>
          </w:tcPr>
          <w:p>
            <w:r/>
            <w:r>
              <w:rPr>
                <w:sz w:val="20"/>
              </w:rPr>
              <w:t>variable_allocation, arithmetic_accuracy</w:t>
            </w:r>
          </w:p>
        </w:tc>
      </w:tr>
      <w:tr>
        <w:tc>
          <w:tcPr>
            <w:tcW w:type="dxa" w:w="4873"/>
          </w:tcPr>
          <w:p>
            <w:r/>
            <w:r>
              <w:rPr>
                <w:b/>
                <w:sz w:val="20"/>
              </w:rPr>
              <w:t>Authoritative refs</w:t>
            </w:r>
          </w:p>
        </w:tc>
        <w:tc>
          <w:tcPr>
            <w:tcW w:type="dxa" w:w="4873"/>
          </w:tcPr>
          <w:p>
            <w:r/>
            <w:r>
              <w:rPr>
                <w:sz w:val="20"/>
              </w:rPr>
              <w:t>ASC 606-10-32-39, ASC 606-10-32-40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contract has two POs: Product X (SSP $100) and a performance bonus of $50 if X performs above a threshold. The bonus is highly probable (constraint satisfied). Allocate the transaction price assuming the bonus relates only to Product X.</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Fixed consideration: $100 (stated price for X).</w:t>
        <w:br/>
        <w:t xml:space="preserve">  - Variable consideration (performance bonus): $50, relates only to X.</w:t>
        <w:br/>
        <w:t xml:space="preserve">  - Constraint satisfied (highly probable).</w:t>
        <w:br/>
        <w:t xml:space="preserve">  - Total transaction price: $100 + $50 = $150.</w:t>
        <w:br/>
        <w:br/>
        <w:t>Step 1 — Allocate variable consideration (ASC 606-10-32-39 through 32-40, verify):</w:t>
        <w:br/>
        <w:t xml:space="preserve">  Default: variable consideration is allocated using the relative-SSP method (same as fixed).</w:t>
        <w:br/>
        <w:t xml:space="preserve">  EXCEPTION: if the variable consideration (and any discount) relates specifically to one or more (but not all) POs, allocate the variable consideration to those POs only.</w:t>
        <w:br/>
        <w:br/>
        <w:t>Step 2 — Apply specific attribution:</w:t>
        <w:br/>
        <w:t xml:space="preserve">  The $50 bonus relates only to Product X (per the facts). Allocate the entire $50 to Product X.</w:t>
        <w:br/>
        <w:t xml:space="preserve">  Fixed $100 is allocated to X (the only PO; if there were two POs, fixed would be allocated proportionally).</w:t>
        <w:br/>
        <w:t xml:space="preserve">  Here, since X is the only PO, all $150 goes to X.</w:t>
        <w:br/>
        <w:br/>
        <w:t>Step 3 — Alternative scenario: if there were two POs (X SSP $100 and Y SSP $50) and the bonus relates only to X:</w:t>
        <w:br/>
        <w:t xml:space="preserve">  - Allocate $100 fixed using relative SSP: $100 × ($100/$150) = $66.67 to X; $100 × ($50/$150) = $33.33 to Y.</w:t>
        <w:br/>
        <w:t xml:space="preserve">  - Allocate $50 bonus only to X.</w:t>
        <w:br/>
        <w:t xml:space="preserve">  - Total to X: $66.67 + $50 = $116.67.</w:t>
        <w:br/>
        <w:t xml:space="preserve">  - Total to Y: $33.33.</w:t>
        <w:br/>
        <w:t xml:space="preserve">  - Total: $150 ✓</w:t>
        <w:br/>
        <w:br/>
        <w:t>Step 4 — Reconciliation: $116.67 + $33.33 = $150 ✓</w:t>
        <w:br/>
        <w:br/>
        <w:t>Key principles:</w:t>
        <w:br/>
        <w:t xml:space="preserve">  - The specific-attribution exception for variable consideration requires evidence that the variable amount is tied to specific POs (contract language, pricing structure, negotiation context).</w:t>
        <w:br/>
        <w:t xml:space="preserve">  - Without such evidence, allocate proportionally.</w:t>
        <w:br/>
        <w:t xml:space="preserve">  - If the constraint is NOT satisfied, exclude the variable amount from the transaction price entirely and reassess each period.</w:t>
        <w:br/>
        <w:br/>
        <w:t>Verify ASC 606-10-32-39 and ASC 606-10-32-40 against the licensed Codification.</w:t>
      </w:r>
    </w:p>
    <w:p>
      <w:pPr>
        <w:pStyle w:val="Heading3"/>
      </w:pPr>
      <w:r>
        <w:rPr>
          <w:color w:val="1F3864"/>
        </w:rPr>
        <w:t>M5-E-0001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M5</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memo</w:t>
            </w:r>
          </w:p>
        </w:tc>
      </w:tr>
      <w:tr>
        <w:tc>
          <w:tcPr>
            <w:tcW w:type="dxa" w:w="4873"/>
          </w:tcPr>
          <w:p>
            <w:r/>
            <w:r>
              <w:rPr>
                <w:b/>
                <w:sz w:val="20"/>
              </w:rPr>
              <w:t>Topic tags</w:t>
            </w:r>
          </w:p>
        </w:tc>
        <w:tc>
          <w:tcPr>
            <w:tcW w:type="dxa" w:w="4873"/>
          </w:tcPr>
          <w:p>
            <w:r/>
            <w:r>
              <w:rPr>
                <w:sz w:val="20"/>
              </w:rPr>
              <w:t>ssp_estimation, memo, saas</w:t>
            </w:r>
          </w:p>
        </w:tc>
      </w:tr>
      <w:tr>
        <w:tc>
          <w:tcPr>
            <w:tcW w:type="dxa" w:w="4873"/>
          </w:tcPr>
          <w:p>
            <w:r/>
            <w:r>
              <w:rPr>
                <w:b/>
                <w:sz w:val="20"/>
              </w:rPr>
              <w:t>Required skills</w:t>
            </w:r>
          </w:p>
        </w:tc>
        <w:tc>
          <w:tcPr>
            <w:tcW w:type="dxa" w:w="4873"/>
          </w:tcPr>
          <w:p>
            <w:r/>
            <w:r>
              <w:rPr>
                <w:sz w:val="20"/>
              </w:rPr>
              <w:t>memo_writing, ssp_estimation, judgment</w:t>
            </w:r>
          </w:p>
        </w:tc>
      </w:tr>
      <w:tr>
        <w:tc>
          <w:tcPr>
            <w:tcW w:type="dxa" w:w="4873"/>
          </w:tcPr>
          <w:p>
            <w:r/>
            <w:r>
              <w:rPr>
                <w:b/>
                <w:sz w:val="20"/>
              </w:rPr>
              <w:t>Authoritative refs</w:t>
            </w:r>
          </w:p>
        </w:tc>
        <w:tc>
          <w:tcPr>
            <w:tcW w:type="dxa" w:w="4873"/>
          </w:tcPr>
          <w:p>
            <w:r/>
            <w:r>
              <w:rPr>
                <w:sz w:val="20"/>
              </w:rPr>
              <w:t>ASC 606-10-32-28, ASC 606-10-32-32, ASC 606-10-32-34, 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Draft a memo on the entity's SSP estimation policy for a new SaaS product with no observable standalone transactions. The product is bundled with implementation services.</w:t>
      </w:r>
    </w:p>
    <w:p>
      <w:pPr>
        <w:pStyle w:val="Heading4"/>
      </w:pPr>
      <w:r>
        <w:rPr>
          <w:color w:val="1F3864"/>
        </w:rPr>
        <w:t>Assistant Answer (gold target)</w:t>
      </w:r>
    </w:p>
    <w:p>
      <w:pPr>
        <w:spacing w:line="312" w:lineRule="auto" w:after="120"/>
      </w:pPr>
      <w:r>
        <w:rPr>
          <w:rFonts w:ascii="Calibri" w:hAnsi="Calibri"/>
          <w:b w:val="0"/>
          <w:i w:val="0"/>
          <w:sz w:val="22"/>
        </w:rPr>
        <w:t>MEMORANDUM — SSP Estimation Policy for New SaaS Product</w:t>
        <w:br/>
        <w:br/>
        <w:t>ISSUE: How should SSP be estimated for a new SaaS product with no observable standalone transactions, where the product is bundled with implementation services?</w:t>
        <w:br/>
        <w:br/>
        <w:t>AUTHORITATIVE GUIDANCE: ASC 606-10-32-32 through 32-34 (SSP estimation methods); ASC 606-10-32-28 through 32-30 (allocation); ASC 606-10-32-36 through 32-38 (discount allocation). Verify against the licensed Codification.</w:t>
        <w:br/>
        <w:br/>
        <w:t>FACTS:</w:t>
        <w:br/>
        <w:t xml:space="preserve">  - New SaaS product, no historical standalone sales.</w:t>
        <w:br/>
        <w:t xml:space="preserve">  - Bundled with implementation services (distinct PO).</w:t>
        <w:br/>
        <w:t xml:space="preserve">  - Observable SSP for implementation services: yes, sold separately.</w:t>
        <w:br/>
        <w:t xml:space="preserve">  - Observable SSP for SaaS: no.</w:t>
        <w:br/>
        <w:br/>
        <w:t>POLICY:</w:t>
        <w:br/>
        <w:br/>
        <w:t>1. SSP estimation method selection. Because the SaaS product has no observable standalone transactions, the entity must estimate the SSP using either:</w:t>
        <w:br/>
        <w:t xml:space="preserve">  (a) Adjusted market assessment — using competitor pricing, market research, and industry benchmarks, adjusted for the entity's brand, channel, and customer concentration.</w:t>
        <w:br/>
        <w:t xml:space="preserve">  (b) Expected-cost-plus-margin — using the forecast costs of providing the SaaS (cloud infrastructure, engineering, support) plus a market-consistent margin.</w:t>
        <w:br/>
        <w:t xml:space="preserve">  (c) Residual approach — only if the conditions in ASC 606-10-32-34 are met (entity has observable SSPs for MOST POs). With implementation services having observable SSP, the residual may be eligible IF the SaaS represents a small portion of the contract value.</w:t>
        <w:br/>
        <w:br/>
        <w:t>2. Selection criteria. Apply the following hierarchy:</w:t>
        <w:br/>
        <w:t xml:space="preserve">  - Use observable SSP if available (price the entity charges for the same product when sold separately).</w:t>
        <w:br/>
        <w:t xml:space="preserve">  - Use adjusted market assessment when external market data is reliable.</w:t>
        <w:br/>
        <w:t xml:space="preserve">  - Use expected-cost-plus-margin when market data is unavailable or unreliable.</w:t>
        <w:br/>
        <w:t xml:space="preserve">  - Use residual approach only when 32-34 conditions are met AND the residual is not materially uncertain.</w:t>
        <w:br/>
        <w:br/>
        <w:t>3. Implementation services SSP. Use observable transactions (standalone engagements) for implementation services. Adjust for scope differences.</w:t>
        <w:br/>
        <w:br/>
        <w:t>4. Allocation. Allocate the transaction price using relative SSPs unless a discount or variable consideration is specifically attributable to one or more POs.</w:t>
        <w:br/>
        <w:br/>
        <w:t>5. Reassessment. Reassess SSP each reporting period based on actual transaction data. Once the entity has sold the SaaS product separately, use the observable transaction price as SSP.</w:t>
        <w:br/>
        <w:br/>
        <w:t>6. Documentation. Maintain:</w:t>
        <w:br/>
        <w:t xml:space="preserve">  - Method selection rationale for each PO.</w:t>
        <w:br/>
        <w:t xml:space="preserve">  - Inputs to estimation (market data, cost forecasts, margin assumptions).</w:t>
        <w:br/>
        <w:t xml:space="preserve">  - Sensitivity analysis for material assumptions.</w:t>
        <w:br/>
        <w:t xml:space="preserve">  - Reviewer approval (technical accounting function).</w:t>
        <w:br/>
        <w:br/>
        <w:t>CONTROLS:</w:t>
        <w:br/>
        <w:t xml:space="preserve">  - SSP estimation prepared by revenue operations, reviewed by technical accounting.</w:t>
        <w:br/>
        <w:t xml:space="preserve">  - Quarterly reassessment when market data changes materially.</w:t>
        <w:br/>
        <w:t xml:space="preserve">  - Audit committee review of any policy changes.</w:t>
        <w:br/>
        <w:t xml:space="preserve">  - Annual external auditor review.</w:t>
        <w:br/>
        <w:br/>
        <w:t>DISCLOSURE IMPLICATIONS:</w:t>
        <w:br/>
        <w:t xml:space="preserve">  - Disclose the methods used to estimate SSP (ASC 606-10-50).</w:t>
        <w:br/>
        <w:t xml:space="preserve">  - Disclose significant judgments in SSP estimation.</w:t>
        <w:br/>
        <w:t xml:space="preserve">  - Disclose changes in estimation methods if material.</w:t>
      </w:r>
    </w:p>
    <w:p>
      <w:pPr>
        <w:pStyle w:val="Heading2"/>
      </w:pPr>
      <w:r>
        <w:rPr>
          <w:color w:val="1F3864"/>
        </w:rPr>
        <w:t>5.9 M6 — Recognition Timing &amp; Progress Measures</w:t>
      </w:r>
    </w:p>
    <w:p>
      <w:pPr>
        <w:spacing w:line="312" w:lineRule="auto" w:after="120"/>
      </w:pPr>
      <w:r>
        <w:rPr>
          <w:rFonts w:ascii="Calibri" w:hAnsi="Calibri"/>
          <w:b w:val="0"/>
          <w:i w:val="0"/>
          <w:sz w:val="22"/>
        </w:rPr>
        <w:t>This module contains 7 curated training template(s) at the following difficulty levels: beginner, foundational, intermediate, advanced.</w:t>
      </w:r>
    </w:p>
    <w:p>
      <w:pPr>
        <w:pStyle w:val="Heading3"/>
      </w:pPr>
      <w:r>
        <w:rPr>
          <w:color w:val="1F3864"/>
        </w:rPr>
        <w:t>M6-B-0001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M6</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point_in_time, control_indicators</w:t>
            </w:r>
          </w:p>
        </w:tc>
      </w:tr>
      <w:tr>
        <w:tc>
          <w:tcPr>
            <w:tcW w:type="dxa" w:w="4873"/>
          </w:tcPr>
          <w:p>
            <w:r/>
            <w:r>
              <w:rPr>
                <w:b/>
                <w:sz w:val="20"/>
              </w:rPr>
              <w:t>Required skills</w:t>
            </w:r>
          </w:p>
        </w:tc>
        <w:tc>
          <w:tcPr>
            <w:tcW w:type="dxa" w:w="4873"/>
          </w:tcPr>
          <w:p>
            <w:r/>
            <w:r>
              <w:rPr>
                <w:sz w:val="20"/>
              </w:rPr>
              <w:t>control_analysis, point_in_time_analysis</w:t>
            </w:r>
          </w:p>
        </w:tc>
      </w:tr>
      <w:tr>
        <w:tc>
          <w:tcPr>
            <w:tcW w:type="dxa" w:w="4873"/>
          </w:tcPr>
          <w:p>
            <w:r/>
            <w:r>
              <w:rPr>
                <w:b/>
                <w:sz w:val="20"/>
              </w:rPr>
              <w:t>Authoritative refs</w:t>
            </w:r>
          </w:p>
        </w:tc>
        <w:tc>
          <w:tcPr>
            <w:tcW w:type="dxa" w:w="4873"/>
          </w:tcPr>
          <w:p>
            <w:r/>
            <w:r>
              <w:rPr>
                <w:sz w:val="20"/>
              </w:rPr>
              <w:t>ASC 606-10-25-30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List the ASC 606 indicators that control of a good has transferred to the customer at a point in time. Explain why no single indicator is determinative.</w:t>
      </w:r>
    </w:p>
    <w:p>
      <w:pPr>
        <w:pStyle w:val="Heading4"/>
      </w:pPr>
      <w:r>
        <w:rPr>
          <w:color w:val="1F3864"/>
        </w:rPr>
        <w:t>Assistant Answer (gold target)</w:t>
      </w:r>
    </w:p>
    <w:p>
      <w:pPr>
        <w:spacing w:line="312" w:lineRule="auto" w:after="120"/>
      </w:pPr>
      <w:r>
        <w:rPr>
          <w:rFonts w:ascii="Calibri" w:hAnsi="Calibri"/>
          <w:b w:val="0"/>
          <w:i w:val="0"/>
          <w:sz w:val="22"/>
        </w:rPr>
        <w:t>ASC 606-10-25-30 (verify against the Codification) lists indicators that control has transferred at a point in time. The list is non-exhaustive:</w:t>
        <w:br/>
        <w:br/>
        <w:t>1. **The entity has a present right to payment for the asset** — the customer must pay on delivery or upon completion; the right arises from performance, not from passage of time.</w:t>
        <w:br/>
        <w:t>2. **The customer has legal title to the asset** — title has transferred under the contract or commercial practice.</w:t>
        <w:br/>
        <w:t>3. **The customer has physical possession of the asset** — the customer has received and holds the asset.</w:t>
        <w:br/>
        <w:t>4. **The customer has the significant risks and rewards of ownership** — the customer bears loss risk (theft, destruction, obsolescence) and enjoys rewards (price appreciation, residual value).</w:t>
        <w:br/>
        <w:t>5. **The customer has accepted the asset** — the customer has acknowledged that the asset conforms to contract specifications (substantive acceptance, not just a formality).</w:t>
        <w:br/>
        <w:br/>
        <w:t>Why no single indicator is determinative:</w:t>
        <w:br/>
        <w:br/>
        <w:t>1. **Indicators can conflict**. Title may pass at shipment (incoterm DDP) while physical possession is still with the entity (the goods are staged at the entity's dock waiting for the carrier). One indicator says control transferred; another says not.</w:t>
        <w:br/>
        <w:t>2. **Some indicators may not be relevant to a specific arrangement**. A service transfer has no 'title' to transfer; legal title is irrelevant.</w:t>
        <w:br/>
        <w:t>3. **Custom can override form**. Contract language may say title passes at shipment, but commercial substance may differ if the customer can return the goods or if the entity retains material risks.</w:t>
        <w:br/>
        <w:t>4. **The list is non-exhaustive**. Other indicators may be relevant — e.g., insurance coverage shift, tax responsibility, or the customer's right to direct use.</w:t>
        <w:br/>
        <w:br/>
        <w:t>Application: assess the indicators together with the specific facts, weigh them based on the arrangement's economic substance, and document the conclusion. ASC 606 requires judgment; the indicator list is a tool, not a checklist.</w:t>
      </w:r>
    </w:p>
    <w:p>
      <w:pPr>
        <w:pStyle w:val="Heading3"/>
      </w:pPr>
      <w:r>
        <w:rPr>
          <w:color w:val="1F3864"/>
        </w:rPr>
        <w:t>M6-F-0001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M6</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over_time, criterion_a, consumption</w:t>
            </w:r>
          </w:p>
        </w:tc>
      </w:tr>
      <w:tr>
        <w:tc>
          <w:tcPr>
            <w:tcW w:type="dxa" w:w="4873"/>
          </w:tcPr>
          <w:p>
            <w:r/>
            <w:r>
              <w:rPr>
                <w:b/>
                <w:sz w:val="20"/>
              </w:rPr>
              <w:t>Required skills</w:t>
            </w:r>
          </w:p>
        </w:tc>
        <w:tc>
          <w:tcPr>
            <w:tcW w:type="dxa" w:w="4873"/>
          </w:tcPr>
          <w:p>
            <w:r/>
            <w:r>
              <w:rPr>
                <w:sz w:val="20"/>
              </w:rPr>
              <w:t>over_time_analysis, criterion_application</w:t>
            </w:r>
          </w:p>
        </w:tc>
      </w:tr>
      <w:tr>
        <w:tc>
          <w:tcPr>
            <w:tcW w:type="dxa" w:w="4873"/>
          </w:tcPr>
          <w:p>
            <w:r/>
            <w:r>
              <w:rPr>
                <w:b/>
                <w:sz w:val="20"/>
              </w:rPr>
              <w:t>Authoritative refs</w:t>
            </w:r>
          </w:p>
        </w:tc>
        <w:tc>
          <w:tcPr>
            <w:tcW w:type="dxa" w:w="4873"/>
          </w:tcPr>
          <w:p>
            <w:r/>
            <w:r>
              <w:rPr>
                <w:sz w:val="20"/>
              </w:rPr>
              <w:t>ASC 606-10-25-27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first ASC 606-10-25-27 over-time recognition criterion: the customer simultaneously receives and consumes the benefits as the entity performs. Give an example.</w:t>
      </w:r>
    </w:p>
    <w:p>
      <w:pPr>
        <w:pStyle w:val="Heading4"/>
      </w:pPr>
      <w:r>
        <w:rPr>
          <w:color w:val="1F3864"/>
        </w:rPr>
        <w:t>Assistant Answer (gold target)</w:t>
      </w:r>
    </w:p>
    <w:p>
      <w:pPr>
        <w:spacing w:line="312" w:lineRule="auto" w:after="120"/>
      </w:pPr>
      <w:r>
        <w:rPr>
          <w:rFonts w:ascii="Calibri" w:hAnsi="Calibri"/>
          <w:b w:val="0"/>
          <w:i w:val="0"/>
          <w:sz w:val="22"/>
        </w:rPr>
        <w:t>ASC 606-10-25-27(a) (verify against the Codification) permits over-time recognition when **the customer simultaneously receives and consumes the benefits of the entity's performance as the entity performs**.</w:t>
        <w:br/>
        <w:br/>
        <w:t>Two-part test:</w:t>
        <w:br/>
        <w:t>1. **Simultaneously receives** — the customer obtains the benefit as each act of performance is completed (not after the entire performance is finished).</w:t>
        <w:br/>
        <w:t>2. **Consumes the benefits** — the customer uses up the benefit (the benefit does not accumulate as an asset for the customer's later use).</w:t>
        <w:br/>
        <w:br/>
        <w:t>Example — daily cleaning service:</w:t>
        <w:br/>
        <w:t xml:space="preserve">  - Each day's cleaning is performed and immediately consumed. The customer does not 'save up' cleanliness for later use; the benefit is received and consumed daily.</w:t>
        <w:br/>
        <w:t xml:space="preserve">  - Over-time recognition (ratably over the service period) is appropriate.</w:t>
        <w:br/>
        <w:br/>
        <w:t>Example — routine IT support:</w:t>
        <w:br/>
        <w:t xml:space="preserve">  - Each service ticket resolved is a benefit immediately consumed. Over-time recognition (over the support period) is appropriate if the support is a stand-ready obligation.</w:t>
        <w:br/>
        <w:br/>
        <w:t>Test for criterion (a) — would another entity need to essentially re-perform the work to take over the contract? If yes, the benefit is accumulating as an asset (not being consumed); criterion (a) is NOT met. If another entity could step in without re-performing prior work, the benefit has been consumed; criterion (a) IS met.</w:t>
        <w:br/>
        <w:br/>
        <w:t>Example where the criterion is NOT met — building a custom machine:</w:t>
        <w:br/>
        <w:t xml:space="preserve">  - The customer does not receive and consume benefits during manufacturing; the benefit is the completed machine. Criterion (a) is not met. The entity must evaluate criteria (b) and (c) for over-time recognition.</w:t>
        <w:br/>
        <w:br/>
        <w:t>Common pitfall: applying criterion (a) to all service arrangements without testing. Custom development does not satisfy (a); the 'another entity could take over' test fails because the new entity would have to re-perform the development.</w:t>
      </w:r>
    </w:p>
    <w:p>
      <w:pPr>
        <w:pStyle w:val="Heading3"/>
      </w:pPr>
      <w:r>
        <w:rPr>
          <w:color w:val="1F3864"/>
        </w:rPr>
        <w:t>M6-F-0002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M6</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over_time, criterion_b, asset_creation</w:t>
            </w:r>
          </w:p>
        </w:tc>
      </w:tr>
      <w:tr>
        <w:tc>
          <w:tcPr>
            <w:tcW w:type="dxa" w:w="4873"/>
          </w:tcPr>
          <w:p>
            <w:r/>
            <w:r>
              <w:rPr>
                <w:b/>
                <w:sz w:val="20"/>
              </w:rPr>
              <w:t>Required skills</w:t>
            </w:r>
          </w:p>
        </w:tc>
        <w:tc>
          <w:tcPr>
            <w:tcW w:type="dxa" w:w="4873"/>
          </w:tcPr>
          <w:p>
            <w:r/>
            <w:r>
              <w:rPr>
                <w:sz w:val="20"/>
              </w:rPr>
              <w:t>over_time_analysis, control_analysis</w:t>
            </w:r>
          </w:p>
        </w:tc>
      </w:tr>
      <w:tr>
        <w:tc>
          <w:tcPr>
            <w:tcW w:type="dxa" w:w="4873"/>
          </w:tcPr>
          <w:p>
            <w:r/>
            <w:r>
              <w:rPr>
                <w:b/>
                <w:sz w:val="20"/>
              </w:rPr>
              <w:t>Authoritative refs</w:t>
            </w:r>
          </w:p>
        </w:tc>
        <w:tc>
          <w:tcPr>
            <w:tcW w:type="dxa" w:w="4873"/>
          </w:tcPr>
          <w:p>
            <w:r/>
            <w:r>
              <w:rPr>
                <w:sz w:val="20"/>
              </w:rPr>
              <w:t>ASC 606-10-25-27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second ASC 606-10-25-27 over-time recognition criterion: the entity's performance creates or enhances an asset that the customer controls.</w:t>
      </w:r>
    </w:p>
    <w:p>
      <w:pPr>
        <w:pStyle w:val="Heading4"/>
      </w:pPr>
      <w:r>
        <w:rPr>
          <w:color w:val="1F3864"/>
        </w:rPr>
        <w:t>Assistant Answer (gold target)</w:t>
      </w:r>
    </w:p>
    <w:p>
      <w:pPr>
        <w:spacing w:line="312" w:lineRule="auto" w:after="120"/>
      </w:pPr>
      <w:r>
        <w:rPr>
          <w:rFonts w:ascii="Calibri" w:hAnsi="Calibri"/>
          <w:b w:val="0"/>
          <w:i w:val="0"/>
          <w:sz w:val="22"/>
        </w:rPr>
        <w:t>ASC 606-10-25-27(b) (verify against the Codification) permits over-time recognition when **the entity's performance creates or enhances an asset (an economic resource) that the customer controls as the asset is created or enhanced**.</w:t>
        <w:br/>
        <w:br/>
        <w:t>Two-part test:</w:t>
        <w:br/>
        <w:t>1. **Creates or enhances an asset** — the entity's work produces a distinct asset (real estate, infrastructure, custom software, in-process R&amp;D).</w:t>
        <w:br/>
        <w:t>2. **Customer controls the asset** — the customer has the ability to direct the use of, and obtain substantially all of the remaining benefits from, the asset during the creation/enhancement period.</w:t>
        <w:br/>
        <w:br/>
        <w:t>Evidence of customer control during creation:</w:t>
        <w:br/>
        <w:t xml:space="preserve">  - Customer has legal title to the work-in-process.</w:t>
        <w:br/>
        <w:t xml:space="preserve">  - Customer has physical possession (e.g., construction on the customer's land).</w:t>
        <w:br/>
        <w:t xml:space="preserve">  - Customer directs the design decisions and has discretion over the work.</w:t>
        <w:br/>
        <w:t xml:space="preserve">  - Customer has the risks and rewards of ownership during construction.</w:t>
        <w:br/>
        <w:t xml:space="preserve">  - Customer has a present right to payment for the asset as it is created.</w:t>
        <w:br/>
        <w:br/>
        <w:t>Examples:</w:t>
        <w:br/>
        <w:t xml:space="preserve">  - Construction of a building on the customer's land — criterion (b) typically met.</w:t>
        <w:br/>
        <w:t xml:space="preserve">  - Custom software development where the customer takes title to in-process code as it is written — criterion (b) met if the customer controls the in-process asset.</w:t>
        <w:br/>
        <w:br/>
        <w:t>Examples where criterion (b) is NOT met:</w:t>
        <w:br/>
        <w:t xml:space="preserve">  - Manufacturing a custom product on the entity's premises — the entity controls the work-in-process; customer does not.</w:t>
        <w:br/>
        <w:t xml:space="preserve">  - Custom R&amp;D performed by the entity under a service contract where the customer does not acquire in-process rights.</w:t>
        <w:br/>
        <w:br/>
        <w:t>The criterion (b) test focuses on the customer's control of the asset during the performance period, not at completion. If customer control is not present during creation, criterion (b) is not met; consider criterion (c).</w:t>
      </w:r>
    </w:p>
    <w:p>
      <w:pPr>
        <w:pStyle w:val="Heading3"/>
      </w:pPr>
      <w:r>
        <w:rPr>
          <w:color w:val="1F3864"/>
        </w:rPr>
        <w:t>M6-F-0003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M6</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over_time, criterion_c, alternative_use</w:t>
            </w:r>
          </w:p>
        </w:tc>
      </w:tr>
      <w:tr>
        <w:tc>
          <w:tcPr>
            <w:tcW w:type="dxa" w:w="4873"/>
          </w:tcPr>
          <w:p>
            <w:r/>
            <w:r>
              <w:rPr>
                <w:b/>
                <w:sz w:val="20"/>
              </w:rPr>
              <w:t>Required skills</w:t>
            </w:r>
          </w:p>
        </w:tc>
        <w:tc>
          <w:tcPr>
            <w:tcW w:type="dxa" w:w="4873"/>
          </w:tcPr>
          <w:p>
            <w:r/>
            <w:r>
              <w:rPr>
                <w:sz w:val="20"/>
              </w:rPr>
              <w:t>over_time_analysis, alternative_use_analysis</w:t>
            </w:r>
          </w:p>
        </w:tc>
      </w:tr>
      <w:tr>
        <w:tc>
          <w:tcPr>
            <w:tcW w:type="dxa" w:w="4873"/>
          </w:tcPr>
          <w:p>
            <w:r/>
            <w:r>
              <w:rPr>
                <w:b/>
                <w:sz w:val="20"/>
              </w:rPr>
              <w:t>Authoritative refs</w:t>
            </w:r>
          </w:p>
        </w:tc>
        <w:tc>
          <w:tcPr>
            <w:tcW w:type="dxa" w:w="4873"/>
          </w:tcPr>
          <w:p>
            <w:r/>
            <w:r>
              <w:rPr>
                <w:sz w:val="20"/>
              </w:rPr>
              <w:t>ASC 606-10-25-27, ASC 606-10-25-28</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third ASC 606-10-25-27 over-time recognition criterion: the entity has no alternative use for the resource AND an enforceable right to payment for performance completed to date.</w:t>
      </w:r>
    </w:p>
    <w:p>
      <w:pPr>
        <w:pStyle w:val="Heading4"/>
      </w:pPr>
      <w:r>
        <w:rPr>
          <w:color w:val="1F3864"/>
        </w:rPr>
        <w:t>Assistant Answer (gold target)</w:t>
      </w:r>
    </w:p>
    <w:p>
      <w:pPr>
        <w:spacing w:line="312" w:lineRule="auto" w:after="120"/>
      </w:pPr>
      <w:r>
        <w:rPr>
          <w:rFonts w:ascii="Calibri" w:hAnsi="Calibri"/>
          <w:b w:val="0"/>
          <w:i w:val="0"/>
          <w:sz w:val="22"/>
        </w:rPr>
        <w:t>ASC 606-10-25-27(c) (verify against the Codification) permits over-time recognition when BOTH of the following are met:</w:t>
        <w:br/>
        <w:br/>
        <w:t>1. **No alternative use** — the entity's performance to date creates an asset with no alternative use to the entity. The asset is so customized to the customer that the entity cannot redirect it to another customer without incurring significant losses or incurring significant additional costs.</w:t>
        <w:br/>
        <w:br/>
        <w:t>2. **Enforceable right to payment** — the entity has an enforceable right to payment for performance completed to date. The right must cover at least the entity's costs incurred plus a reasonable profit margin.</w:t>
        <w:br/>
        <w:br/>
        <w:t>Both conditions must be present. If either is missing, criterion (c) is not met; revenue is recognized at the point in time control transfers (typically completion).</w:t>
        <w:br/>
        <w:br/>
        <w:t>Test for 'no alternative use':</w:t>
        <w:br/>
        <w:t xml:space="preserve">  - Could the entity sell the in-process asset to another customer without significant rework?</w:t>
        <w:br/>
        <w:t xml:space="preserve">  - Is the asset physically tailored to the customer (custom specs, customer-specific design)?</w:t>
        <w:br/>
        <w:t xml:space="preserve">  - Does the contract prohibit the entity from redirecting the work to another customer?</w:t>
        <w:br/>
        <w:br/>
        <w:t>Test for 'enforceable right to payment':</w:t>
        <w:br/>
        <w:t xml:space="preserve">  - Does the contract entitle the entity to payment if the customer terminates for convenience?</w:t>
        <w:br/>
        <w:t xml:space="preserve">  - Does the right cover costs incurred plus a reasonable profit, or only costs (insufficient)?</w:t>
        <w:br/>
        <w:t xml:space="preserve">  - Is the right legally enforceable under applicable law?</w:t>
        <w:br/>
        <w:br/>
        <w:t>Example — custom manufacturing:</w:t>
        <w:br/>
        <w:t xml:space="preserve">  - Asset: a one-of-a-kind machine built to customer specs.</w:t>
        <w:br/>
        <w:t xml:space="preserve">  - Alternative use: no (asset cannot be redirected without major rework).</w:t>
        <w:br/>
        <w:t xml:space="preserve">  - Right to payment: contract provides for payment of costs plus 10% margin on termination.</w:t>
        <w:br/>
        <w:t xml:space="preserve">  - Criterion (c) met; over-time recognition.</w:t>
        <w:br/>
        <w:br/>
        <w:t>Example where criterion (c) fails:</w:t>
        <w:br/>
        <w:t xml:space="preserve">  - Asset: standard inventory item customized with the customer's logo at the end.</w:t>
        <w:br/>
        <w:t xml:space="preserve">  - Alternative use: yes (entity can sell to another customer).</w:t>
        <w:br/>
        <w:t xml:space="preserve">  - Criterion (c) fails; revenue at delivery.</w:t>
        <w:br/>
        <w:br/>
        <w:t>Critical observation: criteria (a), (b), and (c) are alternatives — meeting any one permits over-time recognition. If none is met, point-in-time recognition applies.</w:t>
      </w:r>
    </w:p>
    <w:p>
      <w:pPr>
        <w:pStyle w:val="Heading3"/>
      </w:pPr>
      <w:r>
        <w:rPr>
          <w:color w:val="1F3864"/>
        </w:rPr>
        <w:t>M6-I-0001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M6</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over_time, cost_to_cost, measure_of_progress</w:t>
            </w:r>
          </w:p>
        </w:tc>
      </w:tr>
      <w:tr>
        <w:tc>
          <w:tcPr>
            <w:tcW w:type="dxa" w:w="4873"/>
          </w:tcPr>
          <w:p>
            <w:r/>
            <w:r>
              <w:rPr>
                <w:b/>
                <w:sz w:val="20"/>
              </w:rPr>
              <w:t>Required skills</w:t>
            </w:r>
          </w:p>
        </w:tc>
        <w:tc>
          <w:tcPr>
            <w:tcW w:type="dxa" w:w="4873"/>
          </w:tcPr>
          <w:p>
            <w:r/>
            <w:r>
              <w:rPr>
                <w:sz w:val="20"/>
              </w:rPr>
              <w:t>arithmetic_accuracy, measure_of_progress, estimates</w:t>
            </w:r>
          </w:p>
        </w:tc>
      </w:tr>
      <w:tr>
        <w:tc>
          <w:tcPr>
            <w:tcW w:type="dxa" w:w="4873"/>
          </w:tcPr>
          <w:p>
            <w:r/>
            <w:r>
              <w:rPr>
                <w:b/>
                <w:sz w:val="20"/>
              </w:rPr>
              <w:t>Authoritative refs</w:t>
            </w:r>
          </w:p>
        </w:tc>
        <w:tc>
          <w:tcPr>
            <w:tcW w:type="dxa" w:w="4873"/>
          </w:tcPr>
          <w:p>
            <w:r/>
            <w:r>
              <w:rPr>
                <w:sz w:val="20"/>
              </w:rPr>
              <w:t>ASC 606-10-25-27, ASC 606-10-32-39</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An entity has a $2,000,000 construction contract. Eligible costs incurred to date: $600,000. Total expected eligible costs: $1,500,000. One of the over-time recognition criteria is satisfied. Compute the cost-to-cost measure of progress, cumulative revenue, and the implied gross profit.</w:t>
      </w:r>
    </w:p>
    <w:p>
      <w:pPr>
        <w:pStyle w:val="Heading4"/>
      </w:pPr>
      <w:r>
        <w:rPr>
          <w:color w:val="1F3864"/>
        </w:rPr>
        <w:t>Assistant Answer (gold target)</w:t>
      </w:r>
    </w:p>
    <w:p>
      <w:pPr>
        <w:spacing w:line="312" w:lineRule="auto" w:after="120"/>
      </w:pPr>
      <w:r>
        <w:rPr>
          <w:rFonts w:ascii="Calibri" w:hAnsi="Calibri"/>
          <w:b w:val="0"/>
          <w:i w:val="0"/>
          <w:sz w:val="22"/>
        </w:rPr>
        <w:t>Assumption: the cost-to-cost (cost-to-total-cost) input method appropriately depicts the entity's performance, and the over-time criterion at ASC 606-10-25-27 (verify) has been met.</w:t>
        <w:br/>
        <w:br/>
        <w:t>Step 1 — Measure of progress (cost-to-cost):</w:t>
        <w:br/>
        <w:t xml:space="preserve">  % complete = Eligible costs incurred / Total expected eligible costs</w:t>
        <w:br/>
        <w:t xml:space="preserve">             = $600,000 / $1,500,000 = 40.0%</w:t>
        <w:br/>
        <w:br/>
        <w:t>Step 2 — Cumulative revenue:</w:t>
        <w:br/>
        <w:t xml:space="preserve">  Cumulative revenue = Total contract consideration × % complete</w:t>
        <w:br/>
        <w:t xml:space="preserve">                     = $2,000,000 × 40.0% = $800,000</w:t>
        <w:br/>
        <w:br/>
        <w:t>Step 3 — Cumulative cost recognized (under cost-to-cost matching):</w:t>
        <w:br/>
        <w:t xml:space="preserve">  Cumulative cost = Total expected eligible cost × % complete</w:t>
        <w:br/>
        <w:t xml:space="preserve">                 = $1,500,000 × 40.0% = $600,000 (= the eligible costs incurred to date, as expected)</w:t>
        <w:br/>
        <w:br/>
        <w:t>Step 4 — Implied cumulative gross profit:</w:t>
        <w:br/>
        <w:t xml:space="preserve">  $800,000 − $600,000 = $200,000</w:t>
        <w:br/>
        <w:br/>
        <w:t>Important caveats:</w:t>
        <w:br/>
        <w:t>1. The entity must assess whether costs incurred faithfully depict performance. Costs that do not relate to performance (e.g., uninstalled materials, wasted effort, costs incurred for future periods) must be excluded from the measure.</w:t>
        <w:br/>
        <w:t>2. Uninstalled materials in excess of cost-to-cost pattern can  distort progress; consider the 'input method adjustment' or an output method.</w:t>
        <w:br/>
        <w:t>3. Changes in estimates are accounted for prospectively (a cumulative catch-up adjustment) in the period of change — ASC 606-10-32-39 et seq. (verify).</w:t>
        <w:br/>
        <w:t>4. Satisfying an over-time criterion is independent of selecting a measure of progress; both must be assessed.</w:t>
        <w:br/>
        <w:t>5. Verify the relevant ASC 606-10-25-27 through 25-29 paragraphs and the cost-to-cost guidance in ASC 606-10-55.</w:t>
      </w:r>
    </w:p>
    <w:p>
      <w:pPr>
        <w:pStyle w:val="Heading3"/>
      </w:pPr>
      <w:r>
        <w:rPr>
          <w:color w:val="1F3864"/>
        </w:rPr>
        <w:t>M6-A-0001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M6</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measure_of_progress, input_method, output_method</w:t>
            </w:r>
          </w:p>
        </w:tc>
      </w:tr>
      <w:tr>
        <w:tc>
          <w:tcPr>
            <w:tcW w:type="dxa" w:w="4873"/>
          </w:tcPr>
          <w:p>
            <w:r/>
            <w:r>
              <w:rPr>
                <w:b/>
                <w:sz w:val="20"/>
              </w:rPr>
              <w:t>Required skills</w:t>
            </w:r>
          </w:p>
        </w:tc>
        <w:tc>
          <w:tcPr>
            <w:tcW w:type="dxa" w:w="4873"/>
          </w:tcPr>
          <w:p>
            <w:r/>
            <w:r>
              <w:rPr>
                <w:sz w:val="20"/>
              </w:rPr>
              <w:t>measure_of_progress, method_selection</w:t>
            </w:r>
          </w:p>
        </w:tc>
      </w:tr>
      <w:tr>
        <w:tc>
          <w:tcPr>
            <w:tcW w:type="dxa" w:w="4873"/>
          </w:tcPr>
          <w:p>
            <w:r/>
            <w:r>
              <w:rPr>
                <w:b/>
                <w:sz w:val="20"/>
              </w:rPr>
              <w:t>Authoritative refs</w:t>
            </w:r>
          </w:p>
        </w:tc>
        <w:tc>
          <w:tcPr>
            <w:tcW w:type="dxa" w:w="4873"/>
          </w:tcPr>
          <w:p>
            <w:r/>
            <w:r>
              <w:rPr>
                <w:sz w:val="20"/>
              </w:rPr>
              <w:t>ASC 606-10-55-16, ASC 606-10-55-17, ASC 606-10-55-18</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input method (cost-to-cost) and the output method (units delivered) for measuring progress. When is each appropriate?</w:t>
      </w:r>
    </w:p>
    <w:p>
      <w:pPr>
        <w:pStyle w:val="Heading4"/>
      </w:pPr>
      <w:r>
        <w:rPr>
          <w:color w:val="1F3864"/>
        </w:rPr>
        <w:t>Assistant Answer (gold target)</w:t>
      </w:r>
    </w:p>
    <w:p>
      <w:pPr>
        <w:spacing w:line="312" w:lineRule="auto" w:after="120"/>
      </w:pPr>
      <w:r>
        <w:rPr>
          <w:rFonts w:ascii="Calibri" w:hAnsi="Calibri"/>
          <w:b w:val="0"/>
          <w:i w:val="0"/>
          <w:sz w:val="22"/>
        </w:rPr>
        <w:t>ASC 606-10-55-16 through 55-19 (verify against the Codification) describe methods for measuring progress on over-time performance obligations:</w:t>
        <w:br/>
        <w:br/>
        <w:t>**Input methods** (ASC 606-10-55-17):</w:t>
        <w:br/>
        <w:t>Measure progress by reference to the entity's efforts or inputs (costs incurred, labor hours expended, machine hours used). The most common input method is cost-to-cost:</w:t>
        <w:br/>
        <w:t xml:space="preserve">  % complete = costs incurred / total expected costs.</w:t>
        <w:br/>
        <w:t>Appropriate when:</w:t>
        <w:br/>
        <w:t xml:space="preserve">  - The entity's effort is a faithful depiction of performance.</w:t>
        <w:br/>
        <w:t xml:space="preserve">  - Costs incurred correlate with progress.</w:t>
        <w:br/>
        <w:t xml:space="preserve">  - The contract has stable cost-to-progress relationship.</w:t>
        <w:br/>
        <w:br/>
        <w:t>Cautions for input methods:</w:t>
        <w:br/>
        <w:t xml:space="preserve">  - Costs that do NOT depict performance must be excluded: uninstalled materials, wasted effort, costs for future periods, significant inefficiencies.</w:t>
        <w:br/>
        <w:t xml:space="preserve">  - Early-stage contracts may have low costs but high progress; cost-to-cost understates progress.</w:t>
        <w:br/>
        <w:t xml:space="preserve">  - Late-stage contracts may have most costs incurred but remaining work substantial; cost-to-cost overstates progress.</w:t>
        <w:br/>
        <w:t xml:space="preserve">  - Cost overruns can distort the measure.</w:t>
        <w:br/>
        <w:br/>
        <w:t>**Output methods** (ASC 606-10-55-18):</w:t>
        <w:br/>
        <w:t>Measure progress by direct measurement of the value transferred to the customer (units delivered, milestones achieved, square feet completed, hours of service delivered). Appropriate when:</w:t>
        <w:br/>
        <w:t xml:space="preserve">  - Outputs are objectively measurable.</w:t>
        <w:br/>
        <w:t xml:space="preserve">  - Each output represents a faithful depiction of performance.</w:t>
        <w:br/>
        <w:t xml:space="preserve">  - The contract has clear milestones or units of delivery.</w:t>
        <w:br/>
        <w:br/>
        <w:t>Cautions for output methods:</w:t>
        <w:br/>
        <w:t xml:space="preserve">  - May understate progress if outputs are 'lumpy' (e.g., a single deliverable at contract end).</w:t>
        <w:br/>
        <w:t xml:space="preserve">  - May require subjective milestone evaluation.</w:t>
        <w:br/>
        <w:br/>
        <w:t>**Choosing the method**:</w:t>
        <w:br/>
        <w:t xml:space="preserve">  - The entity must apply a single method for each performance obligation, and apply it consistently across similar contracts.</w:t>
        <w:br/>
        <w:t xml:space="preserve">  - The chosen method must faithfully depict the entity's performance.</w:t>
        <w:br/>
        <w:t xml:space="preserve">  - When neither input nor output methods faithfully depict performance, the entity recognizes revenue at the only point in time that faithful depiction is possible (often completion).</w:t>
        <w:br/>
        <w:br/>
        <w:t>Example — long-term construction contract: cost-to-cost often appropriate if costs correlate with progress.</w:t>
        <w:br/>
        <w:t>Example — software subscription: time-based (a form of output) often appropriate because benefits transfer evenly over time.</w:t>
        <w:br/>
        <w:t>Example — service contract with discrete deliverables: milestone-based (output) often appropriate.</w:t>
      </w:r>
    </w:p>
    <w:p>
      <w:pPr>
        <w:pStyle w:val="Heading3"/>
      </w:pPr>
      <w:r>
        <w:rPr>
          <w:color w:val="1F3864"/>
        </w:rPr>
        <w:t>M6-A-0002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M6</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stand_ready, measure_of_progress, time_based</w:t>
            </w:r>
          </w:p>
        </w:tc>
      </w:tr>
      <w:tr>
        <w:tc>
          <w:tcPr>
            <w:tcW w:type="dxa" w:w="4873"/>
          </w:tcPr>
          <w:p>
            <w:r/>
            <w:r>
              <w:rPr>
                <w:b/>
                <w:sz w:val="20"/>
              </w:rPr>
              <w:t>Required skills</w:t>
            </w:r>
          </w:p>
        </w:tc>
        <w:tc>
          <w:tcPr>
            <w:tcW w:type="dxa" w:w="4873"/>
          </w:tcPr>
          <w:p>
            <w:r/>
            <w:r>
              <w:rPr>
                <w:sz w:val="20"/>
              </w:rPr>
              <w:t>measure_of_progress, arithmetic_accuracy</w:t>
            </w:r>
          </w:p>
        </w:tc>
      </w:tr>
      <w:tr>
        <w:tc>
          <w:tcPr>
            <w:tcW w:type="dxa" w:w="4873"/>
          </w:tcPr>
          <w:p>
            <w:r/>
            <w:r>
              <w:rPr>
                <w:b/>
                <w:sz w:val="20"/>
              </w:rPr>
              <w:t>Authoritative refs</w:t>
            </w:r>
          </w:p>
        </w:tc>
        <w:tc>
          <w:tcPr>
            <w:tcW w:type="dxa" w:w="4873"/>
          </w:tcPr>
          <w:p>
            <w:r/>
            <w:r>
              <w:rPr>
                <w:sz w:val="20"/>
              </w:rPr>
              <w:t>ASC 606-10-55-16, ASC 606-10-55-17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3-year service contract has a fixed fee of $360,000, billed equally at contract start. The entity delivers 12 milestones over 3 years. Compute revenue under (a) a time-based measure of progress, (b) an output milestone method (12 milestones equal weight), and (c) discuss which is appropriate if the service is stand-ready.</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Contract term: 3 years = 36 months.</w:t>
        <w:br/>
        <w:t xml:space="preserve">  - Fixed fee: $360,000.</w:t>
        <w:br/>
        <w:t xml:space="preserve">  - Billing: $360,000 at contract start (prepayment).</w:t>
        <w:br/>
        <w:t xml:space="preserve">  - Milestones: 12 equal milestones over 3 years.</w:t>
        <w:br/>
        <w:br/>
        <w:t>Option (a) — Time-based measure of progress:</w:t>
        <w:br/>
        <w:t xml:space="preserve">  Monthly revenue = $360,000 / 36 = $10,000 per month.</w:t>
        <w:br/>
        <w:t xml:space="preserve">  Year 1 revenue: $120,000.</w:t>
        <w:br/>
        <w:t xml:space="preserve">  Year 2 revenue: $120,000.</w:t>
        <w:br/>
        <w:t xml:space="preserve">  Year 3 revenue: $120,000.</w:t>
        <w:br/>
        <w:br/>
        <w:t>Option (b) — Output milestone method (12 milestones, equal weight):</w:t>
        <w:br/>
        <w:t xml:space="preserve">  Per-milestone revenue = $360,000 / 12 = $30,000.</w:t>
        <w:br/>
        <w:t xml:space="preserve">  Year 1 (assuming 4 milestones): $120,000.</w:t>
        <w:br/>
        <w:t xml:space="preserve">  Year 2 (assuming 4 milestones): $120,000.</w:t>
        <w:br/>
        <w:t xml:space="preserve">  Year 3 (assuming 4 milestones): $120,000.</w:t>
        <w:br/>
        <w:t xml:space="preserve">  If milestones are evenly distributed, results match time-based.</w:t>
        <w:br/>
        <w:t xml:space="preserve">  If milestones are concentrated at contract end (e.g., 2 in Year 1, 4 in Year 2, 6 in Year 3): revenue is $60K, $120K, $180K respectively.</w:t>
        <w:br/>
        <w:br/>
        <w:t>Option (c) — Which is appropriate if the service is stand-ready?</w:t>
        <w:br/>
        <w:t xml:space="preserve">  A stand-ready obligation is the entity's promise to make its services available to the customer on demand throughout the contract period, regardless of whether the customer actually uses them. The benefits transfer evenly over the stand-ready period.</w:t>
        <w:br/>
        <w:t xml:space="preserve">  - Time-based measure is generally appropriate for stand-ready obligations because the entity's performance (making the service available) occurs continuously over the contract period.</w:t>
        <w:br/>
        <w:t xml:space="preserve">  - Milestone method may understate or distort revenue if milestones do not faithfully depict the stand-ready performance.</w:t>
        <w:br/>
        <w:t xml:space="preserve">  - The 12 milestones may be administrative (e.g., quarterly status reports) rather than deliverables that faithfully depict performance.</w:t>
        <w:br/>
        <w:br/>
        <w:t>Journal entry (contract start, prepayment):</w:t>
        <w:br/>
        <w:t xml:space="preserve">  Dr Cash                   360,000</w:t>
        <w:br/>
        <w:t xml:space="preserve">  Cr Contract Liability         360,000</w:t>
        <w:br/>
        <w:br/>
        <w:t>Monthly entry (time-based):</w:t>
        <w:br/>
        <w:t xml:space="preserve">  Dr Contract Liability       10,000</w:t>
        <w:br/>
        <w:t xml:space="preserve">  Cr Revenue                     10,000</w:t>
        <w:br/>
        <w:br/>
        <w:t>Year-end: contract liability balance = $360,000 − $120,000 = $240,000. Verify ASC 606-10-55-16 through 55-18 against the licensed Codification.</w:t>
      </w:r>
    </w:p>
    <w:p>
      <w:pPr>
        <w:pStyle w:val="Heading2"/>
      </w:pPr>
      <w:r>
        <w:rPr>
          <w:color w:val="1F3864"/>
        </w:rPr>
        <w:t>5.10 M7 — Contract Modifications &amp; Complex Arrangements</w:t>
      </w:r>
    </w:p>
    <w:p>
      <w:pPr>
        <w:spacing w:line="312" w:lineRule="auto" w:after="120"/>
      </w:pPr>
      <w:r>
        <w:rPr>
          <w:rFonts w:ascii="Calibri" w:hAnsi="Calibri"/>
          <w:b w:val="0"/>
          <w:i w:val="0"/>
          <w:sz w:val="22"/>
        </w:rPr>
        <w:t>This module contains 6 curated training template(s) at the following difficulty levels: beginner, foundational, intermediate, advanced, expert.</w:t>
      </w:r>
    </w:p>
    <w:p>
      <w:pPr>
        <w:pStyle w:val="Heading3"/>
      </w:pPr>
      <w:r>
        <w:rPr>
          <w:color w:val="1F3864"/>
        </w:rPr>
        <w:t>M7-B-0001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M7</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modification, definition, treatments</w:t>
            </w:r>
          </w:p>
        </w:tc>
      </w:tr>
      <w:tr>
        <w:tc>
          <w:tcPr>
            <w:tcW w:type="dxa" w:w="4873"/>
          </w:tcPr>
          <w:p>
            <w:r/>
            <w:r>
              <w:rPr>
                <w:b/>
                <w:sz w:val="20"/>
              </w:rPr>
              <w:t>Required skills</w:t>
            </w:r>
          </w:p>
        </w:tc>
        <w:tc>
          <w:tcPr>
            <w:tcW w:type="dxa" w:w="4873"/>
          </w:tcPr>
          <w:p>
            <w:r/>
            <w:r>
              <w:rPr>
                <w:sz w:val="20"/>
              </w:rPr>
              <w:t>modification_analysis, definition</w:t>
            </w:r>
          </w:p>
        </w:tc>
      </w:tr>
      <w:tr>
        <w:tc>
          <w:tcPr>
            <w:tcW w:type="dxa" w:w="4873"/>
          </w:tcPr>
          <w:p>
            <w:r/>
            <w:r>
              <w:rPr>
                <w:b/>
                <w:sz w:val="20"/>
              </w:rPr>
              <w:t>Authoritative refs</w:t>
            </w:r>
          </w:p>
        </w:tc>
        <w:tc>
          <w:tcPr>
            <w:tcW w:type="dxa" w:w="4873"/>
          </w:tcPr>
          <w:p>
            <w:r/>
            <w:r>
              <w:rPr>
                <w:sz w:val="20"/>
              </w:rPr>
              <w:t>ASC 606-10-25-10, ASC 606-10-25-13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'contract modification' under ASC 606 and list the three possible accounting treatments.</w:t>
      </w:r>
    </w:p>
    <w:p>
      <w:pPr>
        <w:pStyle w:val="Heading4"/>
      </w:pPr>
      <w:r>
        <w:rPr>
          <w:color w:val="1F3864"/>
        </w:rPr>
        <w:t>Assistant Answer (gold target)</w:t>
      </w:r>
    </w:p>
    <w:p>
      <w:pPr>
        <w:spacing w:line="312" w:lineRule="auto" w:after="120"/>
      </w:pPr>
      <w:r>
        <w:rPr>
          <w:rFonts w:ascii="Calibri" w:hAnsi="Calibri"/>
          <w:b w:val="0"/>
          <w:i w:val="0"/>
          <w:sz w:val="22"/>
        </w:rPr>
        <w:t>A **contract modification** (ASC 606-10-25-10 through 25-13, verify) is a change in the scope or price of a contract that is **approved by the parties to the contract**. Approval may be in writing, by oral agreement, or by implied consent through customary business practice.</w:t>
        <w:br/>
        <w:br/>
        <w:t>Three possible accounting treatments:</w:t>
        <w:br/>
        <w:br/>
        <w:t>1. **Separate contract** (ASC 606-10-25-13(a), verify):</w:t>
        <w:br/>
        <w:t xml:space="preserve">  Conditions: (i) the additional goods/services are distinct, AND (ii) the price of the contract increases by an amount that reflects the entity's standalone selling prices of the additional goods/services.</w:t>
        <w:br/>
        <w:t xml:space="preserve">  Effect: treat the additional goods/services as a new contract; the original contract continues unchanged.</w:t>
        <w:br/>
        <w:br/>
        <w:t>2. **Prospective treatment** (ASC 606-10-13(c), verify):</w:t>
        <w:br/>
        <w:t xml:space="preserve">  Conditions: the remaining goods/services are distinct from the goods/services already transferred, BUT the modification does NOT qualify as a separate contract (e.g., price does not reflect SSP).</w:t>
        <w:br/>
        <w:t xml:space="preserve">  Effect: treat the modification as if it were a termination of the original contract and the creation of a new contract. The transaction price for the remaining performance obligations is the consideration not yet recognized plus any additional consideration from the modification. Revenue already recognized is not restated.</w:t>
        <w:br/>
        <w:br/>
        <w:t>3. **Cumulative catch-up treatment** (ASC 606-10-13(c), verify):</w:t>
        <w:br/>
        <w:t xml:space="preserve">  Conditions: the remaining goods/services are NOT distinct from those already transferred (the modification is part of a single, integrated performance obligation).</w:t>
        <w:br/>
        <w:t xml:space="preserve">  Effect: treat the modification as if it were part of the original contract at inception. Update the transaction price and measure of progress; recognize a cumulative catch-up adjustment in the period of modification.</w:t>
        <w:br/>
        <w:br/>
        <w:t>Choice of treatment:</w:t>
        <w:br/>
        <w:t xml:space="preserve">  - Determine whether the additional goods/services are distinct from those already transferred.</w:t>
        <w:br/>
        <w:t xml:space="preserve">  - If distinct: test for separate-contract criteria. If passes, separate-contract treatment; if fails, prospective.</w:t>
        <w:br/>
        <w:t xml:space="preserve">  - If not distinct: cumulative catch-up.</w:t>
        <w:br/>
        <w:t xml:space="preserve">  - A modification may have BOTH distinct and non-distinct elements; apply the appropriate treatment to each element.</w:t>
      </w:r>
    </w:p>
    <w:p>
      <w:pPr>
        <w:pStyle w:val="Heading3"/>
      </w:pPr>
      <w:r>
        <w:rPr>
          <w:color w:val="1F3864"/>
        </w:rPr>
        <w:t>M7-F-0001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M7</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modification, separate_contract</w:t>
            </w:r>
          </w:p>
        </w:tc>
      </w:tr>
      <w:tr>
        <w:tc>
          <w:tcPr>
            <w:tcW w:type="dxa" w:w="4873"/>
          </w:tcPr>
          <w:p>
            <w:r/>
            <w:r>
              <w:rPr>
                <w:b/>
                <w:sz w:val="20"/>
              </w:rPr>
              <w:t>Required skills</w:t>
            </w:r>
          </w:p>
        </w:tc>
        <w:tc>
          <w:tcPr>
            <w:tcW w:type="dxa" w:w="4873"/>
          </w:tcPr>
          <w:p>
            <w:r/>
            <w:r>
              <w:rPr>
                <w:sz w:val="20"/>
              </w:rPr>
              <w:t>modification_analysis, separate_contract_test</w:t>
            </w:r>
          </w:p>
        </w:tc>
      </w:tr>
      <w:tr>
        <w:tc>
          <w:tcPr>
            <w:tcW w:type="dxa" w:w="4873"/>
          </w:tcPr>
          <w:p>
            <w:r/>
            <w:r>
              <w:rPr>
                <w:b/>
                <w:sz w:val="20"/>
              </w:rPr>
              <w:t>Authoritative refs</w:t>
            </w:r>
          </w:p>
        </w:tc>
        <w:tc>
          <w:tcPr>
            <w:tcW w:type="dxa" w:w="4873"/>
          </w:tcPr>
          <w:p>
            <w:r/>
            <w:r>
              <w:rPr>
                <w:sz w:val="20"/>
              </w:rPr>
              <w:t>ASC 606-10-25-13, ASC 606-10-25-19</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Walk through the two-criterion test for treating a contract modification as a separate contract.</w:t>
      </w:r>
    </w:p>
    <w:p>
      <w:pPr>
        <w:pStyle w:val="Heading4"/>
      </w:pPr>
      <w:r>
        <w:rPr>
          <w:color w:val="1F3864"/>
        </w:rPr>
        <w:t>Assistant Answer (gold target)</w:t>
      </w:r>
    </w:p>
    <w:p>
      <w:pPr>
        <w:spacing w:line="312" w:lineRule="auto" w:after="120"/>
      </w:pPr>
      <w:r>
        <w:rPr>
          <w:rFonts w:ascii="Calibri" w:hAnsi="Calibri"/>
          <w:b w:val="0"/>
          <w:i w:val="0"/>
          <w:sz w:val="22"/>
        </w:rPr>
        <w:t>ASC 606-10-25-13(a) (verify against the Codification) requires BOTH criteria for separate-contract treatment:</w:t>
        <w:br/>
        <w:br/>
        <w:t>Criterion 1 — **The scope of the contract increases by additional goods or services that are distinct**:</w:t>
        <w:br/>
        <w:t xml:space="preserve">  Apply the distinctness test (ASC 606-10-25-19, verify) to the additional promised goods or services. Both:</w:t>
        <w:br/>
        <w:t xml:space="preserve">  (a) capable of being benefited from on a standalone basis; AND</w:t>
        <w:br/>
        <w:t xml:space="preserve">  (b) separately identifiable from other promises in the contract.</w:t>
        <w:br/>
        <w:br/>
        <w:t>Criterion 2 — **The price of the contract increases by an amount that reflects the entity's standalone selling prices of the additional goods or services**:</w:t>
        <w:br/>
        <w:t xml:space="preserve">  The additional consideration should be at (or approximately at) the entity's SSP for the additional items. If the price reflects a discount or premium relative to SSP, criterion 2 is not met.</w:t>
        <w:br/>
        <w:t xml:space="preserve">  'Approximately at' is not a defined threshold; entities apply judgment. A 10% discount may be material; a 1% discount may not.</w:t>
        <w:br/>
        <w:br/>
        <w:t>Analysis steps:</w:t>
        <w:br/>
        <w:t>1. Identify the additional promised goods or services.</w:t>
        <w:br/>
        <w:t>2. Apply distinctness test.</w:t>
        <w:br/>
        <w:t>3. Compare the additional consideration to SSP of the additional items.</w:t>
        <w:br/>
        <w:t>4. If both criteria are met, separate-contract treatment.</w:t>
        <w:br/>
        <w:t>5. If either fails, evaluate prospective vs. cumulative catch-up.</w:t>
        <w:br/>
        <w:br/>
        <w:t>Example where criteria pass:</w:t>
        <w:br/>
        <w:t xml:space="preserve">  Original: 100 units at $100 each ($10,000).</w:t>
        <w:br/>
        <w:t xml:space="preserve">  Modification: add 50 units at $95 each ($4,750).</w:t>
        <w:br/>
        <w:t xml:space="preserve">  SSP is $100 per unit. Additional consideration: 50 × $95 = $4,750. SSP of additional: 50 × $100 = $5,000.</w:t>
        <w:br/>
        <w:t xml:space="preserve">  Discount = $250 = 5% of SSP. May or may not be material; depends on entity's policy and judgment.</w:t>
        <w:br/>
        <w:br/>
        <w:t>Example where Criterion 2 fails (significant discount):</w:t>
        <w:br/>
        <w:t xml:space="preserve">  Additional 50 units at $50 each ($2,500) vs. SSP $5,000.</w:t>
        <w:br/>
        <w:t xml:space="preserve">  50% discount from SSP. Criterion 2 fails. Modification is NOT a separate contract.</w:t>
        <w:br/>
        <w:t xml:space="preserve">  Evaluate prospective vs. cumulative catch-up for the remaining units.</w:t>
        <w:br/>
        <w:br/>
        <w:t>Documentation: maintain analysis of additional goods/services, SSP comparison, and conclusion for each modification.</w:t>
      </w:r>
    </w:p>
    <w:p>
      <w:pPr>
        <w:pStyle w:val="Heading3"/>
      </w:pPr>
      <w:r>
        <w:rPr>
          <w:color w:val="1F3864"/>
        </w:rPr>
        <w:t>M7-I-0002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M7</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modification, prospective, blending</w:t>
            </w:r>
          </w:p>
        </w:tc>
      </w:tr>
      <w:tr>
        <w:tc>
          <w:tcPr>
            <w:tcW w:type="dxa" w:w="4873"/>
          </w:tcPr>
          <w:p>
            <w:r/>
            <w:r>
              <w:rPr>
                <w:b/>
                <w:sz w:val="20"/>
              </w:rPr>
              <w:t>Required skills</w:t>
            </w:r>
          </w:p>
        </w:tc>
        <w:tc>
          <w:tcPr>
            <w:tcW w:type="dxa" w:w="4873"/>
          </w:tcPr>
          <w:p>
            <w:r/>
            <w:r>
              <w:rPr>
                <w:sz w:val="20"/>
              </w:rPr>
              <w:t>modification_analysis, arithmetic_accuracy</w:t>
            </w:r>
          </w:p>
        </w:tc>
      </w:tr>
      <w:tr>
        <w:tc>
          <w:tcPr>
            <w:tcW w:type="dxa" w:w="4873"/>
          </w:tcPr>
          <w:p>
            <w:r/>
            <w:r>
              <w:rPr>
                <w:b/>
                <w:sz w:val="20"/>
              </w:rPr>
              <w:t>Authoritative refs</w:t>
            </w:r>
          </w:p>
        </w:tc>
        <w:tc>
          <w:tcPr>
            <w:tcW w:type="dxa" w:w="4873"/>
          </w:tcPr>
          <w:p>
            <w:r/>
            <w:r>
              <w:rPr>
                <w:sz w:val="20"/>
              </w:rPr>
              <w:t>ASC 606-10-25-13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Original: 100 units at $100 each. Modification adds 50 units at $50 each (significant discount from SSP $100). Apply prospective treatment to the remaining units.</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Original contract: 100 units at $100 = $10,000.</w:t>
        <w:br/>
        <w:t xml:space="preserve">  - Modification: 50 additional units at $50 = $2,500.</w:t>
        <w:br/>
        <w:t xml:space="preserve">  - SSP: $100 per unit.</w:t>
        <w:br/>
        <w:t xml:space="preserve">  - Significant discount from SSP → not a separate contract.</w:t>
        <w:br/>
        <w:t xml:space="preserve">  - Remaining units distinct from those already transferred → prospective treatment.</w:t>
        <w:br/>
        <w:br/>
        <w:t>Assumption: 0 units delivered before modification (clean calculation).</w:t>
        <w:br/>
        <w:br/>
        <w:t>Step 1 — Combine remaining units and additional units:</w:t>
        <w:br/>
        <w:t xml:space="preserve">  Remaining original: 100 × $100 = $10,000.</w:t>
        <w:br/>
        <w:t xml:space="preserve">  Additional: 50 × $50 = $2,500.</w:t>
        <w:br/>
        <w:t xml:space="preserve">  Total remaining consideration: $12,500.</w:t>
        <w:br/>
        <w:t xml:space="preserve">  Total remaining units: 100 + 50 = 150 units.</w:t>
        <w:br/>
        <w:t xml:space="preserve">  Blended price per unit: $12,500 / 150 = $83.33 per unit.</w:t>
        <w:br/>
        <w:br/>
        <w:t>Step 2 — Revenue recognition (prospective):</w:t>
        <w:br/>
        <w:t xml:space="preserve">  Each delivered unit recognized at $83.33.</w:t>
        <w:br/>
        <w:t xml:space="preserve">  No restatement of revenue already recognized (none in this case since 0 units delivered before modification).</w:t>
        <w:br/>
        <w:br/>
        <w:t>Step 3 — If some units were delivered before modification:</w:t>
        <w:br/>
        <w:t xml:space="preserve">  Suppose 60 units delivered before modification.</w:t>
        <w:br/>
        <w:t xml:space="preserve">  Revenue already recognized for 60 units = 60 × $100 = $6,000. NOT restated.</w:t>
        <w:br/>
        <w:t xml:space="preserve">  Remaining original units: 40 × $100 = $4,000.</w:t>
        <w:br/>
        <w:t xml:space="preserve">  Additional: 50 × $50 = $2,500.</w:t>
        <w:br/>
        <w:t xml:space="preserve">  Total remaining: $6,500 / 90 remaining units = $72.22 per unit.</w:t>
        <w:br/>
        <w:t xml:space="preserve">  Each subsequent delivery (original or additional) recognized at $72.22.</w:t>
        <w:br/>
        <w:br/>
        <w:t>Step 4 — Total revenue when 150 units are delivered:</w:t>
        <w:br/>
        <w:t xml:space="preserve">  Case A (0 delivered before mod): 150 × $83.33 = $12,500 (total contract).</w:t>
        <w:br/>
        <w:t xml:space="preserve">  Case B (60 delivered before mod): 60 × $100 + 90 × $72.22 = $6,000 + $6,500 = $12,500 (total contract).</w:t>
        <w:br/>
        <w:t xml:space="preserve">  Both reconcile ✓</w:t>
        <w:br/>
        <w:br/>
        <w:t>Note: prospective treatment blends the price for the remaining units. Some customers and auditors question whether blending overstates revenue on the original remaining units (40 × $100 SSP = $4,000 but blended value = 40 × $72.22 = $2,889). The blending reflects the discount given on additional units being spread across the remaining obligation, which is consistent with the standard's treatment.</w:t>
        <w:br/>
        <w:br/>
        <w:t>Verify ASC 606-10-25-13 paragraph references against the licensed Codification.</w:t>
      </w:r>
    </w:p>
    <w:p>
      <w:pPr>
        <w:pStyle w:val="Heading3"/>
      </w:pPr>
      <w:r>
        <w:rPr>
          <w:color w:val="1F3864"/>
        </w:rPr>
        <w:t>M7-A-0001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M7</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modification, separate_contract, prospective</w:t>
            </w:r>
          </w:p>
        </w:tc>
      </w:tr>
      <w:tr>
        <w:tc>
          <w:tcPr>
            <w:tcW w:type="dxa" w:w="4873"/>
          </w:tcPr>
          <w:p>
            <w:r/>
            <w:r>
              <w:rPr>
                <w:b/>
                <w:sz w:val="20"/>
              </w:rPr>
              <w:t>Required skills</w:t>
            </w:r>
          </w:p>
        </w:tc>
        <w:tc>
          <w:tcPr>
            <w:tcW w:type="dxa" w:w="4873"/>
          </w:tcPr>
          <w:p>
            <w:r/>
            <w:r>
              <w:rPr>
                <w:sz w:val="20"/>
              </w:rPr>
              <w:t>modification_analysis, arithmetic_accuracy</w:t>
            </w:r>
          </w:p>
        </w:tc>
      </w:tr>
      <w:tr>
        <w:tc>
          <w:tcPr>
            <w:tcW w:type="dxa" w:w="4873"/>
          </w:tcPr>
          <w:p>
            <w:r/>
            <w:r>
              <w:rPr>
                <w:b/>
                <w:sz w:val="20"/>
              </w:rPr>
              <w:t>Authoritative refs</w:t>
            </w:r>
          </w:p>
        </w:tc>
        <w:tc>
          <w:tcPr>
            <w:tcW w:type="dxa" w:w="4873"/>
          </w:tcPr>
          <w:p>
            <w:r/>
            <w:r>
              <w:rPr>
                <w:sz w:val="20"/>
              </w:rPr>
              <w:t>ASC 606-10-25-10, ASC 606-10-25-13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Original contract: 1,000 units at $100 per unit. After 600 units are delivered, the parties approve a modification adding 500 additional units at $85 per unit. Standalone selling price is $100 per unit. Treat the additional units as distinct. Apply ASC 606 modification accounting.</w:t>
      </w:r>
    </w:p>
    <w:p>
      <w:pPr>
        <w:pStyle w:val="Heading4"/>
      </w:pPr>
      <w:r>
        <w:rPr>
          <w:color w:val="1F3864"/>
        </w:rPr>
        <w:t>Assistant Answer (gold target)</w:t>
      </w:r>
    </w:p>
    <w:p>
      <w:pPr>
        <w:spacing w:line="312" w:lineRule="auto" w:after="120"/>
      </w:pPr>
      <w:r>
        <w:rPr>
          <w:rFonts w:ascii="Calibri" w:hAnsi="Calibri"/>
          <w:b w:val="0"/>
          <w:i w:val="0"/>
          <w:sz w:val="22"/>
        </w:rPr>
        <w:t>Step 1 — Does the modification qualify as a separate contract? (ASC 606-10-25-13, verify)</w:t>
        <w:br/>
        <w:t xml:space="preserve">  Two conditions must BOTH be met:</w:t>
        <w:br/>
        <w:t xml:space="preserve">  (a) The additional goods/services are distinct.</w:t>
        <w:br/>
        <w:t xml:space="preserve">  (b) The price of the contract increases by an amount that reflects the entity's standalone selling prices of the additional goods/services.</w:t>
        <w:br/>
        <w:t xml:space="preserve">  Here: 500 additional units × $100 SSP = $50,000 additional consideration at SSP. The actual increase is 500 × $85 = $42,500. The increase ($42,500) is LESS than the standalone selling price of the additional goods ($50,000). Therefore the modification is NOT a separate contract.</w:t>
        <w:br/>
        <w:br/>
        <w:t>Step 2 — Apply prospective vs. cumulative catch-up.</w:t>
        <w:br/>
        <w:t xml:space="preserve">  ASC 606-10-25-13(c): if the remaining goods/services are NOT distinct from those already transferred, use a cumulative catch-up adjustment. If the remaining goods/services ARE distinct from those already transferred, treat the modification as if the original contract were terminated and a new contract created for the remaining goods/services (prospective treatment), with consideration of the original contract's transaction price.</w:t>
        <w:br/>
        <w:t xml:space="preserve">  Here the additional units are stated to be 'distinct'. The remaining 400 units of the original contract are also distinct from the units already delivered. So prospective treatment applies.</w:t>
        <w:br/>
        <w:br/>
        <w:t>Step 3 — Compute prospective per-unit price for the remaining units.</w:t>
        <w:br/>
        <w:t xml:space="preserve">  Total remaining consideration = (400 remaining original units × $100) + (500 added units × $85) = $40,000 + $42,500 = $82,500.</w:t>
        <w:br/>
        <w:t xml:space="preserve">  Total remaining units = 400 + 500 = 900.</w:t>
        <w:br/>
        <w:t xml:space="preserve">  Prospective price per unit = $82,500 / 900 = $91.6667 per unit (≈ $91.67).</w:t>
        <w:br/>
        <w:br/>
        <w:t>Step 4 — Accounting for already-delivered units.</w:t>
        <w:br/>
        <w:t xml:space="preserve">  Revenue already recognized for the 600 delivered units = 600 × $100 = $60,000. That revenue is NOT restated (no cumulative catch-up under prospective treatment).</w:t>
        <w:br/>
        <w:br/>
        <w:t>Step 5 — Going forward.</w:t>
        <w:br/>
        <w:t xml:space="preserve">  Each remaining unit delivered (whether 'original' or 'additional') is recognized at $91.67. Total expected revenue for the contract = 600 × $100 + 900 × $91.67 = $60,000 + $82,500 = $142,500 (subject to rounding).</w:t>
        <w:br/>
        <w:br/>
        <w:t>Facts that would change the conclusion:</w:t>
        <w:br/>
        <w:t xml:space="preserve">  — If the additional 500 units were priced at $100 each, the modification WOULD be a separate contract, and the original 400 units would remain at $100 each.</w:t>
        <w:br/>
        <w:t xml:space="preserve">  — If the additional units were NOT distinct from those already delivered (e.g., they represent additional episodes of an integrated service), cumulative catch-up would apply.</w:t>
        <w:br/>
        <w:t xml:space="preserve">  — If a discount relates only to specific obligations, allocation rules may differ.</w:t>
        <w:br/>
        <w:br/>
        <w:t>Verify paragraph references against the licensed Codification.</w:t>
      </w:r>
    </w:p>
    <w:p>
      <w:pPr>
        <w:pStyle w:val="Heading3"/>
      </w:pPr>
      <w:r>
        <w:rPr>
          <w:color w:val="1F3864"/>
        </w:rPr>
        <w:t>M7-A-0002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M7</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modification, cumulative_catch_up, change_in_estimate</w:t>
            </w:r>
          </w:p>
        </w:tc>
      </w:tr>
      <w:tr>
        <w:tc>
          <w:tcPr>
            <w:tcW w:type="dxa" w:w="4873"/>
          </w:tcPr>
          <w:p>
            <w:r/>
            <w:r>
              <w:rPr>
                <w:b/>
                <w:sz w:val="20"/>
              </w:rPr>
              <w:t>Required skills</w:t>
            </w:r>
          </w:p>
        </w:tc>
        <w:tc>
          <w:tcPr>
            <w:tcW w:type="dxa" w:w="4873"/>
          </w:tcPr>
          <w:p>
            <w:r/>
            <w:r>
              <w:rPr>
                <w:sz w:val="20"/>
              </w:rPr>
              <w:t>modification_analysis, cumulative_catch_up, arithmetic_accuracy</w:t>
            </w:r>
          </w:p>
        </w:tc>
      </w:tr>
      <w:tr>
        <w:tc>
          <w:tcPr>
            <w:tcW w:type="dxa" w:w="4873"/>
          </w:tcPr>
          <w:p>
            <w:r/>
            <w:r>
              <w:rPr>
                <w:b/>
                <w:sz w:val="20"/>
              </w:rPr>
              <w:t>Authoritative refs</w:t>
            </w:r>
          </w:p>
        </w:tc>
        <w:tc>
          <w:tcPr>
            <w:tcW w:type="dxa" w:w="4873"/>
          </w:tcPr>
          <w:p>
            <w:r/>
            <w:r>
              <w:rPr>
                <w:sz w:val="20"/>
              </w:rPr>
              <w:t>ASC 606-10-25-13, ASC 606-10-32-39</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3-year service contract has $300,000 fixed fee. At end of Year 1, the parties modify to add $200,000 of additional Year 2-3 services that are NOT distinct from those already transferred. Apply cumulative catch-up treatment. Costs-to-cost at modification: 40% complete of original; total expected cost $200,000.</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Original contract: 3-year, $300,000 fixed fee.</w:t>
        <w:br/>
        <w:t xml:space="preserve">  - Year 1 modification: add $200,000 of services not distinct from those already transferred.</w:t>
        <w:br/>
        <w:t xml:space="preserve">  - Cumulative catch-up treatment applies.</w:t>
        <w:br/>
        <w:t xml:space="preserve">  - At modification: % complete (cost-to-cost) of original scope = 40%.</w:t>
        <w:br/>
        <w:t xml:space="preserve">  - Total expected cost (original scope): $200,000.</w:t>
        <w:br/>
        <w:br/>
        <w:t>Step 1 — Treat modification as if part of original contract at inception:</w:t>
        <w:br/>
        <w:t xml:space="preserve">  Revised total transaction price: $300,000 + $200,000 = $500,000.</w:t>
        <w:br/>
        <w:t xml:space="preserve">  Revised total expected cost: must be re-estimated at modification. Suppose total expected cost (revised) = $350,000 (assumption — the additional $200,000 of revenue carries additional expected cost of $150,000).</w:t>
        <w:br/>
        <w:br/>
        <w:t>Step 2 — Cumulative catch-up at modification date:</w:t>
        <w:br/>
        <w:t xml:space="preserve">  Costs incurred to date (original scope) = 40% × $200,000 = $80,000.</w:t>
        <w:br/>
        <w:t xml:space="preserve">  Revised % complete (cost-to-cost) = $80,000 / $350,000 = 22.86%.</w:t>
        <w:br/>
        <w:t xml:space="preserve">  Cumulative revenue to date = $500,000 × 22.86% = $114,286.</w:t>
        <w:br/>
        <w:br/>
        <w:t>Step 3 — Revenue already recognized before modification:</w:t>
        <w:br/>
        <w:t xml:space="preserve">  Using original cost-to-cost: 40% × $300,000 = $120,000.</w:t>
        <w:br/>
        <w:br/>
        <w:t>Step 4 — Catch-up adjustment at modification:</w:t>
        <w:br/>
        <w:t xml:space="preserve">  Cumulative revenue to date: $114,286.</w:t>
        <w:br/>
        <w:t xml:space="preserve">  Revenue already recognized: $120,000.</w:t>
        <w:br/>
        <w:t xml:space="preserve">  Catch-up adjustment: $114,286 − $120,000 = −$5,714 (reduce revenue in modification period).</w:t>
        <w:br/>
        <w:t xml:space="preserve">  Journal entry: Dr Revenue $5,714 / Cr Contract Liability/Asset $5,714 (depending on context).</w:t>
        <w:br/>
        <w:br/>
        <w:t>Step 5 — Revenue going forward (Years 2-3):</w:t>
        <w:br/>
        <w:t xml:space="preserve">  Subsequent revenue = (cumulative % complete × revised transaction price) − cumulative revenue recognized.</w:t>
        <w:br/>
        <w:t xml:space="preserve">  Each period, update % complete and total expected cost estimate; recognize cumulative catch-up in the period of change.</w:t>
        <w:br/>
        <w:br/>
        <w:t>Key principles:</w:t>
        <w:br/>
        <w:t xml:space="preserve">  - Cumulative catch-up restates the cumulative revenue as if the modification had been part of the original contract.</w:t>
        <w:br/>
        <w:t xml:space="preserve">  - The adjustment may be positive (revenue increase) or negative (revenue decrease).</w:t>
        <w:br/>
        <w:t xml:space="preserve">  - Subsequent changes in estimate are also cumulative catch-up adjustments.</w:t>
        <w:br/>
        <w:t xml:space="preserve">  - The total expected cost must be re-estimated at modification, considering both original scope and added scope.</w:t>
        <w:br/>
        <w:br/>
        <w:t>Verify ASC 606-10-25-13(c) and ASC 606-10-32-39 (changes in estimates) against the licensed Codification.</w:t>
      </w:r>
    </w:p>
    <w:p>
      <w:pPr>
        <w:pStyle w:val="Heading3"/>
      </w:pPr>
      <w:r>
        <w:rPr>
          <w:color w:val="1F3864"/>
        </w:rPr>
        <w:t>M7-E-0001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M7</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critique</w:t>
            </w:r>
          </w:p>
        </w:tc>
      </w:tr>
      <w:tr>
        <w:tc>
          <w:tcPr>
            <w:tcW w:type="dxa" w:w="4873"/>
          </w:tcPr>
          <w:p>
            <w:r/>
            <w:r>
              <w:rPr>
                <w:b/>
                <w:sz w:val="20"/>
              </w:rPr>
              <w:t>Topic tags</w:t>
            </w:r>
          </w:p>
        </w:tc>
        <w:tc>
          <w:tcPr>
            <w:tcW w:type="dxa" w:w="4873"/>
          </w:tcPr>
          <w:p>
            <w:r/>
            <w:r>
              <w:rPr>
                <w:sz w:val="20"/>
              </w:rPr>
              <w:t>modification, separate_contract, renegotiation</w:t>
            </w:r>
          </w:p>
        </w:tc>
      </w:tr>
      <w:tr>
        <w:tc>
          <w:tcPr>
            <w:tcW w:type="dxa" w:w="4873"/>
          </w:tcPr>
          <w:p>
            <w:r/>
            <w:r>
              <w:rPr>
                <w:b/>
                <w:sz w:val="20"/>
              </w:rPr>
              <w:t>Required skills</w:t>
            </w:r>
          </w:p>
        </w:tc>
        <w:tc>
          <w:tcPr>
            <w:tcW w:type="dxa" w:w="4873"/>
          </w:tcPr>
          <w:p>
            <w:r/>
            <w:r>
              <w:rPr>
                <w:sz w:val="20"/>
              </w:rPr>
              <w:t>modification_analysis, skepticism</w:t>
            </w:r>
          </w:p>
        </w:tc>
      </w:tr>
      <w:tr>
        <w:tc>
          <w:tcPr>
            <w:tcW w:type="dxa" w:w="4873"/>
          </w:tcPr>
          <w:p>
            <w:r/>
            <w:r>
              <w:rPr>
                <w:b/>
                <w:sz w:val="20"/>
              </w:rPr>
              <w:t>Authoritative refs</w:t>
            </w:r>
          </w:p>
        </w:tc>
        <w:tc>
          <w:tcPr>
            <w:tcW w:type="dxa" w:w="4873"/>
          </w:tcPr>
          <w:p>
            <w:r/>
            <w:r>
              <w:rPr>
                <w:sz w:val="20"/>
              </w:rPr>
              <w:t>ASC 606-10-25-13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 modification adds new services at SSP prices, but the parties also renegotiate the original contract's price downward by 10%. Management treats the new services as a separate contract and the price reduction as a separate modification. Critique.</w:t>
      </w:r>
    </w:p>
    <w:p>
      <w:pPr>
        <w:pStyle w:val="Heading4"/>
      </w:pPr>
      <w:r>
        <w:rPr>
          <w:color w:val="1F3864"/>
        </w:rPr>
        <w:t>Assistant Answer (gold target)</w:t>
      </w:r>
    </w:p>
    <w:p>
      <w:pPr>
        <w:spacing w:line="312" w:lineRule="auto" w:after="120"/>
      </w:pPr>
      <w:r>
        <w:rPr>
          <w:rFonts w:ascii="Calibri" w:hAnsi="Calibri"/>
          <w:b w:val="0"/>
          <w:i w:val="0"/>
          <w:sz w:val="22"/>
        </w:rPr>
        <w:t>The treatment is questionable. Two issues:</w:t>
        <w:br/>
        <w:br/>
        <w:t>Issue 1 — Bundled nature of the modification. ASC 606 evaluates a modification as a whole, not as separate components. The 'new services at SSP' and the 'price reduction on original' are part of a single negotiated modification; they must be evaluated together.</w:t>
        <w:br/>
        <w:br/>
        <w:t>Issue 2 — Separate-contract test (ASC 606-10-25-13(a), verify) requires the additional consideration to reflect SSP. Here, the gross addition (new services at SSP) is offset by a price reduction on the original. Net additional consideration = (SSP of new services) − (10% reduction on original). This net amount is LESS than the SSP of the new services, so Criterion 2 of separate-contract treatment is not met.</w:t>
        <w:br/>
        <w:br/>
        <w:t>Correct analysis:</w:t>
        <w:br/>
        <w:t xml:space="preserve">  Step 1 — Identify the modification as a whole.</w:t>
        <w:br/>
        <w:t xml:space="preserve">  Step 2 — Apply Criterion 1 (distinctness of additional services). If additional services are distinct, proceed.</w:t>
        <w:br/>
        <w:t xml:space="preserve">  Step 3 — Apply Criterion 2 (price increase reflects SSP of additional services). Compute the NET price increase: (additional consideration for new services) − (price reduction on original). Compare to SSP of additional services.</w:t>
        <w:br/>
        <w:t xml:space="preserve">  Step 4 — If net increase reflects SSP (i.e., price reduction on original does not eat into the additional consideration materially), separate-contract treatment.</w:t>
        <w:br/>
        <w:t xml:space="preserve">  Step 5 — Otherwise, prospective or cumulative catch-up.</w:t>
        <w:br/>
        <w:br/>
        <w:t>Example:</w:t>
        <w:br/>
        <w:t xml:space="preserve">  Additional services SSP: $50,000.</w:t>
        <w:br/>
        <w:t xml:space="preserve">  Original contract price: $300,000.</w:t>
        <w:br/>
        <w:t xml:space="preserve">  Renegotiation reduces original by 10%: −$30,000.</w:t>
        <w:br/>
        <w:t xml:space="preserve">  New contract price: ($300,000 − $30,000) + $50,000 = $320,000.</w:t>
        <w:br/>
        <w:t xml:space="preserve">  Net additional consideration: $50,000 − $30,000 = $20,000.</w:t>
        <w:br/>
        <w:t xml:space="preserve">  SSP of additional: $50,000.</w:t>
        <w:br/>
        <w:t xml:space="preserve">  $20,000 &lt; $50,000 → Criterion 2 NOT met.</w:t>
        <w:br/>
        <w:t xml:space="preserve">  Separate-contract treatment inappropriate.</w:t>
        <w:br/>
        <w:br/>
        <w:t>Errors in management's treatment:</w:t>
        <w:br/>
        <w:t xml:space="preserve">  - Splitting the modification into pieces is not permitted. The modification is a single economic transaction.</w:t>
        <w:br/>
        <w:t xml:space="preserve">  - The price reduction on the original is not a separate modification; it is part of the same negotiated change.</w:t>
        <w:br/>
        <w:t xml:space="preserve">  - The 10% downward renegotiation likely reflects the customer's bargaining leverage in exchange for granting the additional services; offsetting economics.</w:t>
        <w:br/>
        <w:br/>
        <w:t>Recommended treatment:</w:t>
        <w:br/>
        <w:t xml:space="preserve">  - Apply prospective treatment (if remaining goods/services are distinct from those already transferred).</w:t>
        <w:br/>
        <w:t xml:space="preserve">  - Blended price per remaining unit = (remaining consideration after price reduction + additional consideration) / total remaining units.</w:t>
        <w:br/>
        <w:t xml:space="preserve">  - No restatement of revenue already recognized before the modification.</w:t>
        <w:br/>
        <w:br/>
        <w:t>Verify ASC 606-10-25-13 against the licensed Codification.</w:t>
      </w:r>
    </w:p>
    <w:p>
      <w:pPr>
        <w:pStyle w:val="Heading2"/>
      </w:pPr>
      <w:r>
        <w:rPr>
          <w:color w:val="1F3864"/>
        </w:rPr>
        <w:t>5.11 M8 — Specialized Topics (Principal-Agent, Licenses, Warranties, Returns, Repurchase, Financing, Contract Costs)</w:t>
      </w:r>
    </w:p>
    <w:p>
      <w:pPr>
        <w:spacing w:line="312" w:lineRule="auto" w:after="120"/>
      </w:pPr>
      <w:r>
        <w:rPr>
          <w:rFonts w:ascii="Calibri" w:hAnsi="Calibri"/>
          <w:b w:val="0"/>
          <w:i w:val="0"/>
          <w:sz w:val="22"/>
        </w:rPr>
        <w:t>This module contains 10 curated training template(s) at the following difficulty levels: beginner, foundational, intermediate, advanced, expert.</w:t>
      </w:r>
    </w:p>
    <w:p>
      <w:pPr>
        <w:pStyle w:val="Heading3"/>
      </w:pPr>
      <w:r>
        <w:rPr>
          <w:color w:val="1F3864"/>
        </w:rPr>
        <w:t>M8-B-0001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principal_agent, definition</w:t>
            </w:r>
          </w:p>
        </w:tc>
      </w:tr>
      <w:tr>
        <w:tc>
          <w:tcPr>
            <w:tcW w:type="dxa" w:w="4873"/>
          </w:tcPr>
          <w:p>
            <w:r/>
            <w:r>
              <w:rPr>
                <w:b/>
                <w:sz w:val="20"/>
              </w:rPr>
              <w:t>Required skills</w:t>
            </w:r>
          </w:p>
        </w:tc>
        <w:tc>
          <w:tcPr>
            <w:tcW w:type="dxa" w:w="4873"/>
          </w:tcPr>
          <w:p>
            <w:r/>
            <w:r>
              <w:rPr>
                <w:sz w:val="20"/>
              </w:rPr>
              <w:t>principal_agent_analysis, definition</w:t>
            </w:r>
          </w:p>
        </w:tc>
      </w:tr>
      <w:tr>
        <w:tc>
          <w:tcPr>
            <w:tcW w:type="dxa" w:w="4873"/>
          </w:tcPr>
          <w:p>
            <w:r/>
            <w:r>
              <w:rPr>
                <w:b/>
                <w:sz w:val="20"/>
              </w:rPr>
              <w:t>Authoritative refs</w:t>
            </w:r>
          </w:p>
        </w:tc>
        <w:tc>
          <w:tcPr>
            <w:tcW w:type="dxa" w:w="4873"/>
          </w:tcPr>
          <w:p>
            <w:r/>
            <w:r>
              <w:rPr>
                <w:sz w:val="20"/>
              </w:rPr>
              <w:t>ASC 606-10-55-36, ASC 606-10-55-39, ASC 606-10-55-40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principal vs. agent under ASC 606. What is the central question?</w:t>
      </w:r>
    </w:p>
    <w:p>
      <w:pPr>
        <w:pStyle w:val="Heading4"/>
      </w:pPr>
      <w:r>
        <w:rPr>
          <w:color w:val="1F3864"/>
        </w:rPr>
        <w:t>Assistant Answer (gold target)</w:t>
      </w:r>
    </w:p>
    <w:p>
      <w:pPr>
        <w:spacing w:line="312" w:lineRule="auto" w:after="120"/>
      </w:pPr>
      <w:r>
        <w:rPr>
          <w:rFonts w:ascii="Calibri" w:hAnsi="Calibri"/>
          <w:b w:val="0"/>
          <w:i w:val="0"/>
          <w:sz w:val="22"/>
        </w:rPr>
        <w:t>Under ASC 606 (ASC 606-10-55-36 through 55-40, verify), the principal-vs-agent analysis determines whether an entity records revenue **gross** (as a principal) or **net** (as an agent) for arranged transactions.</w:t>
        <w:br/>
        <w:br/>
        <w:t>**Principal**: the entity controls the specified good or service before it is transferred to the customer. The principal reports revenue at the gross amount billed to the customer and reports the cost of the good or service as cost of revenue.</w:t>
        <w:br/>
        <w:br/>
        <w:t>**Agent**: the entity's performance obligation is to arrange for the provision of the specified good or service by another party. The agent reports revenue at the net amount (the fee/commission retained).</w:t>
        <w:br/>
        <w:br/>
        <w:t>**Central question**: Does the entity control the specified good or service before it is transferred to the customer?</w:t>
        <w:br/>
        <w:br/>
        <w:t>If yes → principal → gross revenue.</w:t>
        <w:br/>
        <w:t>If no → agent → net revenue.</w:t>
        <w:br/>
        <w:br/>
        <w:t>Indicators of control (none dispositive; ASC 606-10-55-39, verify):</w:t>
        <w:br/>
        <w:t xml:space="preserve">  1. The entity is primarily responsible for fulfilling the promise.</w:t>
        <w:br/>
        <w:t xml:space="preserve">  2. The entity has inventory risk before or after the customer order, during transit, or upon return.</w:t>
        <w:br/>
        <w:t xml:space="preserve">  3. The entity has discretion in establishing the price for the specified good or service.</w:t>
        <w:br/>
        <w:br/>
        <w:t>Why this matters:</w:t>
        <w:br/>
        <w:t xml:space="preserve">  - Gross vs. net reporting materially affects both revenue and cost of revenue, even if gross profit is the same.</w:t>
        <w:br/>
        <w:t xml:space="preserve">  - Industry comparisons depend on consistent treatment; an agent that reports gross appears larger than it is.</w:t>
        <w:br/>
        <w:t xml:space="preserve">  - Investors and analysts use gross-revenue trends to evaluate entity scale and growth.</w:t>
        <w:br/>
        <w:br/>
        <w:t>Common pitfalls:</w:t>
        <w:br/>
        <w:t xml:space="preserve">  - Treating 'commission retained' as automatically agent status. Principals can also have commission-like margins.</w:t>
        <w:br/>
        <w:t xml:space="preserve">  - Treating 'collecting customer payment' as principal status. Cash collection is payment processing, not control.</w:t>
        <w:br/>
        <w:t xml:space="preserve">  - Applying the analysis at the entity level rather than at the level of the specified good or service promised.</w:t>
      </w:r>
    </w:p>
    <w:p>
      <w:pPr>
        <w:pStyle w:val="Heading3"/>
      </w:pPr>
      <w:r>
        <w:rPr>
          <w:color w:val="1F3864"/>
        </w:rPr>
        <w:t>M8-F-0001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license, right_to_use, right_to_access</w:t>
            </w:r>
          </w:p>
        </w:tc>
      </w:tr>
      <w:tr>
        <w:tc>
          <w:tcPr>
            <w:tcW w:type="dxa" w:w="4873"/>
          </w:tcPr>
          <w:p>
            <w:r/>
            <w:r>
              <w:rPr>
                <w:b/>
                <w:sz w:val="20"/>
              </w:rPr>
              <w:t>Required skills</w:t>
            </w:r>
          </w:p>
        </w:tc>
        <w:tc>
          <w:tcPr>
            <w:tcW w:type="dxa" w:w="4873"/>
          </w:tcPr>
          <w:p>
            <w:r/>
            <w:r>
              <w:rPr>
                <w:sz w:val="20"/>
              </w:rPr>
              <w:t>license_analysis, ip_classification</w:t>
            </w:r>
          </w:p>
        </w:tc>
      </w:tr>
      <w:tr>
        <w:tc>
          <w:tcPr>
            <w:tcW w:type="dxa" w:w="4873"/>
          </w:tcPr>
          <w:p>
            <w:r/>
            <w:r>
              <w:rPr>
                <w:b/>
                <w:sz w:val="20"/>
              </w:rPr>
              <w:t>Authoritative refs</w:t>
            </w:r>
          </w:p>
        </w:tc>
        <w:tc>
          <w:tcPr>
            <w:tcW w:type="dxa" w:w="4873"/>
          </w:tcPr>
          <w:p>
            <w:r/>
            <w:r>
              <w:rPr>
                <w:sz w:val="20"/>
              </w:rPr>
              <w:t>ASC 606-10-55-54, ASC 606-10-55-58</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difference between a right-to-use license and a right-to-access license under ASC 606.</w:t>
      </w:r>
    </w:p>
    <w:p>
      <w:pPr>
        <w:pStyle w:val="Heading4"/>
      </w:pPr>
      <w:r>
        <w:rPr>
          <w:color w:val="1F3864"/>
        </w:rPr>
        <w:t>Assistant Answer (gold target)</w:t>
      </w:r>
    </w:p>
    <w:p>
      <w:pPr>
        <w:spacing w:line="312" w:lineRule="auto" w:after="120"/>
      </w:pPr>
      <w:r>
        <w:rPr>
          <w:rFonts w:ascii="Calibri" w:hAnsi="Calibri"/>
          <w:b w:val="0"/>
          <w:i w:val="0"/>
          <w:sz w:val="22"/>
        </w:rPr>
        <w:t>Under ASC 606 (ASC 606-10-55-54 through 55-64, verify), the entity distinguishes between two types of IP licenses:</w:t>
        <w:br/>
        <w:br/>
        <w:t>**Right-to-use license** (functional IP):</w:t>
        <w:br/>
        <w:t xml:space="preserve">  The license grants the customer the right to use the entity's intellectual property **as it exists at the point in time the license is granted**. The entity has no remaining obligations to change the IP.</w:t>
        <w:br/>
        <w:t xml:space="preserve">  Revenue recognition: at the **point in time** control of the IP transfers to the customer (typically at license start).</w:t>
        <w:br/>
        <w:t xml:space="preserve">  Examples: software license for a static version; a patent license; a brand license where the brand is fixed.</w:t>
        <w:br/>
        <w:br/>
        <w:t>**Right-to-access license** (symbolic IP):</w:t>
        <w:br/>
        <w:t xml:space="preserve">  The license grants the customer the right to access the entity's intellectual property **throughout the license period**. The entity's ongoing activities during the license period significantly affect the IP's utility or value to the customer.</w:t>
        <w:br/>
        <w:t xml:space="preserve">  Revenue recognition: **over time** as the entity performs (provides access to the IP).</w:t>
        <w:br/>
        <w:t xml:space="preserve">  Examples: license to access a streaming content library that the entity updates; license to a database the entity continues to enhance; real-time data feed.</w:t>
        <w:br/>
        <w:br/>
        <w:t>Classification factors (ASC 606-10-55-58, verify):</w:t>
        <w:br/>
        <w:t xml:space="preserve">  - Whether the entity is expected to undertake activities that significantly affect the IP's utility or value to the customer.</w:t>
        <w:br/>
        <w:t xml:space="preserve">  - Whether those activities are expected to change the IP's form, functionality, or substance.</w:t>
        <w:br/>
        <w:t xml:space="preserve">  - Whether the customer has the right to access the current and future versions of the IP.</w:t>
        <w:br/>
        <w:t xml:space="preserve">  - The nature of the IP — symbolic IP (e.g., content libraries, brands, real-time data) vs. functional IP (e.g., software, patents, media content).</w:t>
        <w:br/>
        <w:br/>
        <w:t>Right-to-use: customer gets the IP as a snapshot at license grant.</w:t>
        <w:br/>
        <w:t>Right-to-access: customer gets access to the IP as a streaming/experiential right throughout the period.</w:t>
        <w:br/>
        <w:br/>
        <w:t>Common pitfall: assuming all software licenses are right-to-use. SaaS arrangements that grant access to a hosted application with ongoing updates may be right-to-access (recognized over time), even if the contract is called a 'license'.</w:t>
      </w:r>
    </w:p>
    <w:p>
      <w:pPr>
        <w:pStyle w:val="Heading3"/>
      </w:pPr>
      <w:r>
        <w:rPr>
          <w:color w:val="1F3864"/>
        </w:rPr>
        <w:t>M8-F-0002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warranty, assurance_type, service_type</w:t>
            </w:r>
          </w:p>
        </w:tc>
      </w:tr>
      <w:tr>
        <w:tc>
          <w:tcPr>
            <w:tcW w:type="dxa" w:w="4873"/>
          </w:tcPr>
          <w:p>
            <w:r/>
            <w:r>
              <w:rPr>
                <w:b/>
                <w:sz w:val="20"/>
              </w:rPr>
              <w:t>Required skills</w:t>
            </w:r>
          </w:p>
        </w:tc>
        <w:tc>
          <w:tcPr>
            <w:tcW w:type="dxa" w:w="4873"/>
          </w:tcPr>
          <w:p>
            <w:r/>
            <w:r>
              <w:rPr>
                <w:sz w:val="20"/>
              </w:rPr>
              <w:t>warranty_analysis, classification</w:t>
            </w:r>
          </w:p>
        </w:tc>
      </w:tr>
      <w:tr>
        <w:tc>
          <w:tcPr>
            <w:tcW w:type="dxa" w:w="4873"/>
          </w:tcPr>
          <w:p>
            <w:r/>
            <w:r>
              <w:rPr>
                <w:b/>
                <w:sz w:val="20"/>
              </w:rPr>
              <w:t>Authoritative refs</w:t>
            </w:r>
          </w:p>
        </w:tc>
        <w:tc>
          <w:tcPr>
            <w:tcW w:type="dxa" w:w="4873"/>
          </w:tcPr>
          <w:p>
            <w:r/>
            <w:r>
              <w:rPr>
                <w:sz w:val="20"/>
              </w:rPr>
              <w:t>ASC 606-10-55-29, ASC 606-10-55-30, ASC 606-10-55-32, ASC 460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Distinguish an assurance-type warranty from a service-type warranty under ASC 606.</w:t>
      </w:r>
    </w:p>
    <w:p>
      <w:pPr>
        <w:pStyle w:val="Heading4"/>
      </w:pPr>
      <w:r>
        <w:rPr>
          <w:color w:val="1F3864"/>
        </w:rPr>
        <w:t>Assistant Answer (gold target)</w:t>
      </w:r>
    </w:p>
    <w:p>
      <w:pPr>
        <w:spacing w:line="312" w:lineRule="auto" w:after="120"/>
      </w:pPr>
      <w:r>
        <w:rPr>
          <w:rFonts w:ascii="Calibri" w:hAnsi="Calibri"/>
          <w:b w:val="0"/>
          <w:i w:val="0"/>
          <w:sz w:val="22"/>
        </w:rPr>
        <w:t>ASC 606-10-55-29 through 55-32 (verify against the Codification) classify warranties into two types:</w:t>
        <w:br/>
        <w:br/>
        <w:t>**Assurance-type warranty**:</w:t>
        <w:br/>
        <w:t xml:space="preserve">  - Provides assurance that the related product or service will function as specified (i.e., comply with agreed specifications).</w:t>
        <w:br/>
        <w:t xml:space="preserve">  - Does NOT provide a service in addition to the product's agreed-upon specifications.</w:t>
        <w:br/>
        <w:t xml:space="preserve">  - Accounting: NOT a separate performance obligation. Accounted for under ASC 460 (Guarantees) as a standby obligation; the entity accrues a liability for the warranty at the revenue recognition date.</w:t>
        <w:br/>
        <w:t xml:space="preserve">  - Examples: standard manufacturer's warranty that guarantees the product will work for 12 months; warranty of non-infringement.</w:t>
        <w:br/>
        <w:br/>
        <w:t>**Service-type warranty**:</w:t>
        <w:br/>
        <w:t xml:space="preserve">  - Provides a service in addition to the assurance that the product or service will function as specified.</w:t>
        <w:br/>
        <w:t xml:space="preserve">  - The customer has the option to receive the service separately OR the service is in addition to the product complying with specifications.</w:t>
        <w:br/>
        <w:t xml:space="preserve">  - Accounting: separate performance obligation. The transaction price is allocated to the service warranty and revenue is recognized over the warranty period.</w:t>
        <w:br/>
        <w:t xml:space="preserve">  - Examples: extended warranty covering accidental damage; premium support plan that includes routine maintenance visits.</w:t>
        <w:br/>
        <w:br/>
        <w:t>Classification test:</w:t>
        <w:br/>
        <w:t xml:space="preserve">  1. Does the warranty provide a service in addition to the assurance that the product complies with specifications?</w:t>
        <w:br/>
        <w:t xml:space="preserve">  2. If yes: service-type warranty (separate PO).</w:t>
        <w:br/>
        <w:t xml:space="preserve">  3. If no: assurance-type warranty (not a separate PO; ASC 460 accounting).</w:t>
        <w:br/>
        <w:br/>
        <w:t>Mixed warranties: a contract may have both an assurance-type warranty (e.g., a standard 1-year manufacturer's warranty) and a service-type warranty (e.g., an extended warranty for years 2-3 covering accidental damage). The assurance portion is accounted for under ASC 460; the service portion is a separate PO under ASC 606.</w:t>
        <w:br/>
        <w:br/>
        <w:t>Time-elapsed factors: longer warranty periods or warranties that exceed industry-typical periods may indicate a service component. But duration alone is not determinative — the substantive obligation matters.</w:t>
      </w:r>
    </w:p>
    <w:p>
      <w:pPr>
        <w:pStyle w:val="Heading3"/>
      </w:pPr>
      <w:r>
        <w:rPr>
          <w:color w:val="1F3864"/>
        </w:rPr>
        <w:t>M8-I-0001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returns, refund_liability, recovery_asset</w:t>
            </w:r>
          </w:p>
        </w:tc>
      </w:tr>
      <w:tr>
        <w:tc>
          <w:tcPr>
            <w:tcW w:type="dxa" w:w="4873"/>
          </w:tcPr>
          <w:p>
            <w:r/>
            <w:r>
              <w:rPr>
                <w:b/>
                <w:sz w:val="20"/>
              </w:rPr>
              <w:t>Required skills</w:t>
            </w:r>
          </w:p>
        </w:tc>
        <w:tc>
          <w:tcPr>
            <w:tcW w:type="dxa" w:w="4873"/>
          </w:tcPr>
          <w:p>
            <w:r/>
            <w:r>
              <w:rPr>
                <w:sz w:val="20"/>
              </w:rPr>
              <w:t>returns_analysis, arithmetic_accuracy</w:t>
            </w:r>
          </w:p>
        </w:tc>
      </w:tr>
      <w:tr>
        <w:tc>
          <w:tcPr>
            <w:tcW w:type="dxa" w:w="4873"/>
          </w:tcPr>
          <w:p>
            <w:r/>
            <w:r>
              <w:rPr>
                <w:b/>
                <w:sz w:val="20"/>
              </w:rPr>
              <w:t>Authoritative refs</w:t>
            </w:r>
          </w:p>
        </w:tc>
        <w:tc>
          <w:tcPr>
            <w:tcW w:type="dxa" w:w="4873"/>
          </w:tcPr>
          <w:p>
            <w:r/>
            <w:r>
              <w:rPr>
                <w:sz w:val="20"/>
              </w:rPr>
              <w:t>ASC 606-10-55-33, ASC 606-10-55-34</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retailer sells 1,000 units at $100 each. Cost per unit $60. Historical return rate 5%. Compute (a) gross sales, (b) expected returns, (c) net revenue, (d) refund liability, (e) recovery asset, and (f) journal entries.</w:t>
      </w:r>
    </w:p>
    <w:p>
      <w:pPr>
        <w:pStyle w:val="Heading4"/>
      </w:pPr>
      <w:r>
        <w:rPr>
          <w:color w:val="1F3864"/>
        </w:rPr>
        <w:t>Assistant Answer (gold target)</w:t>
      </w:r>
    </w:p>
    <w:p>
      <w:pPr>
        <w:spacing w:line="312" w:lineRule="auto" w:after="120"/>
      </w:pPr>
      <w:r>
        <w:rPr>
          <w:rFonts w:ascii="Calibri" w:hAnsi="Calibri"/>
          <w:b w:val="0"/>
          <w:i w:val="0"/>
          <w:sz w:val="22"/>
        </w:rPr>
        <w:t>Facts:</w:t>
        <w:br/>
        <w:t xml:space="preserve">  - Units sold: 1,000.</w:t>
        <w:br/>
        <w:t xml:space="preserve">  - Sale price: $100/unit.</w:t>
        <w:br/>
        <w:t xml:space="preserve">  - Cost per unit: $60.</w:t>
        <w:br/>
        <w:t xml:space="preserve">  - Expected return rate: 5% (50 units).</w:t>
        <w:br/>
        <w:br/>
        <w:t>(a) Gross sales: 1,000 × $100 = $100,000.</w:t>
        <w:br/>
        <w:br/>
        <w:t>(b) Expected returns: 50 × $100 = $5,000.</w:t>
        <w:br/>
        <w:br/>
        <w:t>(c) Net revenue: $100,000 − $5,000 = $95,000.</w:t>
        <w:br/>
        <w:br/>
        <w:t>(d) Refund liability (ASC 606-10-55-33, verify): 50 × $100 = $5,000.</w:t>
        <w:br/>
        <w:br/>
        <w:t>(e) Recovery asset (ASC 606-10-55-34, verify): the expected inventory to be returned. 50 units × $60 cost = $3,000. The recovery asset represents the entity's right to recover returned inventory from customers.</w:t>
        <w:br/>
        <w:br/>
        <w:t>(f) Journal entries at sale:</w:t>
        <w:br/>
        <w:t xml:space="preserve">  Dr Cash / Accounts Receivable       100,000</w:t>
        <w:br/>
        <w:t xml:space="preserve">  Cr Revenue                                   95,000</w:t>
        <w:br/>
        <w:t xml:space="preserve">  Cr Refund Liability                          5,000</w:t>
        <w:br/>
        <w:br/>
        <w:t xml:space="preserve">  Dr Cost of Goods Sold                60,000</w:t>
        <w:br/>
        <w:t xml:space="preserve">  Cr Inventory                                 60,000</w:t>
        <w:br/>
        <w:br/>
        <w:t xml:space="preserve">  Dr Recovery Asset (Expected Returned Inventory) 3,000</w:t>
        <w:br/>
        <w:t xml:space="preserve">  Cr Cost of Goods Sold                         3,000</w:t>
        <w:br/>
        <w:br/>
        <w:t xml:space="preserve">  Net COGS = $60,000 − $3,000 = $57,000 (cost of units expected to remain sold). Net gross profit = $95,000 − $57,000 = $38,000.</w:t>
        <w:br/>
        <w:br/>
        <w:t>Subsequent entries:</w:t>
        <w:br/>
        <w:t xml:space="preserve">  - When customer returns a unit: Dr Refund Liability $100 / Cr Cash $100; Dr Inventory $60 / Cr Recovery Asset $60.</w:t>
        <w:br/>
        <w:t xml:space="preserve">  - At year-end, reassess expected returns; adjust refund liability, recovery asset, and revenue (and COGS) for changes in estimate.</w:t>
        <w:br/>
        <w:br/>
        <w:t>Common errors:</w:t>
        <w:br/>
        <w:t xml:space="preserve">  - Recognizing gross revenue without adjusting for expected returns.</w:t>
        <w:br/>
        <w:t xml:space="preserve">  - Treating the refund liability as a contract liability (ASC 606-10-45, verify — refund liabilities are presented separately from contract liabilities in some fact patterns; ensure correct classification).</w:t>
        <w:br/>
        <w:t xml:space="preserve">  - Failing to record the recovery asset, which understates inventory.</w:t>
        <w:br/>
        <w:br/>
        <w:t>Verify ASC 606-10-55-33 and ASC 606-10-55-34 against the licensed Codification.</w:t>
      </w:r>
    </w:p>
    <w:p>
      <w:pPr>
        <w:pStyle w:val="Heading3"/>
      </w:pPr>
      <w:r>
        <w:rPr>
          <w:color w:val="1F3864"/>
        </w:rPr>
        <w:t>M8-A-0001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principal_agent, gross_vs_net, control</w:t>
            </w:r>
          </w:p>
        </w:tc>
      </w:tr>
      <w:tr>
        <w:tc>
          <w:tcPr>
            <w:tcW w:type="dxa" w:w="4873"/>
          </w:tcPr>
          <w:p>
            <w:r/>
            <w:r>
              <w:rPr>
                <w:b/>
                <w:sz w:val="20"/>
              </w:rPr>
              <w:t>Required skills</w:t>
            </w:r>
          </w:p>
        </w:tc>
        <w:tc>
          <w:tcPr>
            <w:tcW w:type="dxa" w:w="4873"/>
          </w:tcPr>
          <w:p>
            <w:r/>
            <w:r>
              <w:rPr>
                <w:sz w:val="20"/>
              </w:rPr>
              <w:t>principal_agent_analysis, fact_pattern_evaluation</w:t>
            </w:r>
          </w:p>
        </w:tc>
      </w:tr>
      <w:tr>
        <w:tc>
          <w:tcPr>
            <w:tcW w:type="dxa" w:w="4873"/>
          </w:tcPr>
          <w:p>
            <w:r/>
            <w:r>
              <w:rPr>
                <w:b/>
                <w:sz w:val="20"/>
              </w:rPr>
              <w:t>Authoritative refs</w:t>
            </w:r>
          </w:p>
        </w:tc>
        <w:tc>
          <w:tcPr>
            <w:tcW w:type="dxa" w:w="4873"/>
          </w:tcPr>
          <w:p>
            <w:r/>
            <w:r>
              <w:rPr>
                <w:sz w:val="20"/>
              </w:rPr>
              <w:t>ASC 606-10-55-36, ASC 606-10-55-37, ASC 606-10-55-39</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An online marketplace collects $1,000 from a customer for a service, remits $800 to the third-party provider, and keeps $200. Should the marketplace recognize $1,000 (gross) or $200 (net) of revenue?</w:t>
      </w:r>
    </w:p>
    <w:p>
      <w:pPr>
        <w:pStyle w:val="Heading4"/>
      </w:pPr>
      <w:r>
        <w:rPr>
          <w:color w:val="1F3864"/>
        </w:rPr>
        <w:t>Assistant Answer (gold target)</w:t>
      </w:r>
    </w:p>
    <w:p>
      <w:pPr>
        <w:spacing w:line="312" w:lineRule="auto" w:after="120"/>
      </w:pPr>
      <w:r>
        <w:rPr>
          <w:rFonts w:ascii="Calibri" w:hAnsi="Calibri"/>
          <w:b w:val="0"/>
          <w:i w:val="0"/>
          <w:sz w:val="22"/>
        </w:rPr>
        <w:t>This is a principal-vs-agent question governed by ASC 606-10-55-36 through 55-40 (verify). The unit of account is the **specified good or service** promised to the customer.</w:t>
        <w:br/>
        <w:br/>
        <w:t>Step 1 — Identify the specified good or service.</w:t>
        <w:br/>
        <w:t xml:space="preserve">  Is it the service performed by the third-party provider, or is it a service of arranging access to the provider? The answer depends on the contract. If the marketplace's promise is to provide the service itself, it is the principal. If the promise is to arrange for the provider to perform the service, it is an agent.</w:t>
        <w:br/>
        <w:br/>
        <w:t>Step 2 — Does the marketplace control the specified good or service before it is transferred to the customer?</w:t>
        <w:br/>
        <w:t xml:space="preserve">  Control indicators (none dispositive):</w:t>
        <w:br/>
        <w:t xml:space="preserve">  (a) Primary responsibility for fulfilling the promise — if the marketplace is responsible for service quality and remediation, indicator of principal.</w:t>
        <w:br/>
        <w:t xml:space="preserve">  (b) Inventory risk before or after the customer order — if the marketplace takes title, holds inventory, or bears obsolescence/loss risk, indicator of principal.</w:t>
        <w:br/>
        <w:t xml:space="preserve">  (c) Discretion in establishing the price — if the marketplace sets the customer price (not just a fixed spread), indicator of principal.</w:t>
        <w:br/>
        <w:br/>
        <w:t>Key conceptual points:</w:t>
        <w:br/>
        <w:t xml:space="preserve">  — Retaining a commission does NOT automatically make the entity an agent. Agents typically do earn a commission, but principals can also have commission-like margins.</w:t>
        <w:br/>
        <w:t xml:space="preserve">  — Collecting payment does NOT automatically make the entity a principal. Cash collection is a payment-processing function, independent of who controls the underlying good or service.</w:t>
        <w:br/>
        <w:br/>
        <w:t>Plausible conclusions:</w:t>
        <w:br/>
        <w:t xml:space="preserve">  • If the marketplace controls the service (e.g., takes responsibility for fulfillment, sets price, bears provider non-performance risk) — principal — recognize $1,000 revenue and $800 cost of revenue.</w:t>
        <w:br/>
        <w:t xml:space="preserve">  • If the marketplace merely arranges the service (e.g., listings platform, no control, fixed commission) — agent — recognize $200 revenue.</w:t>
        <w:br/>
        <w:br/>
        <w:t>Journal entries:</w:t>
        <w:br/>
        <w:t xml:space="preserve">  Gross (principal):</w:t>
        <w:br/>
        <w:t xml:space="preserve">    Dr Cash 1,000  /  Cr Revenue 1,000</w:t>
        <w:br/>
        <w:t xml:space="preserve">    Dr COGS   800  /  Cr AP / Payable to provider 800</w:t>
        <w:br/>
        <w:t xml:space="preserve">  Net (agent):</w:t>
        <w:br/>
        <w:t xml:space="preserve">    Dr Cash 1,000  /  Cr Revenue 200 / Cr Payable to provider 800</w:t>
        <w:br/>
        <w:br/>
        <w:t>Evidence I would request: the marketplace user agreement, the provider agreement, customer-facing service level obligations, the pricing decision rights, and historical responsibility for service failures.</w:t>
      </w:r>
    </w:p>
    <w:p>
      <w:pPr>
        <w:pStyle w:val="Heading3"/>
      </w:pPr>
      <w:r>
        <w:rPr>
          <w:color w:val="1F3864"/>
        </w:rPr>
        <w:t>M8-A-0002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numerical_case</w:t>
            </w:r>
          </w:p>
        </w:tc>
      </w:tr>
      <w:tr>
        <w:tc>
          <w:tcPr>
            <w:tcW w:type="dxa" w:w="4873"/>
          </w:tcPr>
          <w:p>
            <w:r/>
            <w:r>
              <w:rPr>
                <w:b/>
                <w:sz w:val="20"/>
              </w:rPr>
              <w:t>Topic tags</w:t>
            </w:r>
          </w:p>
        </w:tc>
        <w:tc>
          <w:tcPr>
            <w:tcW w:type="dxa" w:w="4873"/>
          </w:tcPr>
          <w:p>
            <w:r/>
            <w:r>
              <w:rPr>
                <w:sz w:val="20"/>
              </w:rPr>
              <w:t>financing_component, interest, present_value</w:t>
            </w:r>
          </w:p>
        </w:tc>
      </w:tr>
      <w:tr>
        <w:tc>
          <w:tcPr>
            <w:tcW w:type="dxa" w:w="4873"/>
          </w:tcPr>
          <w:p>
            <w:r/>
            <w:r>
              <w:rPr>
                <w:b/>
                <w:sz w:val="20"/>
              </w:rPr>
              <w:t>Required skills</w:t>
            </w:r>
          </w:p>
        </w:tc>
        <w:tc>
          <w:tcPr>
            <w:tcW w:type="dxa" w:w="4873"/>
          </w:tcPr>
          <w:p>
            <w:r/>
            <w:r>
              <w:rPr>
                <w:sz w:val="20"/>
              </w:rPr>
              <w:t>present_value, amortization, effective_interest</w:t>
            </w:r>
          </w:p>
        </w:tc>
      </w:tr>
      <w:tr>
        <w:tc>
          <w:tcPr>
            <w:tcW w:type="dxa" w:w="4873"/>
          </w:tcPr>
          <w:p>
            <w:r/>
            <w:r>
              <w:rPr>
                <w:b/>
                <w:sz w:val="20"/>
              </w:rPr>
              <w:t>Authoritative refs</w:t>
            </w:r>
          </w:p>
        </w:tc>
        <w:tc>
          <w:tcPr>
            <w:tcW w:type="dxa" w:w="4873"/>
          </w:tcPr>
          <w:p>
            <w:r/>
            <w:r>
              <w:rPr>
                <w:sz w:val="20"/>
              </w:rPr>
              <w:t>ASC 606-10-32-15, ASC 606-10-32-18</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A supplier transfers equipment today for a contractual payment of $1,210,000 due in two years. The cash selling price at transfer is $1,000,000. Treat the difference as a significant financing component. Compute the transaction price at inception and the financing component over two years (10% annual rate).</w:t>
      </w:r>
    </w:p>
    <w:p>
      <w:pPr>
        <w:pStyle w:val="Heading4"/>
      </w:pPr>
      <w:r>
        <w:rPr>
          <w:color w:val="1F3864"/>
        </w:rPr>
        <w:t>Assistant Answer (gold target)</w:t>
      </w:r>
    </w:p>
    <w:p>
      <w:pPr>
        <w:spacing w:line="312" w:lineRule="auto" w:after="120"/>
      </w:pPr>
      <w:r>
        <w:rPr>
          <w:rFonts w:ascii="Calibri" w:hAnsi="Calibri"/>
          <w:b w:val="0"/>
          <w:i w:val="0"/>
          <w:sz w:val="22"/>
        </w:rPr>
        <w:t>Assumption: the $210,000 difference reflects a financing arrangement; the implicit annual rate is 10% (verify: $1,000,000 × 1.10² = $1,210,000 ✓).</w:t>
        <w:br/>
        <w:br/>
        <w:t>Step 1 — Transaction price at contract inception (ASC 606-10-32-15 through 32-20, verify):</w:t>
        <w:br/>
        <w:t xml:space="preserve">  The transaction price reflects the cash selling price of the good or service transferred, adjusted for the effects of the time value of money if the timing of payments provides the customer or the entity with a significant financing benefit.</w:t>
        <w:br/>
        <w:t xml:space="preserve">  Transaction price at inception = present value of $1,210,000 due in 2 years at 10% = $1,210,000 / (1.10)² = $1,210,000 / 1.21 = $1,000,000.</w:t>
        <w:br/>
        <w:br/>
        <w:t>Step 2 — Recognize revenue at transfer (today, period 0):</w:t>
        <w:br/>
        <w:t xml:space="preserve">  Dr Accounts Receivable (long-term) 1,210,000</w:t>
        <w:br/>
        <w:t xml:space="preserve">  Cr Revenue                                1,000,000</w:t>
        <w:br/>
        <w:t xml:space="preserve">  Cr Unearned Interest / Contract Liability   210,000</w:t>
        <w:br/>
        <w:br/>
        <w:t>Step 3 — Accrue interest income over the two years:</w:t>
        <w:br/>
        <w:t xml:space="preserve">  End of Year 1:</w:t>
        <w:br/>
        <w:t xml:space="preserve">    Dr Accounts Receivable  100,000</w:t>
        <w:br/>
        <w:t xml:space="preserve">    Cr Interest Income                 100,000</w:t>
        <w:br/>
        <w:t xml:space="preserve">    (1,000,000 × 10% = 100,000)</w:t>
        <w:br/>
        <w:t xml:space="preserve">  End of Year 2:</w:t>
        <w:br/>
        <w:t xml:space="preserve">    Dr Accounts Receivable  110,000</w:t>
        <w:br/>
        <w:t xml:space="preserve">    Cr Interest Income                 110,000</w:t>
        <w:br/>
        <w:t xml:space="preserve">    ((1,000,000 + 100,000) × 10% = 110,000)</w:t>
        <w:br/>
        <w:br/>
        <w:t xml:space="preserve">  Total interest income over 2 years = $210,000 ✓ (reconciles to the contract spread).</w:t>
        <w:br/>
        <w:br/>
        <w:t>Step 4 — Collection at end of Year 2:</w:t>
        <w:br/>
        <w:t xml:space="preserve">  Dr Cash 1,210,000 / Cr Accounts Receivable 1,210,000</w:t>
        <w:br/>
        <w:br/>
        <w:t>Key distinctions:</w:t>
        <w:br/>
        <w:t xml:space="preserve">  — Revenue ($1,000,000) is recognized at transfer (today).</w:t>
        <w:br/>
        <w:t xml:space="preserve">  — Interest income ($210,000 over 2 years) is recognized over time using the effective-interest method.</w:t>
        <w:br/>
        <w:t xml:space="preserve">  — Mixing these would misstate both period revenue and interest income.</w:t>
        <w:br/>
        <w:br/>
        <w:t>Practical expedient (ASC 606-10-32-18, verify): if the contract's expected payment term is one year or less, the entity need NOT assess whether a significant financing component exists. Here the term is two years, so the expedient does not apply.</w:t>
        <w:br/>
        <w:br/>
        <w:t>Factors that affect whether a significant financing component exists:</w:t>
        <w:br/>
        <w:t xml:space="preserve">  (a) The length of time between delivery and payment.</w:t>
        <w:br/>
        <w:t xml:space="preserve">  (b) Whether a substantial portion of the consideration is deferred or prepaid.</w:t>
        <w:br/>
        <w:t xml:space="preserve">  (c) Whether the interest rate reflects more than just financing (e.g., risk, performance incentive).</w:t>
        <w:br/>
        <w:t xml:space="preserve">  (d) Whether the contract is with a customer as part of the entity's ordinary activities.</w:t>
        <w:br/>
        <w:br/>
        <w:t>Verify paragraph references against the licensed Codification.</w:t>
      </w:r>
    </w:p>
    <w:p>
      <w:pPr>
        <w:pStyle w:val="Heading3"/>
      </w:pPr>
      <w:r>
        <w:rPr>
          <w:color w:val="1F3864"/>
        </w:rPr>
        <w:t>M8-A-0003</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returns, bill_and_hold, financing_component</w:t>
            </w:r>
          </w:p>
        </w:tc>
      </w:tr>
      <w:tr>
        <w:tc>
          <w:tcPr>
            <w:tcW w:type="dxa" w:w="4873"/>
          </w:tcPr>
          <w:p>
            <w:r/>
            <w:r>
              <w:rPr>
                <w:b/>
                <w:sz w:val="20"/>
              </w:rPr>
              <w:t>Required skills</w:t>
            </w:r>
          </w:p>
        </w:tc>
        <w:tc>
          <w:tcPr>
            <w:tcW w:type="dxa" w:w="4873"/>
          </w:tcPr>
          <w:p>
            <w:r/>
            <w:r>
              <w:rPr>
                <w:sz w:val="20"/>
              </w:rPr>
              <w:t>returns_analysis, financing_analysis, bill_and_hold_analysis</w:t>
            </w:r>
          </w:p>
        </w:tc>
      </w:tr>
      <w:tr>
        <w:tc>
          <w:tcPr>
            <w:tcW w:type="dxa" w:w="4873"/>
          </w:tcPr>
          <w:p>
            <w:r/>
            <w:r>
              <w:rPr>
                <w:b/>
                <w:sz w:val="20"/>
              </w:rPr>
              <w:t>Authoritative refs</w:t>
            </w:r>
          </w:p>
        </w:tc>
        <w:tc>
          <w:tcPr>
            <w:tcW w:type="dxa" w:w="4873"/>
          </w:tcPr>
          <w:p>
            <w:r/>
            <w:r>
              <w:rPr>
                <w:sz w:val="20"/>
              </w:rPr>
              <w:t>ASC 606-10-25-30, ASC 606-10-32-18, ASC 606-10-55-33, ASC 606-10-55-84</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skeptical technical accounting reviewer. Identify missing facts, test assumptions, and avoid premature conclusions. Do not accept a citation as authoritative without verifying it against the FASB Codification.</w:t>
      </w:r>
    </w:p>
    <w:p>
      <w:pPr>
        <w:pStyle w:val="Heading4"/>
      </w:pPr>
      <w:r>
        <w:rPr>
          <w:color w:val="1F3864"/>
        </w:rPr>
        <w:t>User Prompt</w:t>
      </w:r>
    </w:p>
    <w:p>
      <w:pPr>
        <w:spacing w:line="312" w:lineRule="auto" w:after="120"/>
      </w:pPr>
      <w:r>
        <w:rPr>
          <w:rFonts w:ascii="Calibri" w:hAnsi="Calibri"/>
          <w:b w:val="0"/>
          <w:i w:val="0"/>
          <w:sz w:val="22"/>
        </w:rPr>
        <w:t>An entity sells inventory to a customer with a clause stating 'the customer may return the inventory for a full refund at any time within 6 months, no questions asked.' The customer also agrees to pay in 7 months. Apply bill-and-hold analysis.</w:t>
      </w:r>
    </w:p>
    <w:p>
      <w:pPr>
        <w:pStyle w:val="Heading4"/>
      </w:pPr>
      <w:r>
        <w:rPr>
          <w:color w:val="1F3864"/>
        </w:rPr>
        <w:t>Assistant Answer (gold target)</w:t>
      </w:r>
    </w:p>
    <w:p>
      <w:pPr>
        <w:spacing w:line="312" w:lineRule="auto" w:after="120"/>
      </w:pPr>
      <w:r>
        <w:rPr>
          <w:rFonts w:ascii="Calibri" w:hAnsi="Calibri"/>
          <w:b w:val="0"/>
          <w:i w:val="0"/>
          <w:sz w:val="22"/>
        </w:rPr>
        <w:t>This is NOT a bill-and-hold arrangement; it is a sale with an unlimited return right and deferred payment. Bill-and-hold is a specific arrangement where the entity has billed the customer but retains physical possession until a later delivery date. ASC 606-10-55-83 through 55-86 (verify) addresses bill-and-hold.</w:t>
        <w:br/>
        <w:br/>
        <w:t>However, the fact pattern raises two related ASC 606 issues:</w:t>
        <w:br/>
        <w:br/>
        <w:t>Issue 1 — Has control transferred?</w:t>
        <w:br/>
        <w:t xml:space="preserve">  With an unlimited return right, control of the asset may NOT have transferred to the customer. ASC 606-10-25-30 indicators:</w:t>
        <w:br/>
        <w:t xml:space="preserve">  - Right to payment: yes (customer agrees to pay).</w:t>
        <w:br/>
        <w:t xml:space="preserve">  - Legal title: depends on contract.</w:t>
        <w:br/>
        <w:t xml:space="preserve">  - Physical possession: depends on contract.</w:t>
        <w:br/>
        <w:t xml:space="preserve">  - Risks and rewards of ownership: SHIFTED — the customer can return at any time without cause, so the customer does not bear significant risk.</w:t>
        <w:br/>
        <w:t xml:space="preserve">  - Acceptance: not relevant.</w:t>
        <w:br/>
        <w:br/>
        <w:t xml:space="preserve">  Conclusion: control may not have transferred if the return right is broad. Apply the variable-consideration framework for returns instead (ASC 606-10-55-33, verify): reduce revenue by expected returns.</w:t>
        <w:br/>
        <w:t xml:space="preserve">  If expected returns cannot be reliably estimated (broad return rights often make estimation difficult), revenue recognition may need to be deferred until the return period expires or the return right lapses.</w:t>
        <w:br/>
        <w:br/>
        <w:t>Issue 2 — Significant financing component?</w:t>
        <w:br/>
        <w:t xml:space="preserve">  Payment in 7 months while delivery is today (assuming control has transferred today) creates a financing component.</w:t>
        <w:br/>
        <w:t xml:space="preserve">  - The 7-month period exceeds the one-year practical expedient (ASC 606-10-32-18, verify), so the entity must assess whether the financing component is significant.</w:t>
        <w:br/>
        <w:t xml:space="preserve">  - If significant, discount the transaction price to present value at contract inception; recognize interest income over the 7-month period separately from product revenue.</w:t>
        <w:br/>
        <w:br/>
        <w:t>Bill-and-hold analysis (if it were a bill-and-hold arrangement, ASC 606-10-55-84, verify):</w:t>
        <w:br/>
        <w:t xml:space="preserve">  Criteria for revenue recognition in bill-and-hold:</w:t>
        <w:br/>
        <w:t xml:space="preserve">  (a) Reason for bill-and-hold must be substantive (e.g., customer-requested delayed delivery due to storage constraints).</w:t>
        <w:br/>
        <w:t xml:space="preserve">  (b) Product is identified separately as belonging to the customer.</w:t>
        <w:br/>
        <w:t xml:space="preserve">  (c) Product is ready for physical transfer.</w:t>
        <w:br/>
        <w:t xml:space="preserve">  (d) Entity cannot use the product or direct it to another customer.</w:t>
        <w:br/>
        <w:t xml:space="preserve">  All four criteria must be met. In the current fact pattern, the customer has the right to return, which may violate (d) (entity could direct product to another customer upon return).</w:t>
        <w:br/>
        <w:br/>
        <w:t>Conclusion: this is a sale with a broad return right and deferred payment. Likely revenue recognition is deferred until the return right lapses (or returns become reliably estimable). Financing component analysis applies if control has transferred.</w:t>
      </w:r>
    </w:p>
    <w:p>
      <w:pPr>
        <w:pStyle w:val="Heading3"/>
      </w:pPr>
      <w:r>
        <w:rPr>
          <w:color w:val="1F3864"/>
        </w:rPr>
        <w:t>M8-A-0004</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consignment, control, revenue_recognition</w:t>
            </w:r>
          </w:p>
        </w:tc>
      </w:tr>
      <w:tr>
        <w:tc>
          <w:tcPr>
            <w:tcW w:type="dxa" w:w="4873"/>
          </w:tcPr>
          <w:p>
            <w:r/>
            <w:r>
              <w:rPr>
                <w:b/>
                <w:sz w:val="20"/>
              </w:rPr>
              <w:t>Required skills</w:t>
            </w:r>
          </w:p>
        </w:tc>
        <w:tc>
          <w:tcPr>
            <w:tcW w:type="dxa" w:w="4873"/>
          </w:tcPr>
          <w:p>
            <w:r/>
            <w:r>
              <w:rPr>
                <w:sz w:val="20"/>
              </w:rPr>
              <w:t>consignment_analysis, control_analysis</w:t>
            </w:r>
          </w:p>
        </w:tc>
      </w:tr>
      <w:tr>
        <w:tc>
          <w:tcPr>
            <w:tcW w:type="dxa" w:w="4873"/>
          </w:tcPr>
          <w:p>
            <w:r/>
            <w:r>
              <w:rPr>
                <w:b/>
                <w:sz w:val="20"/>
              </w:rPr>
              <w:t>Authoritative refs</w:t>
            </w:r>
          </w:p>
        </w:tc>
        <w:tc>
          <w:tcPr>
            <w:tcW w:type="dxa" w:w="4873"/>
          </w:tcPr>
          <w:p>
            <w:r/>
            <w:r>
              <w:rPr>
                <w:sz w:val="20"/>
              </w:rPr>
              <w:t>ASC 606-10-55-80, ASC 606-10-55-82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Distinguish a consignment arrangement from a sale under ASC 606. When does revenue recognize in a consignment?</w:t>
      </w:r>
    </w:p>
    <w:p>
      <w:pPr>
        <w:pStyle w:val="Heading4"/>
      </w:pPr>
      <w:r>
        <w:rPr>
          <w:color w:val="1F3864"/>
        </w:rPr>
        <w:t>Assistant Answer (gold target)</w:t>
      </w:r>
    </w:p>
    <w:p>
      <w:pPr>
        <w:spacing w:line="312" w:lineRule="auto" w:after="120"/>
      </w:pPr>
      <w:r>
        <w:rPr>
          <w:rFonts w:ascii="Calibri" w:hAnsi="Calibri"/>
          <w:b w:val="0"/>
          <w:i w:val="0"/>
          <w:sz w:val="22"/>
        </w:rPr>
        <w:t>ASC 606-10-55-80 through 55-82 (verify against the Codification) address consignment arrangements. In a consignment, the entity (consignor) ships inventory to another party (consignee) who holds the inventory for sale to end customers. The consignor retains control of the inventory until the consignee sells it to the end customer.</w:t>
        <w:br/>
        <w:br/>
        <w:t>Factors indicating that the consignor has NOT transferred control to the consignee (i.e., it is a consignment, not a sale):</w:t>
        <w:br/>
        <w:br/>
        <w:t>1. The product is controlled by the entity (consignor) until a specified event occurs (e.g., sale to an end customer or contract termination).</w:t>
        <w:br/>
        <w:t>2. The consignee does NOT have the ability to direct the use of, or obtain substantially all of the remaining benefits from, the product.</w:t>
        <w:br/>
        <w:t>3. The consignee does not have an unconditional obligation to pay the consignor for the product.</w:t>
        <w:br/>
        <w:t>4. The product controlled by the entity may be returned or redirected to another customer.</w:t>
        <w:br/>
        <w:br/>
        <w:t>Revenue recognition in a consignment:</w:t>
        <w:br/>
        <w:t xml:space="preserve">  - The consignor recognizes revenue when control of the inventory transfers to the end customer (i.e., when the consignee sells to the end customer).</w:t>
        <w:br/>
        <w:t xml:space="preserve">  - Inventory on consignment remains on the consignor's balance sheet until the consignee sells it.</w:t>
        <w:br/>
        <w:br/>
        <w:t>Distinguishing consignment from a sale:</w:t>
        <w:br/>
        <w:t xml:space="preserve">  - Sale to distributor: control transfers to the distributor, who has the right to direct use and bears risks/rewards; revenue at transfer to distributor.</w:t>
        <w:br/>
        <w:t xml:space="preserve">  - Consignment: control remains with consignor until end customer sale; revenue at end customer sale.</w:t>
        <w:br/>
        <w:br/>
        <w:t>Key indicators that an arrangement is a sale (not a consignment):</w:t>
        <w:br/>
        <w:t xml:space="preserve">  - The distributor has an unconditional payment obligation to the entity.</w:t>
        <w:br/>
        <w:t xml:space="preserve">  - The distributor has physical possession and bears obsolescence and loss risk.</w:t>
        <w:br/>
        <w:t xml:space="preserve">  - The entity does not retain rights to redirect the product.</w:t>
        <w:br/>
        <w:t xml:space="preserve">  - The distributor has discretion over pricing and resale terms.</w:t>
        <w:br/>
        <w:br/>
        <w:t>Common pitfalls:</w:t>
        <w:br/>
        <w:t xml:space="preserve">  - Recognizing revenue upon shipment to a consignee (incorrect; consignor still controls the inventory).</w:t>
        <w:br/>
        <w:t xml:space="preserve">  - Failing to maintain inventory on the consignor's books until end-customer sale.</w:t>
        <w:br/>
        <w:t xml:space="preserve">  - Treating inventory in transit to the consignee as a sale when the consignor retains substantive control.</w:t>
        <w:br/>
        <w:br/>
        <w:t>Verify ASC 606-10-55-80 through 55-82 against the licensed Codification.</w:t>
      </w:r>
    </w:p>
    <w:p>
      <w:pPr>
        <w:pStyle w:val="Heading3"/>
      </w:pPr>
      <w:r>
        <w:rPr>
          <w:color w:val="1F3864"/>
        </w:rPr>
        <w:t>M8-A-0005</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repurchase, financing, call_option</w:t>
            </w:r>
          </w:p>
        </w:tc>
      </w:tr>
      <w:tr>
        <w:tc>
          <w:tcPr>
            <w:tcW w:type="dxa" w:w="4873"/>
          </w:tcPr>
          <w:p>
            <w:r/>
            <w:r>
              <w:rPr>
                <w:b/>
                <w:sz w:val="20"/>
              </w:rPr>
              <w:t>Required skills</w:t>
            </w:r>
          </w:p>
        </w:tc>
        <w:tc>
          <w:tcPr>
            <w:tcW w:type="dxa" w:w="4873"/>
          </w:tcPr>
          <w:p>
            <w:r/>
            <w:r>
              <w:rPr>
                <w:sz w:val="20"/>
              </w:rPr>
              <w:t>repurchase_analysis, financing_analysis</w:t>
            </w:r>
          </w:p>
        </w:tc>
      </w:tr>
      <w:tr>
        <w:tc>
          <w:tcPr>
            <w:tcW w:type="dxa" w:w="4873"/>
          </w:tcPr>
          <w:p>
            <w:r/>
            <w:r>
              <w:rPr>
                <w:b/>
                <w:sz w:val="20"/>
              </w:rPr>
              <w:t>Authoritative refs</w:t>
            </w:r>
          </w:p>
        </w:tc>
        <w:tc>
          <w:tcPr>
            <w:tcW w:type="dxa" w:w="4873"/>
          </w:tcPr>
          <w:p>
            <w:r/>
            <w:r>
              <w:rPr>
                <w:sz w:val="20"/>
              </w:rPr>
              <w:t>ASC 606-10-55-66, ASC 606-10-55-71, ASC 606-10-55-73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repurchase agreements under ASC 606. When is an arrangement a sale vs. a financing?</w:t>
      </w:r>
    </w:p>
    <w:p>
      <w:pPr>
        <w:pStyle w:val="Heading4"/>
      </w:pPr>
      <w:r>
        <w:rPr>
          <w:color w:val="1F3864"/>
        </w:rPr>
        <w:t>Assistant Answer (gold target)</w:t>
      </w:r>
    </w:p>
    <w:p>
      <w:pPr>
        <w:spacing w:line="312" w:lineRule="auto" w:after="120"/>
      </w:pPr>
      <w:r>
        <w:rPr>
          <w:rFonts w:ascii="Calibri" w:hAnsi="Calibri"/>
          <w:b w:val="0"/>
          <w:i w:val="0"/>
          <w:sz w:val="22"/>
        </w:rPr>
        <w:t>ASC 606-10-55-66 through 55-72 (verify against the Codification) address repurchase agreements — arrangements where the entity sells an asset but has an obligation or right to repurchase it later.</w:t>
        <w:br/>
        <w:br/>
        <w:t>Two forms:</w:t>
        <w:br/>
        <w:t>1. **Forward**: the entity has an obligation to repurchase the asset (a call option that is mandatory).</w:t>
        <w:br/>
        <w:t>2. **Call option**: the entity has a right to repurchase the asset (a true option, not mandatory).</w:t>
        <w:br/>
        <w:br/>
        <w:t>Analysis for forward (obligation to repurchase):</w:t>
        <w:br/>
        <w:t xml:space="preserve">  - The customer does NOT obtain control of the asset because the entity retains the substantive risks and rewards of ownership (it must take the asset back).</w:t>
        <w:br/>
        <w:t xml:space="preserve">  - The arrangement is a financing transaction, NOT a sale. The entity records a liability (financing received), not revenue; interest expense accrues over the financing period.</w:t>
        <w:br/>
        <w:br/>
        <w:t>Analysis for call option (right to repurchase):</w:t>
        <w:br/>
        <w:t xml:space="preserve">  - Determine whether the entity has a 'significant incentive' to exercise the repurchase right.</w:t>
        <w:br/>
        <w:t xml:space="preserve">  - If significant incentive exists: the entity retains control; the arrangement is a financing, not a sale.</w:t>
        <w:br/>
        <w:t xml:space="preserve">  - If no significant incentive: the entity has transferred control; the arrangement is a sale, and the call option is a derivative (typically outside ASC 606 scope — ASC 815).</w:t>
        <w:br/>
        <w:br/>
        <w:t>Test for 'significant incentive':</w:t>
        <w:br/>
        <w:t xml:space="preserve">  - Compare the repurchase price to the expected market value at the repurchase date.</w:t>
        <w:br/>
        <w:t xml:space="preserve">  - If repurchase price &lt; expected market value, the entity has an economic incentive to repurchase (and resell at the higher market value).</w:t>
        <w:br/>
        <w:t xml:space="preserve">  - Quantitative threshold: ASC 606-10-55-71 (verify) indicates that the entity should consider whether the repurchase price is less than the expected market value, and that the expected market value should incorporate factors such as the asset's expected remaining life.</w:t>
        <w:br/>
        <w:br/>
        <w:t>Put option (customer's right to require repurchase):</w:t>
        <w:br/>
        <w:t xml:space="preserve">  - ASC 606-10-55-73 through 55-78 (verify) addresses puts.</w:t>
        <w:br/>
        <w:t xml:space="preserve">  - If the put is in-the-money or there is a significant economic incentive for the customer to exercise, the entity has not transferred control; the arrangement is a financing.</w:t>
        <w:br/>
        <w:t xml:space="preserve">  - If no significant incentive, the arrangement is a sale and the put is accounted for as a derivative under ASC 815.</w:t>
        <w:br/>
        <w:br/>
        <w:t>Practical implications:</w:t>
        <w:br/>
        <w:t xml:space="preserve">  - Sales of inventory with a repurchase obligation or right are typically financings, not sales.</w:t>
        <w:br/>
        <w:t xml:space="preserve">  - Sales of long-lived assets (real estate, equipment) with repurchase provisions require the same analysis.</w:t>
        <w:br/>
        <w:t xml:space="preserve">  - The economic substance (control transfer) governs, not the legal form.</w:t>
        <w:br/>
        <w:br/>
        <w:t>Common pitfalls:</w:t>
        <w:br/>
        <w:t xml:space="preserve">  - Treating a 'sale with right of repurchase' as a sale without testing for significant incentive.</w:t>
        <w:br/>
        <w:t xml:space="preserve">  - Failing to record a financing liability when the arrangement is a financing.</w:t>
        <w:br/>
        <w:t xml:space="preserve">  - Recognizing revenue and cost of goods sold while the arrangement is in substance a financing (misstates both revenue and gross profit).</w:t>
        <w:br/>
        <w:br/>
        <w:t>Verify all paragraph references against the licensed FASB Codification.</w:t>
      </w:r>
    </w:p>
    <w:p>
      <w:pPr>
        <w:pStyle w:val="Heading3"/>
      </w:pPr>
      <w:r>
        <w:rPr>
          <w:color w:val="1F3864"/>
        </w:rPr>
        <w:t>M8-E-0001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M8</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contract_costs, asc_340_40, memo</w:t>
            </w:r>
          </w:p>
        </w:tc>
      </w:tr>
      <w:tr>
        <w:tc>
          <w:tcPr>
            <w:tcW w:type="dxa" w:w="4873"/>
          </w:tcPr>
          <w:p>
            <w:r/>
            <w:r>
              <w:rPr>
                <w:b/>
                <w:sz w:val="20"/>
              </w:rPr>
              <w:t>Required skills</w:t>
            </w:r>
          </w:p>
        </w:tc>
        <w:tc>
          <w:tcPr>
            <w:tcW w:type="dxa" w:w="4873"/>
          </w:tcPr>
          <w:p>
            <w:r/>
            <w:r>
              <w:rPr>
                <w:sz w:val="20"/>
              </w:rPr>
              <w:t>contract_costs_analysis, practical_expedient_analysis</w:t>
            </w:r>
          </w:p>
        </w:tc>
      </w:tr>
      <w:tr>
        <w:tc>
          <w:tcPr>
            <w:tcW w:type="dxa" w:w="4873"/>
          </w:tcPr>
          <w:p>
            <w:r/>
            <w:r>
              <w:rPr>
                <w:b/>
                <w:sz w:val="20"/>
              </w:rPr>
              <w:t>Authoritative refs</w:t>
            </w:r>
          </w:p>
        </w:tc>
        <w:tc>
          <w:tcPr>
            <w:tcW w:type="dxa" w:w="4873"/>
          </w:tcPr>
          <w:p>
            <w:r/>
            <w:r>
              <w:rPr>
                <w:sz w:val="20"/>
              </w:rPr>
              <w:t>ASC 340-40-25-1, ASC 340-40-25-5, ASC 340-40-35-1, ASC 340-40-35-3</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Explain the ASC 340-40 criteria for capitalizing costs to obtain a contract vs. costs to fulfill a contract. When is the practical expedient available?</w:t>
      </w:r>
    </w:p>
    <w:p>
      <w:pPr>
        <w:pStyle w:val="Heading4"/>
      </w:pPr>
      <w:r>
        <w:rPr>
          <w:color w:val="1F3864"/>
        </w:rPr>
        <w:t>Assistant Answer (gold target)</w:t>
      </w:r>
    </w:p>
    <w:p>
      <w:pPr>
        <w:spacing w:line="312" w:lineRule="auto" w:after="120"/>
      </w:pPr>
      <w:r>
        <w:rPr>
          <w:rFonts w:ascii="Calibri" w:hAnsi="Calibri"/>
          <w:b w:val="0"/>
          <w:i w:val="0"/>
          <w:sz w:val="22"/>
        </w:rPr>
        <w:t>MEMORANDUM — Contract Cost Capitalization under ASC 340-40</w:t>
        <w:br/>
        <w:br/>
        <w:t>ISSUE: When should an entity capitalize costs to obtain and costs to fulfill a customer contract?</w:t>
        <w:br/>
        <w:br/>
        <w:t>AUTHORITATIVE GUIDANCE: ASC 340-40-25 (capitalization of costs to obtain a contract); ASC 340-40-25 (costs to fulfill); ASC 340-40-35 (amortization and impairment). Verify against the licensed Codification.</w:t>
        <w:br/>
        <w:br/>
        <w:t>I. COSTS TO OBTAIN A CONTRACT (ASC 340-40-25-1 through 25-7, verify):</w:t>
        <w:br/>
        <w:br/>
        <w:t xml:space="preserve">  Capitalization criteria — ALL must be met:</w:t>
        <w:br/>
        <w:t xml:space="preserve">    1. The costs are directly related to a contract.</w:t>
        <w:br/>
        <w:t xml:space="preserve">    2. The costs are expected to generate future economic benefits.</w:t>
        <w:br/>
        <w:t xml:space="preserve">    3. The costs would not have been incurred if the contract had not been obtained.</w:t>
        <w:br/>
        <w:t xml:space="preserve">  (In other words: incremental costs of obtaining the contract that would not have been incurred if the contract had not been obtained.)</w:t>
        <w:br/>
        <w:br/>
        <w:t xml:space="preserve">  Example — capitalizable: sales commission paid only if the contract is signed.</w:t>
        <w:br/>
        <w:t xml:space="preserve">  Example — NOT capitalizable: general marketing costs, proposal preparation costs that would have been incurred regardless of whether the contract was obtained.</w:t>
        <w:br/>
        <w:br/>
        <w:t xml:space="preserve">  Practical expedient (ASC 340-40-25-4, verify): if the amortization period of the asset would be one year or less, the entity may expense the costs as incurred. The expedient must be applied consistently to similar contracts.</w:t>
        <w:br/>
        <w:br/>
        <w:t>II. COSTS TO FULFILL A CONTRACT (ASC 340-40-25-5 through 25-9, verify):</w:t>
        <w:br/>
        <w:br/>
        <w:t xml:space="preserve">  Capitalization criteria — ALL must be met:</w:t>
        <w:br/>
        <w:t xml:space="preserve">    1. The costs are directly related to a contract or an anticipated contract.</w:t>
        <w:br/>
        <w:t xml:space="preserve">    2. The costs generate or enhance resources of the entity that will be used in satisfying (or continuing to satisfy) performance obligations in the future.</w:t>
        <w:br/>
        <w:t xml:space="preserve">    3. The costs are expected to generate future economic benefits (e.g., through continued contract performance or renewal).</w:t>
        <w:br/>
        <w:br/>
        <w:t xml:space="preserve">  Example — capitalizable: costs of specialized tooling needed only for this contract; costs of training customer employees if the training enhances the entity's future service-delivery capability.</w:t>
        <w:br/>
        <w:t xml:space="preserve">  Example — NOT capitalizable: general administrative costs; costs that do not relate to a specific contract; costs that would not generate future economic benefits.</w:t>
        <w:br/>
        <w:br/>
        <w:t>III. AMORTIZATION (ASC 340-40-35-1, verify):</w:t>
        <w:br/>
        <w:t xml:space="preserve">  Amortize capitalized costs systematically in proportion to the recognition of revenue from the related performance obligation(s).</w:t>
        <w:br/>
        <w:t xml:space="preserve">  If no revenue pattern applies, amortize on a straight-line basis over the contract term.</w:t>
        <w:br/>
        <w:t xml:space="preserve">  Include the expected renewal period in the amortization period if the entity has a reasonable expectation of renewal.</w:t>
        <w:br/>
        <w:br/>
        <w:t>IV. IMPAIRMENT (ASC 340-40-35-3, verify):</w:t>
        <w:br/>
        <w:t xml:space="preserve">  Recognize impairment in the period in which it is determined that the contract will not result in expected future economic benefits. Impairment loss is the amount by which the asset's carrying amount exceeds its fair value.</w:t>
        <w:br/>
        <w:br/>
        <w:t>V. PRACTICAL EXPEDIENTS SUMMARY:</w:t>
        <w:br/>
        <w:t xml:space="preserve">  - One-year-or-less amortization period: expense as incurred (applies to both costs to obtain and costs to fulfill if criteria met).</w:t>
        <w:br/>
        <w:t xml:space="preserve">  - Costs to obtain a contract for which the entity's amortization period would be more than one year must be capitalized.</w:t>
        <w:br/>
        <w:br/>
        <w:t>Documentation:</w:t>
        <w:br/>
        <w:t xml:space="preserve">  - Maintain accounting policy for capitalization decisions.</w:t>
        <w:br/>
        <w:t xml:space="preserve">  - Document the amortization period for each capitalized asset.</w:t>
        <w:br/>
        <w:t xml:space="preserve">  - Reassess expected renewal periods each reporting period.</w:t>
        <w:br/>
        <w:t xml:space="preserve">  - Test for impairment when indicators arise.</w:t>
      </w:r>
    </w:p>
    <w:p>
      <w:pPr>
        <w:pStyle w:val="Heading2"/>
      </w:pPr>
      <w:r>
        <w:rPr>
          <w:color w:val="1F3864"/>
        </w:rPr>
        <w:t>5.12 M9 — Presentation, Disclosures &amp; Controls</w:t>
      </w:r>
    </w:p>
    <w:p>
      <w:pPr>
        <w:spacing w:line="312" w:lineRule="auto" w:after="120"/>
      </w:pPr>
      <w:r>
        <w:rPr>
          <w:rFonts w:ascii="Calibri" w:hAnsi="Calibri"/>
          <w:b w:val="0"/>
          <w:i w:val="0"/>
          <w:sz w:val="22"/>
        </w:rPr>
        <w:t>This module contains 6 curated training template(s) at the following difficulty levels: beginner, foundational, intermediate, advanced, expert.</w:t>
      </w:r>
    </w:p>
    <w:p>
      <w:pPr>
        <w:pStyle w:val="Heading3"/>
      </w:pPr>
      <w:r>
        <w:rPr>
          <w:color w:val="1F3864"/>
        </w:rPr>
        <w:t>M9-B-0001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M9</w:t>
            </w:r>
          </w:p>
        </w:tc>
      </w:tr>
      <w:tr>
        <w:tc>
          <w:tcPr>
            <w:tcW w:type="dxa" w:w="4873"/>
          </w:tcPr>
          <w:p>
            <w:r/>
            <w:r>
              <w:rPr>
                <w:b/>
                <w:sz w:val="20"/>
              </w:rPr>
              <w:t>Difficulty</w:t>
            </w:r>
          </w:p>
        </w:tc>
        <w:tc>
          <w:tcPr>
            <w:tcW w:type="dxa" w:w="4873"/>
          </w:tcPr>
          <w:p>
            <w:r/>
            <w:r>
              <w:rPr>
                <w:sz w:val="20"/>
              </w:rPr>
              <w:t>beginner</w:t>
            </w:r>
          </w:p>
        </w:tc>
      </w:tr>
      <w:tr>
        <w:tc>
          <w:tcPr>
            <w:tcW w:type="dxa" w:w="4873"/>
          </w:tcPr>
          <w:p>
            <w:r/>
            <w:r>
              <w:rPr>
                <w:b/>
                <w:sz w:val="20"/>
              </w:rPr>
              <w:t>Task type</w:t>
            </w:r>
          </w:p>
        </w:tc>
        <w:tc>
          <w:tcPr>
            <w:tcW w:type="dxa" w:w="4873"/>
          </w:tcPr>
          <w:p>
            <w:r/>
            <w:r>
              <w:rPr>
                <w:sz w:val="20"/>
              </w:rPr>
              <w:t>definition</w:t>
            </w:r>
          </w:p>
        </w:tc>
      </w:tr>
      <w:tr>
        <w:tc>
          <w:tcPr>
            <w:tcW w:type="dxa" w:w="4873"/>
          </w:tcPr>
          <w:p>
            <w:r/>
            <w:r>
              <w:rPr>
                <w:b/>
                <w:sz w:val="20"/>
              </w:rPr>
              <w:t>Topic tags</w:t>
            </w:r>
          </w:p>
        </w:tc>
        <w:tc>
          <w:tcPr>
            <w:tcW w:type="dxa" w:w="4873"/>
          </w:tcPr>
          <w:p>
            <w:r/>
            <w:r>
              <w:rPr>
                <w:sz w:val="20"/>
              </w:rPr>
              <w:t>contract_asset, contract_liability, presentation</w:t>
            </w:r>
          </w:p>
        </w:tc>
      </w:tr>
      <w:tr>
        <w:tc>
          <w:tcPr>
            <w:tcW w:type="dxa" w:w="4873"/>
          </w:tcPr>
          <w:p>
            <w:r/>
            <w:r>
              <w:rPr>
                <w:b/>
                <w:sz w:val="20"/>
              </w:rPr>
              <w:t>Required skills</w:t>
            </w:r>
          </w:p>
        </w:tc>
        <w:tc>
          <w:tcPr>
            <w:tcW w:type="dxa" w:w="4873"/>
          </w:tcPr>
          <w:p>
            <w:r/>
            <w:r>
              <w:rPr>
                <w:sz w:val="20"/>
              </w:rPr>
              <w:t>definition, presentation</w:t>
            </w:r>
          </w:p>
        </w:tc>
      </w:tr>
      <w:tr>
        <w:tc>
          <w:tcPr>
            <w:tcW w:type="dxa" w:w="4873"/>
          </w:tcPr>
          <w:p>
            <w:r/>
            <w:r>
              <w:rPr>
                <w:b/>
                <w:sz w:val="20"/>
              </w:rPr>
              <w:t>Authoritative refs</w:t>
            </w:r>
          </w:p>
        </w:tc>
        <w:tc>
          <w:tcPr>
            <w:tcW w:type="dxa" w:w="4873"/>
          </w:tcPr>
          <w:p>
            <w:r/>
            <w:r>
              <w:rPr>
                <w:sz w:val="20"/>
              </w:rPr>
              <w:t>ASC 606-10-45-1, ASC 606-10-45-2</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Define 'contract asset' and 'contract liability' under ASC 606. Give one example of each.</w:t>
      </w:r>
    </w:p>
    <w:p>
      <w:pPr>
        <w:pStyle w:val="Heading4"/>
      </w:pPr>
      <w:r>
        <w:rPr>
          <w:color w:val="1F3864"/>
        </w:rPr>
        <w:t>Assistant Answer (gold target)</w:t>
      </w:r>
    </w:p>
    <w:p>
      <w:pPr>
        <w:spacing w:line="312" w:lineRule="auto" w:after="120"/>
      </w:pPr>
      <w:r>
        <w:rPr>
          <w:rFonts w:ascii="Calibri" w:hAnsi="Calibri"/>
          <w:b w:val="0"/>
          <w:i w:val="0"/>
          <w:sz w:val="22"/>
        </w:rPr>
        <w:t>Under ASC 606 (ASC 606-10-45-1 through 45-8, verify against the Codification):</w:t>
        <w:br/>
        <w:br/>
        <w:t>**Contract asset**: an entity's right to consideration in exchange for goods or services that the entity has transferred to a customer, when that right is conditioned on something other than the passage of time (e.g., the entity's future performance).</w:t>
        <w:br/>
        <w:br/>
        <w:t>Example: An entity performs a service and bills on completion of the next milestone. At the reporting date, the entity has performed part of the service but has not yet billed. The unbilled amount is a contract asset — the right to consideration is conditional on completing the next milestone, not just the passage of time.</w:t>
        <w:br/>
        <w:br/>
        <w:t>**Contract liability**: an entity's obligation to transfer goods or services to a customer for which the entity has received consideration (or for which an amount of consideration is due from the customer).</w:t>
        <w:br/>
        <w:br/>
        <w:t>Example: A SaaS company receives $120,000 on January 1 for a 12-month subscription. On January 1, the entity records a $120,000 contract liability. As each month of service is delivered, $10,000 of the contract liability is released to revenue.</w:t>
        <w:br/>
        <w:br/>
        <w:t>Key distinctions:</w:t>
        <w:br/>
        <w:t xml:space="preserve">  - Contract asset: entity has performed; right to consideration is conditional.</w:t>
        <w:br/>
        <w:t xml:space="preserve">  - Receivable: entity has performed; right to consideration is unconditional (only time separates performance from payment).</w:t>
        <w:br/>
        <w:t xml:space="preserve">  - Contract liability: entity has been paid (or has a billing right); performance is yet to come.</w:t>
        <w:br/>
        <w:t xml:space="preserve">  - All three are presented separately on the balance sheet (or disclosed).</w:t>
        <w:br/>
        <w:br/>
        <w:t>Critical observation: a contract asset carries performance risk; the entity must complete performance to bill. A receivable carries only credit risk. A contract liability is a performance obligation funded by the customer.</w:t>
      </w:r>
    </w:p>
    <w:p>
      <w:pPr>
        <w:pStyle w:val="Heading3"/>
      </w:pPr>
      <w:r>
        <w:rPr>
          <w:color w:val="1F3864"/>
        </w:rPr>
        <w:t>M9-F-0001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M9</w:t>
            </w:r>
          </w:p>
        </w:tc>
      </w:tr>
      <w:tr>
        <w:tc>
          <w:tcPr>
            <w:tcW w:type="dxa" w:w="4873"/>
          </w:tcPr>
          <w:p>
            <w:r/>
            <w:r>
              <w:rPr>
                <w:b/>
                <w:sz w:val="20"/>
              </w:rPr>
              <w:t>Difficulty</w:t>
            </w:r>
          </w:p>
        </w:tc>
        <w:tc>
          <w:tcPr>
            <w:tcW w:type="dxa" w:w="4873"/>
          </w:tcPr>
          <w:p>
            <w:r/>
            <w:r>
              <w:rPr>
                <w:sz w:val="20"/>
              </w:rPr>
              <w:t>foundational</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disaggregation, disclosure, presentation</w:t>
            </w:r>
          </w:p>
        </w:tc>
      </w:tr>
      <w:tr>
        <w:tc>
          <w:tcPr>
            <w:tcW w:type="dxa" w:w="4873"/>
          </w:tcPr>
          <w:p>
            <w:r/>
            <w:r>
              <w:rPr>
                <w:b/>
                <w:sz w:val="20"/>
              </w:rPr>
              <w:t>Required skills</w:t>
            </w:r>
          </w:p>
        </w:tc>
        <w:tc>
          <w:tcPr>
            <w:tcW w:type="dxa" w:w="4873"/>
          </w:tcPr>
          <w:p>
            <w:r/>
            <w:r>
              <w:rPr>
                <w:sz w:val="20"/>
              </w:rPr>
              <w:t>disclosure_analysis, disaggregation</w:t>
            </w:r>
          </w:p>
        </w:tc>
      </w:tr>
      <w:tr>
        <w:tc>
          <w:tcPr>
            <w:tcW w:type="dxa" w:w="4873"/>
          </w:tcPr>
          <w:p>
            <w:r/>
            <w:r>
              <w:rPr>
                <w:b/>
                <w:sz w:val="20"/>
              </w:rPr>
              <w:t>Authoritative refs</w:t>
            </w:r>
          </w:p>
        </w:tc>
        <w:tc>
          <w:tcPr>
            <w:tcW w:type="dxa" w:w="4873"/>
          </w:tcPr>
          <w:p>
            <w:r/>
            <w:r>
              <w:rPr>
                <w:sz w:val="20"/>
              </w:rPr>
              <w:t>ASC 606-10-50-5, ASC 606-10-50-6, ASC 606-10-50-17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ASC 606's disaggregation of revenue disclosure requirement. What categories are commonly used?</w:t>
      </w:r>
    </w:p>
    <w:p>
      <w:pPr>
        <w:pStyle w:val="Heading4"/>
      </w:pPr>
      <w:r>
        <w:rPr>
          <w:color w:val="1F3864"/>
        </w:rPr>
        <w:t>Assistant Answer (gold target)</w:t>
      </w:r>
    </w:p>
    <w:p>
      <w:pPr>
        <w:spacing w:line="312" w:lineRule="auto" w:after="120"/>
      </w:pPr>
      <w:r>
        <w:rPr>
          <w:rFonts w:ascii="Calibri" w:hAnsi="Calibri"/>
          <w:b w:val="0"/>
          <w:i w:val="0"/>
          <w:sz w:val="22"/>
        </w:rPr>
        <w:t>ASC 606-10-50-5 (verify against the Codification) requires an entity to disaggregate revenue from contracts with customers into categories that depict how the nature, amount, timing, and uncertainty of revenue and cash flows are affected by economic factors.</w:t>
        <w:br/>
        <w:br/>
        <w:t>Purpose: enable users of financial statements to understand the entity's revenue profile and how economic factors affect revenue and cash flows.</w:t>
        <w:br/>
        <w:br/>
        <w:t>Common disaggregation categories (ASC 606-10-50-6, verify):</w:t>
        <w:br/>
        <w:t xml:space="preserve">  1. Type of good or service (e.g., product sales, professional services, licenses, subscriptions).</w:t>
        <w:br/>
        <w:t xml:space="preserve">  2. Geographic region (e.g., domestic vs. international, or specific countries/regions).</w:t>
        <w:br/>
        <w:t xml:space="preserve">  3. Market or industry (e.g., healthcare, financial services, government).</w:t>
        <w:br/>
        <w:t xml:space="preserve">  4. Type of customer (e.g., consumer, business, government).</w:t>
        <w:br/>
        <w:t xml:space="preserve">  5. Contract type (e.g., fixed-price, time-and-materials, cost-plus).</w:t>
        <w:br/>
        <w:t xml:space="preserve">  6. Contract duration (e.g., short-term vs. long-term).</w:t>
        <w:br/>
        <w:t xml:space="preserve">  7. Timing of revenue recognition (point-in-time vs. over-time).</w:t>
        <w:br/>
        <w:t xml:space="preserve">  8. Sales channel (e.g., direct sales, distributor, e-commerce).</w:t>
        <w:br/>
        <w:br/>
        <w:t>Selection of categories:</w:t>
        <w:br/>
        <w:t xml:space="preserve">  - Use categories that are most relevant to the entity's specific facts and circumstances.</w:t>
        <w:br/>
        <w:t xml:space="preserve">  - Consider how revenue is presented in the entity's MD&amp;A and earnings releases (line-of-business disaggregation).</w:t>
        <w:br/>
        <w:t xml:space="preserve">  - Consider what information the chief operating decision maker reviews for segment reporting (ASC 280).</w:t>
        <w:br/>
        <w:br/>
        <w:t>Additional disclosures required:</w:t>
        <w:br/>
        <w:t xml:space="preserve">  - Reconciliation of disaggregated revenue to total revenue from contracts with customers.</w:t>
        <w:br/>
        <w:t xml:space="preserve">  - Information about remaining performance obligations (ASC 606-10-50-13, verify).</w:t>
        <w:br/>
        <w:t xml:space="preserve">  - Significant judgments (ASC 606-10-50-17, verify).</w:t>
        <w:br/>
        <w:t xml:space="preserve">  - Contract balances and changes therein (ASC 606-10-50-8, verify).</w:t>
        <w:br/>
        <w:br/>
        <w:t>Common pitfalls:</w:t>
        <w:br/>
        <w:t xml:space="preserve">  - Disaggregating only by segment, which may be insufficient for some users.</w:t>
        <w:br/>
        <w:t xml:space="preserve">  - Inconsistent disaggregation across periods without appropriate disclosure of the change.</w:t>
        <w:br/>
        <w:t xml:space="preserve">  - Omitting the reconciliation to total revenue.</w:t>
        <w:br/>
        <w:t xml:space="preserve">  - Failing to disaggregate when segment reporting does not capture the relevant economic factors.</w:t>
      </w:r>
    </w:p>
    <w:p>
      <w:pPr>
        <w:pStyle w:val="Heading3"/>
      </w:pPr>
      <w:r>
        <w:rPr>
          <w:color w:val="1F3864"/>
        </w:rPr>
        <w:t>M9-I-0001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M9</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contract_asset, contract_liability, receivable, presentation</w:t>
            </w:r>
          </w:p>
        </w:tc>
      </w:tr>
      <w:tr>
        <w:tc>
          <w:tcPr>
            <w:tcW w:type="dxa" w:w="4873"/>
          </w:tcPr>
          <w:p>
            <w:r/>
            <w:r>
              <w:rPr>
                <w:b/>
                <w:sz w:val="20"/>
              </w:rPr>
              <w:t>Required skills</w:t>
            </w:r>
          </w:p>
        </w:tc>
        <w:tc>
          <w:tcPr>
            <w:tcW w:type="dxa" w:w="4873"/>
          </w:tcPr>
          <w:p>
            <w:r/>
            <w:r>
              <w:rPr>
                <w:sz w:val="20"/>
              </w:rPr>
              <w:t>presentation, definition</w:t>
            </w:r>
          </w:p>
        </w:tc>
      </w:tr>
      <w:tr>
        <w:tc>
          <w:tcPr>
            <w:tcW w:type="dxa" w:w="4873"/>
          </w:tcPr>
          <w:p>
            <w:r/>
            <w:r>
              <w:rPr>
                <w:b/>
                <w:sz w:val="20"/>
              </w:rPr>
              <w:t>Authoritative refs</w:t>
            </w:r>
          </w:p>
        </w:tc>
        <w:tc>
          <w:tcPr>
            <w:tcW w:type="dxa" w:w="4873"/>
          </w:tcPr>
          <w:p>
            <w:r/>
            <w:r>
              <w:rPr>
                <w:sz w:val="20"/>
              </w:rPr>
              <w:t>ASC 606-10-45-1, ASC 606-10-45-2, 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Distinguish a contract asset from a contract liability and from a receivable. When does each arise?</w:t>
      </w:r>
    </w:p>
    <w:p>
      <w:pPr>
        <w:pStyle w:val="Heading4"/>
      </w:pPr>
      <w:r>
        <w:rPr>
          <w:color w:val="1F3864"/>
        </w:rPr>
        <w:t>Assistant Answer (gold target)</w:t>
      </w:r>
    </w:p>
    <w:p>
      <w:pPr>
        <w:spacing w:line="312" w:lineRule="auto" w:after="120"/>
      </w:pPr>
      <w:r>
        <w:rPr>
          <w:rFonts w:ascii="Calibri" w:hAnsi="Calibri"/>
          <w:b w:val="0"/>
          <w:i w:val="0"/>
          <w:sz w:val="22"/>
        </w:rPr>
        <w:t>Under ASC 606-10-45 (verify), three balance-sheet captions capture different stages of the revenue cycle:</w:t>
        <w:br/>
        <w:br/>
        <w:t>**Receivable** — an entity's RIGHT to consideration that is UNCONDITIONAL. Arises when the entity has performed (or transferred control) and the only remaining event is the passage of time before payment is due. A receivable is presented as a financial asset (subject to credit-loss accounting under ASC 326).</w:t>
        <w:br/>
        <w:br/>
        <w:t>**Contract asset** — an entity's RIGHT to consideration in exchange for goods or services already transferred, where that right is CONDITIONED on something other than the passage of time (e.g., future performance). Example: entity has transferred a license and the contractual right to bill is tied to satisfying the next performance obligation (e.g., completing installation).</w:t>
        <w:br/>
        <w:br/>
        <w:t>**Contract liability** — an entity's OBLIGATION to transfer goods or services to a customer for which the entity has received consideration (or for which an amount is due from the customer). Examples: nonrefundable upfront fees, subscriptions prepaid, deferred revenue.</w:t>
        <w:br/>
        <w:br/>
        <w:t>Key implications:</w:t>
        <w:br/>
        <w:t xml:space="preserve">  — An unbilled amount is NOT automatically a receivable. It is a receivable ONLY if the entity's right to that consideration is unconditional. Otherwise it is a contract asset.</w:t>
        <w:br/>
        <w:t xml:space="preserve">  — A contract asset carries performance risk (the entity must still satisfy its obligation to bill). A receivable carries only credit risk.</w:t>
        <w:br/>
        <w:t xml:space="preserve">  — A contract liability is NOT debt; it is a performance obligation funded by the customer.</w:t>
        <w:br/>
        <w:t xml:space="preserve">  — All three must be presented separately on the balance sheet (or disclosed) and cannot be netted unless a master netting arrangement exists and the right of setoff meets ASC 210-20 criteria.</w:t>
        <w:br/>
        <w:t xml:space="preserve">  — Disclosures must disaggregate revenue, contract balances, remaining performance obligations, and significant judgments (ASC 606-10-50).</w:t>
      </w:r>
    </w:p>
    <w:p>
      <w:pPr>
        <w:pStyle w:val="Heading3"/>
      </w:pPr>
      <w:r>
        <w:rPr>
          <w:color w:val="1F3864"/>
        </w:rPr>
        <w:t>M9-I-0002</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M9</w:t>
            </w:r>
          </w:p>
        </w:tc>
      </w:tr>
      <w:tr>
        <w:tc>
          <w:tcPr>
            <w:tcW w:type="dxa" w:w="4873"/>
          </w:tcPr>
          <w:p>
            <w:r/>
            <w:r>
              <w:rPr>
                <w:b/>
                <w:sz w:val="20"/>
              </w:rPr>
              <w:t>Difficulty</w:t>
            </w:r>
          </w:p>
        </w:tc>
        <w:tc>
          <w:tcPr>
            <w:tcW w:type="dxa" w:w="4873"/>
          </w:tcPr>
          <w:p>
            <w:r/>
            <w:r>
              <w:rPr>
                <w:sz w:val="20"/>
              </w:rPr>
              <w:t>intermediate</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rpo, disclosure, remaining_performance_obligations</w:t>
            </w:r>
          </w:p>
        </w:tc>
      </w:tr>
      <w:tr>
        <w:tc>
          <w:tcPr>
            <w:tcW w:type="dxa" w:w="4873"/>
          </w:tcPr>
          <w:p>
            <w:r/>
            <w:r>
              <w:rPr>
                <w:b/>
                <w:sz w:val="20"/>
              </w:rPr>
              <w:t>Required skills</w:t>
            </w:r>
          </w:p>
        </w:tc>
        <w:tc>
          <w:tcPr>
            <w:tcW w:type="dxa" w:w="4873"/>
          </w:tcPr>
          <w:p>
            <w:r/>
            <w:r>
              <w:rPr>
                <w:sz w:val="20"/>
              </w:rPr>
              <w:t>disclosure_analysis, rpo_analysis</w:t>
            </w:r>
          </w:p>
        </w:tc>
      </w:tr>
      <w:tr>
        <w:tc>
          <w:tcPr>
            <w:tcW w:type="dxa" w:w="4873"/>
          </w:tcPr>
          <w:p>
            <w:r/>
            <w:r>
              <w:rPr>
                <w:b/>
                <w:sz w:val="20"/>
              </w:rPr>
              <w:t>Authoritative refs</w:t>
            </w:r>
          </w:p>
        </w:tc>
        <w:tc>
          <w:tcPr>
            <w:tcW w:type="dxa" w:w="4873"/>
          </w:tcPr>
          <w:p>
            <w:r/>
            <w:r>
              <w:rPr>
                <w:sz w:val="20"/>
              </w:rPr>
              <w:t>ASC 606-10-50-13, ASC 606-10-50-14, ASC 606-10-50-17</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Explain the 'remaining performance obligations' (RPO) disclosure under ASC 606.</w:t>
      </w:r>
    </w:p>
    <w:p>
      <w:pPr>
        <w:pStyle w:val="Heading4"/>
      </w:pPr>
      <w:r>
        <w:rPr>
          <w:color w:val="1F3864"/>
        </w:rPr>
        <w:t>Assistant Answer (gold target)</w:t>
      </w:r>
    </w:p>
    <w:p>
      <w:pPr>
        <w:spacing w:line="312" w:lineRule="auto" w:after="120"/>
      </w:pPr>
      <w:r>
        <w:rPr>
          <w:rFonts w:ascii="Calibri" w:hAnsi="Calibri"/>
          <w:b w:val="0"/>
          <w:i w:val="0"/>
          <w:sz w:val="22"/>
        </w:rPr>
        <w:t>ASC 606-10-50-13 through 50-16 (verify against the Codification) require an entity to disclose:</w:t>
        <w:br/>
        <w:br/>
        <w:t>1. The aggregate amount of the transaction price allocated to performance obligations that are unsatisfied (or partially unsatisfied) at the end of the reporting period.</w:t>
        <w:br/>
        <w:t>2. The expected timing of recognizing that revenue — disaggregated into time bands (e.g., within 1 year, 1-2 years, 2-3 years, 3-5 years, beyond 5 years).</w:t>
        <w:br/>
        <w:t>3. A qualitative explanation of significant changes in the aggregate amount.</w:t>
        <w:br/>
        <w:br/>
        <w:t>Practical expedients (ASC 606-10-50-14, verify):</w:t>
        <w:br/>
        <w:t xml:space="preserve">  An entity need NOT disclose the RPO for:</w:t>
        <w:br/>
        <w:t xml:space="preserve">  (a) Performance obligations for which the entity applies the optional exemption (sales- or usage-based royalties for licenses of IP; variable consideration allocated entirely to a wholly unsatisfied performance obligation that is not a series).</w:t>
        <w:br/>
        <w:t xml:space="preserve">  (b) Performance obligations for which the original expected duration is one year or less (the one-year expedient).</w:t>
        <w:br/>
        <w:br/>
        <w:t>Common scenarios:</w:t>
        <w:br/>
        <w:t xml:space="preserve">  - Multi-year SaaS contracts: disclose aggregate RPO and the timing (e.g., $50M allocated; expected to be recognized 80% within 1 year, 20% in years 2-3).</w:t>
        <w:br/>
        <w:t xml:space="preserve">  - Long-term construction contracts: disclose RPO with timing aligned to expected completion schedule.</w:t>
        <w:br/>
        <w:t xml:space="preserve">  - Warranty services: disclose RPO for service-type warranties with timing aligned to warranty terms.</w:t>
        <w:br/>
        <w:t xml:space="preserve">  - Loyalty programs: aggregate deferred revenue; expected redemption timing.</w:t>
        <w:br/>
        <w:br/>
        <w:t>Required disclosures also include:</w:t>
        <w:br/>
        <w:t xml:space="preserve">  - Significant judgments in applying the RPO disclosure (e.g., methods for estimating timing, assumptions about renewals).</w:t>
        <w:br/>
        <w:t xml:space="preserve">  - Whether the expected timing reflects the entity's expectation at the reporting date or the contractual timing.</w:t>
        <w:br/>
        <w:br/>
        <w:t>Common pitfalls:</w:t>
        <w:br/>
        <w:t xml:space="preserve">  - Failing to disclose RPO for contracts longer than one year.</w:t>
        <w:br/>
        <w:t xml:space="preserve">  - Treating all variable consideration as 'wholly unsatisfied' to apply the exemption — the exemption only applies when variable consideration is allocated ENTIRELY to a wholly unsatisfied PO that is not a series.</w:t>
        <w:br/>
        <w:t xml:space="preserve">  - Disclosing RPO without the timing disaggregation.</w:t>
        <w:br/>
        <w:t xml:space="preserve">  - Inconsistent timing bands across periods without appropriate disclosure.</w:t>
      </w:r>
    </w:p>
    <w:p>
      <w:pPr>
        <w:pStyle w:val="Heading3"/>
      </w:pPr>
      <w:r>
        <w:rPr>
          <w:color w:val="1F3864"/>
        </w:rPr>
        <w:t>M9-A-0001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M9</w:t>
            </w:r>
          </w:p>
        </w:tc>
      </w:tr>
      <w:tr>
        <w:tc>
          <w:tcPr>
            <w:tcW w:type="dxa" w:w="4873"/>
          </w:tcPr>
          <w:p>
            <w:r/>
            <w:r>
              <w:rPr>
                <w:b/>
                <w:sz w:val="20"/>
              </w:rPr>
              <w:t>Difficulty</w:t>
            </w:r>
          </w:p>
        </w:tc>
        <w:tc>
          <w:tcPr>
            <w:tcW w:type="dxa" w:w="4873"/>
          </w:tcPr>
          <w:p>
            <w:r/>
            <w:r>
              <w:rPr>
                <w:sz w:val="20"/>
              </w:rPr>
              <w:t>advanced</w:t>
            </w:r>
          </w:p>
        </w:tc>
      </w:tr>
      <w:tr>
        <w:tc>
          <w:tcPr>
            <w:tcW w:type="dxa" w:w="4873"/>
          </w:tcPr>
          <w:p>
            <w:r/>
            <w:r>
              <w:rPr>
                <w:b/>
                <w:sz w:val="20"/>
              </w:rPr>
              <w:t>Task type</w:t>
            </w:r>
          </w:p>
        </w:tc>
        <w:tc>
          <w:tcPr>
            <w:tcW w:type="dxa" w:w="4873"/>
          </w:tcPr>
          <w:p>
            <w:r/>
            <w:r>
              <w:rPr>
                <w:sz w:val="20"/>
              </w:rPr>
              <w:t>explanation</w:t>
            </w:r>
          </w:p>
        </w:tc>
      </w:tr>
      <w:tr>
        <w:tc>
          <w:tcPr>
            <w:tcW w:type="dxa" w:w="4873"/>
          </w:tcPr>
          <w:p>
            <w:r/>
            <w:r>
              <w:rPr>
                <w:b/>
                <w:sz w:val="20"/>
              </w:rPr>
              <w:t>Topic tags</w:t>
            </w:r>
          </w:p>
        </w:tc>
        <w:tc>
          <w:tcPr>
            <w:tcW w:type="dxa" w:w="4873"/>
          </w:tcPr>
          <w:p>
            <w:r/>
            <w:r>
              <w:rPr>
                <w:sz w:val="20"/>
              </w:rPr>
              <w:t>significant_judgments, disclosure</w:t>
            </w:r>
          </w:p>
        </w:tc>
      </w:tr>
      <w:tr>
        <w:tc>
          <w:tcPr>
            <w:tcW w:type="dxa" w:w="4873"/>
          </w:tcPr>
          <w:p>
            <w:r/>
            <w:r>
              <w:rPr>
                <w:b/>
                <w:sz w:val="20"/>
              </w:rPr>
              <w:t>Required skills</w:t>
            </w:r>
          </w:p>
        </w:tc>
        <w:tc>
          <w:tcPr>
            <w:tcW w:type="dxa" w:w="4873"/>
          </w:tcPr>
          <w:p>
            <w:r/>
            <w:r>
              <w:rPr>
                <w:sz w:val="20"/>
              </w:rPr>
              <w:t>disclosure_analysis, judgment</w:t>
            </w:r>
          </w:p>
        </w:tc>
      </w:tr>
      <w:tr>
        <w:tc>
          <w:tcPr>
            <w:tcW w:type="dxa" w:w="4873"/>
          </w:tcPr>
          <w:p>
            <w:r/>
            <w:r>
              <w:rPr>
                <w:b/>
                <w:sz w:val="20"/>
              </w:rPr>
              <w:t>Authoritative refs</w:t>
            </w:r>
          </w:p>
        </w:tc>
        <w:tc>
          <w:tcPr>
            <w:tcW w:type="dxa" w:w="4873"/>
          </w:tcPr>
          <w:p>
            <w:r/>
            <w:r>
              <w:rPr>
                <w:sz w:val="20"/>
              </w:rPr>
              <w:t>ASC 606-10-50-17, ASC 606-10-50-19, ASC 606-10-50-21</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an expert US-GAAP technical accounting assistant specializing in FASB ASC Topic 606, Revenue from Contracts with Customers, and related guidance (including ASC 340-40). Analyze the facts, identify applicable authoritative guidance, state assumptions, show calculations where relevant, and never fabricate citations. Distinguish authoritative requirements from interpretive commentary.</w:t>
      </w:r>
    </w:p>
    <w:p>
      <w:pPr>
        <w:pStyle w:val="Heading4"/>
      </w:pPr>
      <w:r>
        <w:rPr>
          <w:color w:val="1F3864"/>
        </w:rPr>
        <w:t>User Prompt</w:t>
      </w:r>
    </w:p>
    <w:p>
      <w:pPr>
        <w:spacing w:line="312" w:lineRule="auto" w:after="120"/>
      </w:pPr>
      <w:r>
        <w:rPr>
          <w:rFonts w:ascii="Calibri" w:hAnsi="Calibri"/>
          <w:b w:val="0"/>
          <w:i w:val="0"/>
          <w:sz w:val="22"/>
        </w:rPr>
        <w:t>List the ASC 606 'significant judgments' disclosure requirements. Why is this disclosure important?</w:t>
      </w:r>
    </w:p>
    <w:p>
      <w:pPr>
        <w:pStyle w:val="Heading4"/>
      </w:pPr>
      <w:r>
        <w:rPr>
          <w:color w:val="1F3864"/>
        </w:rPr>
        <w:t>Assistant Answer (gold target)</w:t>
      </w:r>
    </w:p>
    <w:p>
      <w:pPr>
        <w:spacing w:line="312" w:lineRule="auto" w:after="120"/>
      </w:pPr>
      <w:r>
        <w:rPr>
          <w:rFonts w:ascii="Calibri" w:hAnsi="Calibri"/>
          <w:b w:val="0"/>
          <w:i w:val="0"/>
          <w:sz w:val="22"/>
        </w:rPr>
        <w:t>ASC 606-10-50-17 through 50-21 (verify against the Codification) require disclosure of significant judgments in applying ASC 606:</w:t>
        <w:br/>
        <w:br/>
        <w:t>1. **Performance obligations**: judgments about whether promised goods or services are distinct, whether the promise is a stand-ready obligation, series treatment, and material rights.</w:t>
        <w:br/>
        <w:br/>
        <w:t>2. **Transaction price**: judgments about estimation methods (expected-value vs. most-likely-amount), constraint analysis, significant financing component analysis, noncash consideration measurement, and consideration payable to a customer treatment.</w:t>
        <w:br/>
        <w:br/>
        <w:t>3. **Allocation of transaction price**: methods used to estimate SSPs (adjusted market assessment, expected-cost-plus-margin, residual approach), evidence considered, and significant changes in estimates.</w:t>
        <w:br/>
        <w:br/>
        <w:t>4. **Timing of revenue recognition**: judgments about point-in-time vs. over-time recognition, criteria applied (e.g., the 25-27 over-time criteria), measures of progress used, and substantive acceptance criteria.</w:t>
        <w:br/>
        <w:br/>
        <w:t>5. **Obligations and rights**: judgments about whether performance obligations are satisfied at a point in time vs. over time, the nature of obligations under warranties, returns, options, and repurchase agreements.</w:t>
        <w:br/>
        <w:br/>
        <w:t>Why this disclosure is important:</w:t>
        <w:br/>
        <w:br/>
        <w:t xml:space="preserve">  - **Comparability**: enables users to compare entities' revenue recognition practices. Without these disclosures, users cannot tell whether differences in revenue timing reflect economic substance or accounting policy choices.</w:t>
        <w:br/>
        <w:br/>
        <w:t xml:space="preserve">  - **Forecasting**: users can model future revenue based on disclosed contract balances (contract assets, liabilities, RPO). Without significant-judgment disclosure, users cannot assess the reliability of the entity's estimates.</w:t>
        <w:br/>
        <w:br/>
        <w:t xml:space="preserve">  - **Risk assessment**: users can identify entities that use aggressive estimation (e.g., minimal constraint application, optimistic variable consideration estimates) vs. conservative estimation. This affects expected-credit-loss and earnings-quality assessments.</w:t>
        <w:br/>
        <w:br/>
        <w:t xml:space="preserve">  - **Audit trail**: the disclosure forces the entity to document its judgments, supporting audit and regulatory review.</w:t>
        <w:br/>
        <w:br/>
        <w:t>Common pitfalls:</w:t>
        <w:br/>
        <w:t xml:space="preserve">  - Boilerplate disclosures that do not address the entity's specific facts.</w:t>
        <w:br/>
        <w:t xml:space="preserve">  - Omitting disclosure of changes in estimation methods between periods.</w:t>
        <w:br/>
        <w:t xml:space="preserve">  - Failing to disclose the basis for SSP estimation when observable prices are unavailable.</w:t>
        <w:br/>
        <w:t xml:space="preserve">  - Treating disclosure as a checklist exercise rather than a faithful representation of the entity's judgments.</w:t>
      </w:r>
    </w:p>
    <w:p>
      <w:pPr>
        <w:pStyle w:val="Heading3"/>
      </w:pPr>
      <w:r>
        <w:rPr>
          <w:color w:val="1F3864"/>
        </w:rPr>
        <w:t>M9-E-0001</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Module</w:t>
            </w:r>
          </w:p>
        </w:tc>
        <w:tc>
          <w:tcPr>
            <w:tcW w:type="dxa" w:w="4873"/>
          </w:tcPr>
          <w:p>
            <w:r/>
            <w:r>
              <w:rPr>
                <w:sz w:val="20"/>
              </w:rPr>
              <w:t>M9</w:t>
            </w:r>
          </w:p>
        </w:tc>
      </w:tr>
      <w:tr>
        <w:tc>
          <w:tcPr>
            <w:tcW w:type="dxa" w:w="4873"/>
          </w:tcPr>
          <w:p>
            <w:r/>
            <w:r>
              <w:rPr>
                <w:b/>
                <w:sz w:val="20"/>
              </w:rPr>
              <w:t>Difficulty</w:t>
            </w:r>
          </w:p>
        </w:tc>
        <w:tc>
          <w:tcPr>
            <w:tcW w:type="dxa" w:w="4873"/>
          </w:tcPr>
          <w:p>
            <w:r/>
            <w:r>
              <w:rPr>
                <w:sz w:val="20"/>
              </w:rPr>
              <w:t>expert</w:t>
            </w:r>
          </w:p>
        </w:tc>
      </w:tr>
      <w:tr>
        <w:tc>
          <w:tcPr>
            <w:tcW w:type="dxa" w:w="4873"/>
          </w:tcPr>
          <w:p>
            <w:r/>
            <w:r>
              <w:rPr>
                <w:b/>
                <w:sz w:val="20"/>
              </w:rPr>
              <w:t>Task type</w:t>
            </w:r>
          </w:p>
        </w:tc>
        <w:tc>
          <w:tcPr>
            <w:tcW w:type="dxa" w:w="4873"/>
          </w:tcPr>
          <w:p>
            <w:r/>
            <w:r>
              <w:rPr>
                <w:sz w:val="20"/>
              </w:rPr>
              <w:t>memo</w:t>
            </w:r>
          </w:p>
        </w:tc>
      </w:tr>
      <w:tr>
        <w:tc>
          <w:tcPr>
            <w:tcW w:type="dxa" w:w="4873"/>
          </w:tcPr>
          <w:p>
            <w:r/>
            <w:r>
              <w:rPr>
                <w:b/>
                <w:sz w:val="20"/>
              </w:rPr>
              <w:t>Topic tags</w:t>
            </w:r>
          </w:p>
        </w:tc>
        <w:tc>
          <w:tcPr>
            <w:tcW w:type="dxa" w:w="4873"/>
          </w:tcPr>
          <w:p>
            <w:r/>
            <w:r>
              <w:rPr>
                <w:sz w:val="20"/>
              </w:rPr>
              <w:t>internal_controls, memo, governance</w:t>
            </w:r>
          </w:p>
        </w:tc>
      </w:tr>
      <w:tr>
        <w:tc>
          <w:tcPr>
            <w:tcW w:type="dxa" w:w="4873"/>
          </w:tcPr>
          <w:p>
            <w:r/>
            <w:r>
              <w:rPr>
                <w:b/>
                <w:sz w:val="20"/>
              </w:rPr>
              <w:t>Required skills</w:t>
            </w:r>
          </w:p>
        </w:tc>
        <w:tc>
          <w:tcPr>
            <w:tcW w:type="dxa" w:w="4873"/>
          </w:tcPr>
          <w:p>
            <w:r/>
            <w:r>
              <w:rPr>
                <w:sz w:val="20"/>
              </w:rPr>
              <w:t>controls_design, governance, memo_writing</w:t>
            </w:r>
          </w:p>
        </w:tc>
      </w:tr>
      <w:tr>
        <w:tc>
          <w:tcPr>
            <w:tcW w:type="dxa" w:w="4873"/>
          </w:tcPr>
          <w:p>
            <w:r/>
            <w:r>
              <w:rPr>
                <w:b/>
                <w:sz w:val="20"/>
              </w:rPr>
              <w:t>Authoritative refs</w:t>
            </w:r>
          </w:p>
        </w:tc>
        <w:tc>
          <w:tcPr>
            <w:tcW w:type="dxa" w:w="4873"/>
          </w:tcPr>
          <w:p>
            <w:r/>
            <w:r>
              <w:rPr>
                <w:sz w:val="20"/>
              </w:rPr>
              <w:t>ASC 606-10-50</w:t>
            </w:r>
          </w:p>
        </w:tc>
      </w:tr>
    </w:tbl>
    <w:p>
      <w:pPr>
        <w:spacing w:after="80"/>
      </w:pPr>
    </w:p>
    <w:p>
      <w:pPr>
        <w:pStyle w:val="Heading4"/>
      </w:pPr>
      <w:r>
        <w:rPr>
          <w:color w:val="1F3864"/>
        </w:rPr>
        <w:t>System Prompt (role)</w:t>
      </w:r>
    </w:p>
    <w:p>
      <w:pPr>
        <w:spacing w:line="312" w:lineRule="auto" w:after="120"/>
      </w:pPr>
      <w:r>
        <w:rPr>
          <w:rFonts w:ascii="Calibri" w:hAnsi="Calibri"/>
          <w:b w:val="0"/>
          <w:i/>
          <w:color w:val="606060"/>
          <w:sz w:val="20"/>
        </w:rPr>
        <w:t>You are a senior technical accounting memo writer. Use an issue-by-issue structure: issue, authoritative guidance, facts, analysis, conclusion, contrary arguments, missing evidence, and required controls.</w:t>
      </w:r>
    </w:p>
    <w:p>
      <w:pPr>
        <w:pStyle w:val="Heading4"/>
      </w:pPr>
      <w:r>
        <w:rPr>
          <w:color w:val="1F3864"/>
        </w:rPr>
        <w:t>User Prompt</w:t>
      </w:r>
    </w:p>
    <w:p>
      <w:pPr>
        <w:spacing w:line="312" w:lineRule="auto" w:after="120"/>
      </w:pPr>
      <w:r>
        <w:rPr>
          <w:rFonts w:ascii="Calibri" w:hAnsi="Calibri"/>
          <w:b w:val="0"/>
          <w:i w:val="0"/>
          <w:sz w:val="22"/>
        </w:rPr>
        <w:t>Design an end-to-end internal control framework for ASC 606 revenue recognition.</w:t>
      </w:r>
    </w:p>
    <w:p>
      <w:pPr>
        <w:pStyle w:val="Heading4"/>
      </w:pPr>
      <w:r>
        <w:rPr>
          <w:color w:val="1F3864"/>
        </w:rPr>
        <w:t>Assistant Answer (gold target)</w:t>
      </w:r>
    </w:p>
    <w:p>
      <w:pPr>
        <w:spacing w:line="312" w:lineRule="auto" w:after="120"/>
      </w:pPr>
      <w:r>
        <w:rPr>
          <w:rFonts w:ascii="Calibri" w:hAnsi="Calibri"/>
          <w:b w:val="0"/>
          <w:i w:val="0"/>
          <w:sz w:val="22"/>
        </w:rPr>
        <w:t>MEMORANDUM — End-to-End ASC 606 Internal Control Framework</w:t>
        <w:br/>
        <w:br/>
        <w:t>ISSUE: Design a controls framework covering ASC 606 across the contract lifecycle.</w:t>
        <w:br/>
        <w:br/>
        <w:t>SCOPE: Contract approval, contract review, PO identification, SSP governance, variable consideration estimation, revenue cutoff, contract modifications, manual journal entries, contract asset reconciliation, and disclosure preparation.</w:t>
        <w:br/>
        <w:br/>
        <w:t>AUTHORITATIVE GUIDANCE: ASC 606; COSO Internal Control — Integrated Framework; PCAOB AS 2201 (audit of internal control); SEC SAB 99 (materiality); Sarbanes-Oxley Section 404 (for SEC registrants). Verify against the licensed Codification.</w:t>
        <w:br/>
        <w:br/>
        <w:t>CONTROL FRAMEWORK:</w:t>
        <w:br/>
        <w:br/>
        <w:t>1. Contract Approval Control:</w:t>
        <w:br/>
        <w:t xml:space="preserve">  Risk: contracts with non-compliant terms; collectibility not properly assessed.</w:t>
        <w:br/>
        <w:t xml:space="preserve">  Controls:</w:t>
        <w:br/>
        <w:t xml:space="preserve">  - Preventive: contract template with required fields; approval matrix by deal size/type; legal review for non-standard terms.</w:t>
        <w:br/>
        <w:t xml:space="preserve">  - Detective: monthly review of new contracts for compliance with approval matrix.</w:t>
        <w:br/>
        <w:t xml:space="preserve">  Owner: Sales Operations + Legal.</w:t>
        <w:br/>
        <w:t xml:space="preserve">  Frequency: per contract (preventive); monthly (detective).</w:t>
        <w:br/>
        <w:t xml:space="preserve">  Evidence: signed approval matrix, contract log.</w:t>
        <w:br/>
        <w:br/>
        <w:t>2. Contract Review Control:</w:t>
        <w:br/>
        <w:t xml:space="preserve">  Risk: ASC 606 criteria not properly evaluated (collectibility, commercial substance, identifiable rights/payment terms).</w:t>
        <w:br/>
        <w:t xml:space="preserve">  Control: revenue operations review of each new contract for ASC 606 criteria; documentation of conclusion.</w:t>
        <w:br/>
        <w:t xml:space="preserve">  Owner: Revenue Operations.</w:t>
        <w:br/>
        <w:t xml:space="preserve">  Frequency: per contract.</w:t>
        <w:br/>
        <w:t xml:space="preserve">  Evidence: contract review checklist; revenue decision memorandum.</w:t>
        <w:br/>
        <w:br/>
        <w:t>3. Performance Obligation Identification Control:</w:t>
        <w:br/>
        <w:t xml:space="preserve">  Risk: POs misidentified (over-bundling or over-splitting).</w:t>
        <w:br/>
        <w:t xml:space="preserve">  Control: PO analysis by revenue operations; review by technical accounting for non-standard arrangements.</w:t>
        <w:br/>
        <w:t xml:space="preserve">  Owner: Revenue Operations + Technical Accounting.</w:t>
        <w:br/>
        <w:t xml:space="preserve">  Frequency: per contract.</w:t>
        <w:br/>
        <w:t xml:space="preserve">  Evidence: PO identification memo.</w:t>
        <w:br/>
        <w:br/>
        <w:t>4. SSP Governance Control:</w:t>
        <w:br/>
        <w:t xml:space="preserve">  Risk: SSP estimation unsupported, inconsistent, or manipulated.</w:t>
        <w:br/>
        <w:t xml:space="preserve">  Control:</w:t>
        <w:br/>
        <w:t xml:space="preserve">  - Quarterly SSP policy review by Revenue Operations.</w:t>
        <w:br/>
        <w:t xml:space="preserve">  - SSP estimation methodology approval by Technical Accounting.</w:t>
        <w:br/>
        <w:t xml:space="preserve">  - Annual external auditor review of methodology and inputs.</w:t>
        <w:br/>
        <w:t xml:space="preserve">  - Exception reporting for SSPs outside tolerance bands.</w:t>
        <w:br/>
        <w:t xml:space="preserve">  Owner: Technical Accounting.</w:t>
        <w:br/>
        <w:t xml:space="preserve">  Frequency: quarterly.</w:t>
        <w:br/>
        <w:t xml:space="preserve">  Evidence: SSP methodology memo; quarterly SSP update log.</w:t>
        <w:br/>
        <w:br/>
        <w:t>5. Variable Consideration Estimation Control:</w:t>
        <w:br/>
        <w:t xml:space="preserve">  Risk: estimates biased toward early recognition; constraint not properly applied.</w:t>
        <w:br/>
        <w:t xml:space="preserve">  Control:</w:t>
        <w:br/>
        <w:t xml:space="preserve">  - Estimation methodology documented.</w:t>
        <w:br/>
        <w:t xml:space="preserve">  - Constraint analysis documented with evidence (historical experience, susceptibility to outside factors, range of outcomes).</w:t>
        <w:br/>
        <w:t xml:space="preserve">  - Independent review by Technical Accounting for material variable consideration items.</w:t>
        <w:br/>
        <w:t xml:space="preserve">  - Quarterly reassessment with cumulative catch-up calculation.</w:t>
        <w:br/>
        <w:t xml:space="preserve">  Owner: Revenue Operations + Technical Accounting.</w:t>
        <w:br/>
        <w:t xml:space="preserve">  Frequency: quarterly.</w:t>
        <w:br/>
        <w:t xml:space="preserve">  Evidence: estimation memo; constraint analysis memo.</w:t>
        <w:br/>
        <w:br/>
        <w:t>6. Revenue Cutoff Control:</w:t>
        <w:br/>
        <w:t xml:space="preserve">  Risk: revenue recorded in wrong period (early/late recognition).</w:t>
        <w:br/>
        <w:t xml:space="preserve">  Control:</w:t>
        <w:br/>
        <w:t xml:space="preserve">  - Period-end review of pre- and post-cutoff shipments/deliveries.</w:t>
        <w:br/>
        <w:t xml:space="preserve">  - Reconciliation of unbilled revenue.</w:t>
        <w:br/>
        <w:t xml:space="preserve">  - Review of over-time revenue calculations for cutoff period.</w:t>
        <w:br/>
        <w:t xml:space="preserve">  - IT general controls over revenue system.</w:t>
        <w:br/>
        <w:t xml:space="preserve">  Owner: Revenue Accounting.</w:t>
        <w:br/>
        <w:t xml:space="preserve">  Frequency: monthly close.</w:t>
        <w:br/>
        <w:t xml:space="preserve">  Evidence: cutoff review memo; reconciliation.</w:t>
        <w:br/>
        <w:br/>
        <w:t>7. Contract Modification Control:</w:t>
        <w:br/>
        <w:t xml:space="preserve">  Risk: modifications not properly evaluated for separate-contract vs. prospective vs. cumulative catch-up.</w:t>
        <w:br/>
        <w:t xml:space="preserve">  Control: modification review by Revenue Operations and Technical Accounting; documentation of treatment.</w:t>
        <w:br/>
        <w:t xml:space="preserve">  Owner: Revenue Operations + Technical Accounting.</w:t>
        <w:br/>
        <w:t xml:space="preserve">  Frequency: per modification.</w:t>
        <w:br/>
        <w:t xml:space="preserve">  Evidence: modification memo.</w:t>
        <w:br/>
        <w:br/>
        <w:t>8. Manual Journal Entries Control:</w:t>
        <w:br/>
        <w:t xml:space="preserve">  Risk: unauthorized or unsupported manual revenue adjustments.</w:t>
        <w:br/>
        <w:t xml:space="preserve">  Control:</w:t>
        <w:br/>
        <w:t xml:space="preserve">  - Maker-checker approval for material manual entries.</w:t>
        <w:br/>
        <w:t xml:space="preserve">  - Documentation of business rationale.</w:t>
        <w:br/>
        <w:t xml:space="preserve">  - Monthly review of manual entries by Controller.</w:t>
        <w:br/>
        <w:t xml:space="preserve">  Owner: Controller.</w:t>
        <w:br/>
        <w:t xml:space="preserve">  Frequency: per entry; monthly review.</w:t>
        <w:br/>
        <w:t xml:space="preserve">  Evidence: approval log; monthly review memo.</w:t>
        <w:br/>
        <w:br/>
        <w:t>9. Contract Asset Reconciliation Control:</w:t>
        <w:br/>
        <w:t xml:space="preserve">  Risk: contract assets misstated; performance risk not properly considered.</w:t>
        <w:br/>
        <w:t xml:space="preserve">  Control: monthly reconciliation of contract asset balances to subledger and supporting documentation.</w:t>
        <w:br/>
        <w:t xml:space="preserve">  Owner: Revenue Accounting.</w:t>
        <w:br/>
        <w:t xml:space="preserve">  Frequency: monthly close.</w:t>
        <w:br/>
        <w:t xml:space="preserve">  Evidence: reconciliation.</w:t>
        <w:br/>
        <w:br/>
        <w:t>10. Disclosure Preparation Control:</w:t>
        <w:br/>
        <w:t xml:space="preserve">  Risk: ASC 606-10-50 disclosures incomplete or inaccurate.</w:t>
        <w:br/>
        <w:t xml:space="preserve">  Control:</w:t>
        <w:br/>
        <w:t xml:space="preserve">  - Disclosure checklist completed each period.</w:t>
        <w:br/>
        <w:t xml:space="preserve">  - Review by Disclosure Committee.</w:t>
        <w:br/>
        <w:t xml:space="preserve">  - External auditor review.</w:t>
        <w:br/>
        <w:t xml:space="preserve">  Owner: Financial Reporting.</w:t>
        <w:br/>
        <w:t xml:space="preserve">  Frequency: quarterly/annual.</w:t>
        <w:br/>
        <w:t xml:space="preserve">  Evidence: disclosure checklist; Disclosure Committee minutes.</w:t>
        <w:br/>
        <w:br/>
        <w:t>Management Override Risk:</w:t>
        <w:br/>
        <w:t xml:space="preserve">  - Maintain anonymous whistleblower channel.</w:t>
        <w:br/>
        <w:t xml:space="preserve">  - Audit committee review of significant non-routine transactions.</w:t>
        <w:br/>
        <w:t xml:space="preserve">  - Internal audit quarterly testing of revenue estimates.</w:t>
        <w:br/>
        <w:br/>
        <w:t>Test of Controls:</w:t>
        <w:br/>
        <w:t xml:space="preserve">  - Walkthroughs annually for design effectiveness.</w:t>
        <w:br/>
        <w:t xml:space="preserve">  - Sample testing quarterly for operating effectiveness.</w:t>
        <w:br/>
        <w:t xml:space="preserve">  - Continuous controls monitoring (IT-based) for high-volume controls.</w:t>
      </w:r>
    </w:p>
    <w:p>
      <w:pPr>
        <w:pStyle w:val="Heading1"/>
      </w:pPr>
      <w:r>
        <w:rPr>
          <w:color w:val="1F3864"/>
        </w:rPr>
        <w:t>6. Source Code Listings</w:t>
      </w:r>
    </w:p>
    <w:p>
      <w:pPr>
        <w:spacing w:line="312" w:lineRule="auto" w:after="120"/>
      </w:pPr>
      <w:r>
        <w:rPr>
          <w:rFonts w:ascii="Calibri" w:hAnsi="Calibri"/>
          <w:b w:val="0"/>
          <w:i w:val="0"/>
          <w:sz w:val="22"/>
        </w:rPr>
        <w:t>This section reproduces the project's Python source code verbatim. All files live under src/asc606_trainer/, scripts/, tests/, and config/ in the project repository.</w:t>
      </w:r>
    </w:p>
    <w:p>
      <w:pPr>
        <w:pStyle w:val="Heading2"/>
      </w:pPr>
      <w:r>
        <w:rPr>
          <w:color w:val="1F3864"/>
        </w:rPr>
        <w:t>6.1 File Index</w:t>
      </w:r>
    </w:p>
    <w:tbl>
      <w:tblPr>
        <w:tblStyle w:val="LightGrid-Accent1"/>
        <w:tblW w:type="auto" w:w="0"/>
        <w:tblLook w:firstColumn="1" w:firstRow="1" w:lastColumn="0" w:lastRow="0" w:noHBand="0" w:noVBand="1" w:val="04A0"/>
      </w:tblPr>
      <w:tblGrid>
        <w:gridCol w:w="4873"/>
        <w:gridCol w:w="4873"/>
      </w:tblGrid>
      <w:tr>
        <w:tc>
          <w:tcPr>
            <w:tcW w:type="dxa" w:w="4873"/>
          </w:tcPr>
          <w:p>
            <w:r/>
            <w:r>
              <w:rPr>
                <w:b/>
                <w:sz w:val="20"/>
              </w:rPr>
              <w:t>File</w:t>
            </w:r>
          </w:p>
        </w:tc>
        <w:tc>
          <w:tcPr>
            <w:tcW w:type="dxa" w:w="4873"/>
          </w:tcPr>
          <w:p>
            <w:r/>
            <w:r>
              <w:rPr>
                <w:b/>
                <w:sz w:val="20"/>
              </w:rPr>
              <w:t>Description</w:t>
            </w:r>
          </w:p>
        </w:tc>
      </w:tr>
      <w:tr>
        <w:tc>
          <w:tcPr>
            <w:tcW w:type="dxa" w:w="4873"/>
          </w:tcPr>
          <w:p>
            <w:r/>
            <w:r>
              <w:rPr>
                <w:rFonts w:ascii="Consolas" w:hAnsi="Consolas"/>
                <w:sz w:val="18"/>
              </w:rPr>
              <w:t>src/asc606_trainer/__init__.py</w:t>
            </w:r>
          </w:p>
        </w:tc>
        <w:tc>
          <w:tcPr>
            <w:tcW w:type="dxa" w:w="4873"/>
          </w:tcPr>
          <w:p>
            <w:r/>
            <w:r>
              <w:rPr>
                <w:sz w:val="20"/>
              </w:rPr>
              <w:t>Package init</w:t>
            </w:r>
          </w:p>
        </w:tc>
      </w:tr>
      <w:tr>
        <w:tc>
          <w:tcPr>
            <w:tcW w:type="dxa" w:w="4873"/>
          </w:tcPr>
          <w:p>
            <w:r/>
            <w:r>
              <w:rPr>
                <w:rFonts w:ascii="Consolas" w:hAnsi="Consolas"/>
                <w:sz w:val="18"/>
              </w:rPr>
              <w:t>src/asc606_trainer/schema.py</w:t>
            </w:r>
          </w:p>
        </w:tc>
        <w:tc>
          <w:tcPr>
            <w:tcW w:type="dxa" w:w="4873"/>
          </w:tcPr>
          <w:p>
            <w:r/>
            <w:r>
              <w:rPr>
                <w:sz w:val="20"/>
              </w:rPr>
              <w:t>Pydantic data models</w:t>
            </w:r>
          </w:p>
        </w:tc>
      </w:tr>
      <w:tr>
        <w:tc>
          <w:tcPr>
            <w:tcW w:type="dxa" w:w="4873"/>
          </w:tcPr>
          <w:p>
            <w:r/>
            <w:r>
              <w:rPr>
                <w:rFonts w:ascii="Consolas" w:hAnsi="Consolas"/>
                <w:sz w:val="18"/>
              </w:rPr>
              <w:t>src/asc606_trainer/prompts.py</w:t>
            </w:r>
          </w:p>
        </w:tc>
        <w:tc>
          <w:tcPr>
            <w:tcW w:type="dxa" w:w="4873"/>
          </w:tcPr>
          <w:p>
            <w:r/>
            <w:r>
              <w:rPr>
                <w:sz w:val="20"/>
              </w:rPr>
              <w:t>Curriculum template library (truncated; see Section 5 for full content)</w:t>
            </w:r>
          </w:p>
        </w:tc>
      </w:tr>
      <w:tr>
        <w:tc>
          <w:tcPr>
            <w:tcW w:type="dxa" w:w="4873"/>
          </w:tcPr>
          <w:p>
            <w:r/>
            <w:r>
              <w:rPr>
                <w:rFonts w:ascii="Consolas" w:hAnsi="Consolas"/>
                <w:sz w:val="18"/>
              </w:rPr>
              <w:t>src/asc606_trainer/data_generator.py</w:t>
            </w:r>
          </w:p>
        </w:tc>
        <w:tc>
          <w:tcPr>
            <w:tcW w:type="dxa" w:w="4873"/>
          </w:tcPr>
          <w:p>
            <w:r/>
            <w:r>
              <w:rPr>
                <w:sz w:val="20"/>
              </w:rPr>
              <w:t>Training-record generator</w:t>
            </w:r>
          </w:p>
        </w:tc>
      </w:tr>
      <w:tr>
        <w:tc>
          <w:tcPr>
            <w:tcW w:type="dxa" w:w="4873"/>
          </w:tcPr>
          <w:p>
            <w:r/>
            <w:r>
              <w:rPr>
                <w:rFonts w:ascii="Consolas" w:hAnsi="Consolas"/>
                <w:sz w:val="18"/>
              </w:rPr>
              <w:t>src/asc606_trainer/validator.py</w:t>
            </w:r>
          </w:p>
        </w:tc>
        <w:tc>
          <w:tcPr>
            <w:tcW w:type="dxa" w:w="4873"/>
          </w:tcPr>
          <w:p>
            <w:r/>
            <w:r>
              <w:rPr>
                <w:sz w:val="20"/>
              </w:rPr>
              <w:t>JSONL + accounting-sanity validator</w:t>
            </w:r>
          </w:p>
        </w:tc>
      </w:tr>
      <w:tr>
        <w:tc>
          <w:tcPr>
            <w:tcW w:type="dxa" w:w="4873"/>
          </w:tcPr>
          <w:p>
            <w:r/>
            <w:r>
              <w:rPr>
                <w:rFonts w:ascii="Consolas" w:hAnsi="Consolas"/>
                <w:sz w:val="18"/>
              </w:rPr>
              <w:t>src/asc606_trainer/evaluator.py</w:t>
            </w:r>
          </w:p>
        </w:tc>
        <w:tc>
          <w:tcPr>
            <w:tcW w:type="dxa" w:w="4873"/>
          </w:tcPr>
          <w:p>
            <w:r/>
            <w:r>
              <w:rPr>
                <w:sz w:val="20"/>
              </w:rPr>
              <w:t>Rubric scorer + citation hallucination test</w:t>
            </w:r>
          </w:p>
        </w:tc>
      </w:tr>
      <w:tr>
        <w:tc>
          <w:tcPr>
            <w:tcW w:type="dxa" w:w="4873"/>
          </w:tcPr>
          <w:p>
            <w:r/>
            <w:r>
              <w:rPr>
                <w:rFonts w:ascii="Consolas" w:hAnsi="Consolas"/>
                <w:sz w:val="18"/>
              </w:rPr>
              <w:t>scripts/generate_dataset.py</w:t>
            </w:r>
          </w:p>
        </w:tc>
        <w:tc>
          <w:tcPr>
            <w:tcW w:type="dxa" w:w="4873"/>
          </w:tcPr>
          <w:p>
            <w:r/>
            <w:r>
              <w:rPr>
                <w:sz w:val="20"/>
              </w:rPr>
              <w:t>CLI: generate N records</w:t>
            </w:r>
          </w:p>
        </w:tc>
      </w:tr>
      <w:tr>
        <w:tc>
          <w:tcPr>
            <w:tcW w:type="dxa" w:w="4873"/>
          </w:tcPr>
          <w:p>
            <w:r/>
            <w:r>
              <w:rPr>
                <w:rFonts w:ascii="Consolas" w:hAnsi="Consolas"/>
                <w:sz w:val="18"/>
              </w:rPr>
              <w:t>scripts/validate_jsonl.py</w:t>
            </w:r>
          </w:p>
        </w:tc>
        <w:tc>
          <w:tcPr>
            <w:tcW w:type="dxa" w:w="4873"/>
          </w:tcPr>
          <w:p>
            <w:r/>
            <w:r>
              <w:rPr>
                <w:sz w:val="20"/>
              </w:rPr>
              <w:t>CLI: validate a JSONL file</w:t>
            </w:r>
          </w:p>
        </w:tc>
      </w:tr>
      <w:tr>
        <w:tc>
          <w:tcPr>
            <w:tcW w:type="dxa" w:w="4873"/>
          </w:tcPr>
          <w:p>
            <w:r/>
            <w:r>
              <w:rPr>
                <w:rFonts w:ascii="Consolas" w:hAnsi="Consolas"/>
                <w:sz w:val="18"/>
              </w:rPr>
              <w:t>scripts/split_dataset.py</w:t>
            </w:r>
          </w:p>
        </w:tc>
        <w:tc>
          <w:tcPr>
            <w:tcW w:type="dxa" w:w="4873"/>
          </w:tcPr>
          <w:p>
            <w:r/>
            <w:r>
              <w:rPr>
                <w:sz w:val="20"/>
              </w:rPr>
              <w:t>CLI: train/val/test split</w:t>
            </w:r>
          </w:p>
        </w:tc>
      </w:tr>
      <w:tr>
        <w:tc>
          <w:tcPr>
            <w:tcW w:type="dxa" w:w="4873"/>
          </w:tcPr>
          <w:p>
            <w:r/>
            <w:r>
              <w:rPr>
                <w:rFonts w:ascii="Consolas" w:hAnsi="Consolas"/>
                <w:sz w:val="18"/>
              </w:rPr>
              <w:t>scripts/train.py</w:t>
            </w:r>
          </w:p>
        </w:tc>
        <w:tc>
          <w:tcPr>
            <w:tcW w:type="dxa" w:w="4873"/>
          </w:tcPr>
          <w:p>
            <w:r/>
            <w:r>
              <w:rPr>
                <w:sz w:val="20"/>
              </w:rPr>
              <w:t>CLI: HuggingFace SFT trainer</w:t>
            </w:r>
          </w:p>
        </w:tc>
      </w:tr>
      <w:tr>
        <w:tc>
          <w:tcPr>
            <w:tcW w:type="dxa" w:w="4873"/>
          </w:tcPr>
          <w:p>
            <w:r/>
            <w:r>
              <w:rPr>
                <w:rFonts w:ascii="Consolas" w:hAnsi="Consolas"/>
                <w:sz w:val="18"/>
              </w:rPr>
              <w:t>scripts/infer.py</w:t>
            </w:r>
          </w:p>
        </w:tc>
        <w:tc>
          <w:tcPr>
            <w:tcW w:type="dxa" w:w="4873"/>
          </w:tcPr>
          <w:p>
            <w:r/>
            <w:r>
              <w:rPr>
                <w:sz w:val="20"/>
              </w:rPr>
              <w:t>CLI: inference on test set</w:t>
            </w:r>
          </w:p>
        </w:tc>
      </w:tr>
      <w:tr>
        <w:tc>
          <w:tcPr>
            <w:tcW w:type="dxa" w:w="4873"/>
          </w:tcPr>
          <w:p>
            <w:r/>
            <w:r>
              <w:rPr>
                <w:rFonts w:ascii="Consolas" w:hAnsi="Consolas"/>
                <w:sz w:val="18"/>
              </w:rPr>
              <w:t>scripts/evaluate.py</w:t>
            </w:r>
          </w:p>
        </w:tc>
        <w:tc>
          <w:tcPr>
            <w:tcW w:type="dxa" w:w="4873"/>
          </w:tcPr>
          <w:p>
            <w:r/>
            <w:r>
              <w:rPr>
                <w:sz w:val="20"/>
              </w:rPr>
              <w:t>CLI: rubric evaluation</w:t>
            </w:r>
          </w:p>
        </w:tc>
      </w:tr>
      <w:tr>
        <w:tc>
          <w:tcPr>
            <w:tcW w:type="dxa" w:w="4873"/>
          </w:tcPr>
          <w:p>
            <w:r/>
            <w:r>
              <w:rPr>
                <w:rFonts w:ascii="Consolas" w:hAnsi="Consolas"/>
                <w:sz w:val="18"/>
              </w:rPr>
              <w:t>tests/test_validator.py</w:t>
            </w:r>
          </w:p>
        </w:tc>
        <w:tc>
          <w:tcPr>
            <w:tcW w:type="dxa" w:w="4873"/>
          </w:tcPr>
          <w:p>
            <w:r/>
            <w:r>
              <w:rPr>
                <w:sz w:val="20"/>
              </w:rPr>
              <w:t>Pytest unit tests</w:t>
            </w:r>
          </w:p>
        </w:tc>
      </w:tr>
    </w:tbl>
    <w:p>
      <w:pPr>
        <w:spacing w:after="160"/>
      </w:pPr>
    </w:p>
    <w:p>
      <w:pPr>
        <w:pStyle w:val="Heading2"/>
      </w:pPr>
      <w:r>
        <w:rPr>
          <w:color w:val="1F3864"/>
        </w:rPr>
        <w:t>6.2 File Contents</w:t>
      </w:r>
    </w:p>
    <w:p>
      <w:pPr>
        <w:pStyle w:val="Heading3"/>
      </w:pPr>
      <w:r>
        <w:rPr>
          <w:color w:val="1F3864"/>
        </w:rPr>
        <w:t>src/asc606_trainer/__init__.py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"""ASC 606 LLM training toolkit.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Modules:</w:t>
            </w:r>
          </w:p>
          <w:p>
            <w:pPr>
              <w:spacing w:line="240" w:lineRule="auto" w:after="0"/>
              <w:ind w:left="0"/>
            </w:pPr>
            <w:r>
              <w:rPr>
                <w:rFonts w:ascii="Consolas" w:hAnsi="Consolas"/>
                <w:color w:val="1F3535"/>
                <w:sz w:val="18"/>
              </w:rPr>
              <w:t xml:space="preserve">    schema           - Pydantic data models</w:t>
            </w:r>
          </w:p>
          <w:p>
            <w:pPr>
              <w:spacing w:line="240" w:lineRule="auto" w:after="0"/>
              <w:ind w:left="0"/>
            </w:pPr>
            <w:r>
              <w:rPr>
                <w:rFonts w:ascii="Consolas" w:hAnsi="Consolas"/>
                <w:color w:val="1F3535"/>
                <w:sz w:val="18"/>
              </w:rPr>
              <w:t xml:space="preserve">    prompts          - Curriculum templates (M0-M11)</w:t>
            </w:r>
          </w:p>
          <w:p>
            <w:pPr>
              <w:spacing w:line="240" w:lineRule="auto" w:after="0"/>
              <w:ind w:left="0"/>
            </w:pPr>
            <w:r>
              <w:rPr>
                <w:rFonts w:ascii="Consolas" w:hAnsi="Consolas"/>
                <w:color w:val="1F3535"/>
                <w:sz w:val="18"/>
              </w:rPr>
              <w:t xml:space="preserve">    data_generator   - JSONL record construction</w:t>
            </w:r>
          </w:p>
          <w:p>
            <w:pPr>
              <w:spacing w:line="240" w:lineRule="auto" w:after="0"/>
              <w:ind w:left="0"/>
            </w:pPr>
            <w:r>
              <w:rPr>
                <w:rFonts w:ascii="Consolas" w:hAnsi="Consolas"/>
                <w:color w:val="1F3535"/>
                <w:sz w:val="18"/>
              </w:rPr>
              <w:t xml:space="preserve">    validator        - JSONL + accounting sanity checks</w:t>
            </w:r>
          </w:p>
          <w:p>
            <w:pPr>
              <w:spacing w:line="240" w:lineRule="auto" w:after="0"/>
              <w:ind w:left="0"/>
            </w:pPr>
            <w:r>
              <w:rPr>
                <w:rFonts w:ascii="Consolas" w:hAnsi="Consolas"/>
                <w:color w:val="1F3535"/>
                <w:sz w:val="18"/>
              </w:rPr>
              <w:t xml:space="preserve">    evaluator        - Rubric-based scoring</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__version__ = "0.1.0"</w:t>
            </w:r>
          </w:p>
          <w:p>
            <w:pPr>
              <w:spacing w:line="240" w:lineRule="auto" w:after="0"/>
              <w:ind w:left="0"/>
            </w:pPr>
            <w:r>
              <w:rPr>
                <w:rFonts w:ascii="Consolas" w:hAnsi="Consolas"/>
                <w:color w:val="1F3535"/>
                <w:sz w:val="18"/>
              </w:rPr>
              <w:t>__all__ = ["schema", "prompts", "data_generator", "validator", "evaluator"]</w:t>
            </w:r>
          </w:p>
          <w:p>
            <w:pPr>
              <w:spacing w:line="240" w:lineRule="auto" w:after="0"/>
              <w:ind w:left="0"/>
            </w:pPr>
            <w:r>
              <w:rPr>
                <w:rFonts w:ascii="Consolas" w:hAnsi="Consolas"/>
                <w:color w:val="1F3535"/>
                <w:sz w:val="18"/>
              </w:rPr>
            </w:r>
          </w:p>
        </w:tc>
      </w:tr>
    </w:tbl>
    <w:p>
      <w:pPr>
        <w:spacing w:after="80"/>
      </w:pPr>
    </w:p>
    <w:p>
      <w:pPr>
        <w:pStyle w:val="Heading3"/>
      </w:pPr>
      <w:r>
        <w:rPr>
          <w:color w:val="1F3864"/>
        </w:rPr>
        <w:t>src/asc606_trainer/schema.py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"""Pydantic data models for ASC 606 training records and manifests.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This module defines the canonical JSONL record schema used throughout the</w:t>
            </w:r>
          </w:p>
          <w:p>
            <w:pPr>
              <w:spacing w:line="240" w:lineRule="auto" w:after="0"/>
              <w:ind w:left="0"/>
            </w:pPr>
            <w:r>
              <w:rPr>
                <w:rFonts w:ascii="Consolas" w:hAnsi="Consolas"/>
                <w:color w:val="1F3535"/>
                <w:sz w:val="18"/>
              </w:rPr>
              <w:t>project.  All records that pass through `validator.py` and `data_generator.py`</w:t>
            </w:r>
          </w:p>
          <w:p>
            <w:pPr>
              <w:spacing w:line="240" w:lineRule="auto" w:after="0"/>
              <w:ind w:left="0"/>
            </w:pPr>
            <w:r>
              <w:rPr>
                <w:rFonts w:ascii="Consolas" w:hAnsi="Consolas"/>
                <w:color w:val="1F3535"/>
                <w:sz w:val="18"/>
              </w:rPr>
              <w:t>must conform to these models.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training record is intentionally minimal (a standard OpenAI-style chat</w:t>
            </w:r>
          </w:p>
          <w:p>
            <w:pPr>
              <w:spacing w:line="240" w:lineRule="auto" w:after="0"/>
              <w:ind w:left="0"/>
            </w:pPr>
            <w:r>
              <w:rPr>
                <w:rFonts w:ascii="Consolas" w:hAnsi="Consolas"/>
                <w:color w:val="1F3535"/>
                <w:sz w:val="18"/>
              </w:rPr>
              <w:t>format) so it can be consumed by HuggingFace `datasets`, TRL `SFTTrainer`,</w:t>
            </w:r>
          </w:p>
          <w:p>
            <w:pPr>
              <w:spacing w:line="240" w:lineRule="auto" w:after="0"/>
              <w:ind w:left="0"/>
            </w:pPr>
            <w:r>
              <w:rPr>
                <w:rFonts w:ascii="Consolas" w:hAnsi="Consolas"/>
                <w:color w:val="1F3535"/>
                <w:sz w:val="18"/>
              </w:rPr>
              <w:t>or any other chat-format fine-tuning pipeline.  The richer metadata lives in</w:t>
            </w:r>
          </w:p>
          <w:p>
            <w:pPr>
              <w:spacing w:line="240" w:lineRule="auto" w:after="0"/>
              <w:ind w:left="0"/>
            </w:pPr>
            <w:r>
              <w:rPr>
                <w:rFonts w:ascii="Consolas" w:hAnsi="Consolas"/>
                <w:color w:val="1F3535"/>
                <w:sz w:val="18"/>
              </w:rPr>
              <w:t>a companion manifest record, keyed by `record_id`.</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from enum import Enum</w:t>
            </w:r>
          </w:p>
          <w:p>
            <w:pPr>
              <w:spacing w:line="240" w:lineRule="auto" w:after="0"/>
              <w:ind w:left="0"/>
            </w:pPr>
            <w:r>
              <w:rPr>
                <w:rFonts w:ascii="Consolas" w:hAnsi="Consolas"/>
                <w:color w:val="1F3535"/>
                <w:sz w:val="18"/>
              </w:rPr>
              <w:t>from typing import Literal, Optional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from pydantic import BaseModel, Field, field_validator, ConfigDict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Enumerations</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ModuleId(str, Enum):</w:t>
            </w:r>
          </w:p>
          <w:p>
            <w:pPr>
              <w:spacing w:line="240" w:lineRule="auto" w:after="0"/>
              <w:ind w:left="0"/>
            </w:pPr>
            <w:r>
              <w:rPr>
                <w:rFonts w:ascii="Consolas" w:hAnsi="Consolas"/>
                <w:color w:val="1F3535"/>
                <w:sz w:val="18"/>
              </w:rPr>
              <w:t xml:space="preserve">    M0 = "M0"</w:t>
            </w:r>
          </w:p>
          <w:p>
            <w:pPr>
              <w:spacing w:line="240" w:lineRule="auto" w:after="0"/>
              <w:ind w:left="0"/>
            </w:pPr>
            <w:r>
              <w:rPr>
                <w:rFonts w:ascii="Consolas" w:hAnsi="Consolas"/>
                <w:color w:val="1F3535"/>
                <w:sz w:val="18"/>
              </w:rPr>
              <w:t xml:space="preserve">    M1 = "M1"</w:t>
            </w:r>
          </w:p>
          <w:p>
            <w:pPr>
              <w:spacing w:line="240" w:lineRule="auto" w:after="0"/>
              <w:ind w:left="0"/>
            </w:pPr>
            <w:r>
              <w:rPr>
                <w:rFonts w:ascii="Consolas" w:hAnsi="Consolas"/>
                <w:color w:val="1F3535"/>
                <w:sz w:val="18"/>
              </w:rPr>
              <w:t xml:space="preserve">    M2 = "M2"</w:t>
            </w:r>
          </w:p>
          <w:p>
            <w:pPr>
              <w:spacing w:line="240" w:lineRule="auto" w:after="0"/>
              <w:ind w:left="0"/>
            </w:pPr>
            <w:r>
              <w:rPr>
                <w:rFonts w:ascii="Consolas" w:hAnsi="Consolas"/>
                <w:color w:val="1F3535"/>
                <w:sz w:val="18"/>
              </w:rPr>
              <w:t xml:space="preserve">    M3 = "M3"</w:t>
            </w:r>
          </w:p>
          <w:p>
            <w:pPr>
              <w:spacing w:line="240" w:lineRule="auto" w:after="0"/>
              <w:ind w:left="0"/>
            </w:pPr>
            <w:r>
              <w:rPr>
                <w:rFonts w:ascii="Consolas" w:hAnsi="Consolas"/>
                <w:color w:val="1F3535"/>
                <w:sz w:val="18"/>
              </w:rPr>
              <w:t xml:space="preserve">    M4 = "M4"</w:t>
            </w:r>
          </w:p>
          <w:p>
            <w:pPr>
              <w:spacing w:line="240" w:lineRule="auto" w:after="0"/>
              <w:ind w:left="0"/>
            </w:pPr>
            <w:r>
              <w:rPr>
                <w:rFonts w:ascii="Consolas" w:hAnsi="Consolas"/>
                <w:color w:val="1F3535"/>
                <w:sz w:val="18"/>
              </w:rPr>
              <w:t xml:space="preserve">    M5 = "M5"</w:t>
            </w:r>
          </w:p>
          <w:p>
            <w:pPr>
              <w:spacing w:line="240" w:lineRule="auto" w:after="0"/>
              <w:ind w:left="0"/>
            </w:pPr>
            <w:r>
              <w:rPr>
                <w:rFonts w:ascii="Consolas" w:hAnsi="Consolas"/>
                <w:color w:val="1F3535"/>
                <w:sz w:val="18"/>
              </w:rPr>
              <w:t xml:space="preserve">    M6 = "M6"</w:t>
            </w:r>
          </w:p>
          <w:p>
            <w:pPr>
              <w:spacing w:line="240" w:lineRule="auto" w:after="0"/>
              <w:ind w:left="0"/>
            </w:pPr>
            <w:r>
              <w:rPr>
                <w:rFonts w:ascii="Consolas" w:hAnsi="Consolas"/>
                <w:color w:val="1F3535"/>
                <w:sz w:val="18"/>
              </w:rPr>
              <w:t xml:space="preserve">    M7 = "M7"</w:t>
            </w:r>
          </w:p>
          <w:p>
            <w:pPr>
              <w:spacing w:line="240" w:lineRule="auto" w:after="0"/>
              <w:ind w:left="0"/>
            </w:pPr>
            <w:r>
              <w:rPr>
                <w:rFonts w:ascii="Consolas" w:hAnsi="Consolas"/>
                <w:color w:val="1F3535"/>
                <w:sz w:val="18"/>
              </w:rPr>
              <w:t xml:space="preserve">    M8 = "M8"</w:t>
            </w:r>
          </w:p>
          <w:p>
            <w:pPr>
              <w:spacing w:line="240" w:lineRule="auto" w:after="0"/>
              <w:ind w:left="0"/>
            </w:pPr>
            <w:r>
              <w:rPr>
                <w:rFonts w:ascii="Consolas" w:hAnsi="Consolas"/>
                <w:color w:val="1F3535"/>
                <w:sz w:val="18"/>
              </w:rPr>
              <w:t xml:space="preserve">    M9 = "M9"</w:t>
            </w:r>
          </w:p>
          <w:p>
            <w:pPr>
              <w:spacing w:line="240" w:lineRule="auto" w:after="0"/>
              <w:ind w:left="0"/>
            </w:pPr>
            <w:r>
              <w:rPr>
                <w:rFonts w:ascii="Consolas" w:hAnsi="Consolas"/>
                <w:color w:val="1F3535"/>
                <w:sz w:val="18"/>
              </w:rPr>
              <w:t xml:space="preserve">    M10 = "M10"</w:t>
            </w:r>
          </w:p>
          <w:p>
            <w:pPr>
              <w:spacing w:line="240" w:lineRule="auto" w:after="0"/>
              <w:ind w:left="0"/>
            </w:pPr>
            <w:r>
              <w:rPr>
                <w:rFonts w:ascii="Consolas" w:hAnsi="Consolas"/>
                <w:color w:val="1F3535"/>
                <w:sz w:val="18"/>
              </w:rPr>
              <w:t xml:space="preserve">    M11 = "M11"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Difficulty(str, Enum):</w:t>
            </w:r>
          </w:p>
          <w:p>
            <w:pPr>
              <w:spacing w:line="240" w:lineRule="auto" w:after="0"/>
              <w:ind w:left="0"/>
            </w:pPr>
            <w:r>
              <w:rPr>
                <w:rFonts w:ascii="Consolas" w:hAnsi="Consolas"/>
                <w:color w:val="1F3535"/>
                <w:sz w:val="18"/>
              </w:rPr>
              <w:t xml:space="preserve">    BEGINNER = "beginner"</w:t>
            </w:r>
          </w:p>
          <w:p>
            <w:pPr>
              <w:spacing w:line="240" w:lineRule="auto" w:after="0"/>
              <w:ind w:left="0"/>
            </w:pPr>
            <w:r>
              <w:rPr>
                <w:rFonts w:ascii="Consolas" w:hAnsi="Consolas"/>
                <w:color w:val="1F3535"/>
                <w:sz w:val="18"/>
              </w:rPr>
              <w:t xml:space="preserve">    FOUNDATIONAL = "foundational"</w:t>
            </w:r>
          </w:p>
          <w:p>
            <w:pPr>
              <w:spacing w:line="240" w:lineRule="auto" w:after="0"/>
              <w:ind w:left="0"/>
            </w:pPr>
            <w:r>
              <w:rPr>
                <w:rFonts w:ascii="Consolas" w:hAnsi="Consolas"/>
                <w:color w:val="1F3535"/>
                <w:sz w:val="18"/>
              </w:rPr>
              <w:t xml:space="preserve">    INTERMEDIATE = "intermediate"</w:t>
            </w:r>
          </w:p>
          <w:p>
            <w:pPr>
              <w:spacing w:line="240" w:lineRule="auto" w:after="0"/>
              <w:ind w:left="0"/>
            </w:pPr>
            <w:r>
              <w:rPr>
                <w:rFonts w:ascii="Consolas" w:hAnsi="Consolas"/>
                <w:color w:val="1F3535"/>
                <w:sz w:val="18"/>
              </w:rPr>
              <w:t xml:space="preserve">    ADVANCED = "advanced"</w:t>
            </w:r>
          </w:p>
          <w:p>
            <w:pPr>
              <w:spacing w:line="240" w:lineRule="auto" w:after="0"/>
              <w:ind w:left="0"/>
            </w:pPr>
            <w:r>
              <w:rPr>
                <w:rFonts w:ascii="Consolas" w:hAnsi="Consolas"/>
                <w:color w:val="1F3535"/>
                <w:sz w:val="18"/>
              </w:rPr>
              <w:t xml:space="preserve">    EXPERT = "expert"</w:t>
            </w:r>
          </w:p>
          <w:p>
            <w:pPr>
              <w:spacing w:line="240" w:lineRule="auto" w:after="0"/>
              <w:ind w:left="0"/>
            </w:pPr>
            <w:r>
              <w:rPr>
                <w:rFonts w:ascii="Consolas" w:hAnsi="Consolas"/>
                <w:color w:val="1F3535"/>
                <w:sz w:val="18"/>
              </w:rPr>
              <w:t xml:space="preserve">    RESEARCH = "research"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TaskType(str, Enum):</w:t>
            </w:r>
          </w:p>
          <w:p>
            <w:pPr>
              <w:spacing w:line="240" w:lineRule="auto" w:after="0"/>
              <w:ind w:left="0"/>
            </w:pPr>
            <w:r>
              <w:rPr>
                <w:rFonts w:ascii="Consolas" w:hAnsi="Consolas"/>
                <w:color w:val="1F3535"/>
                <w:sz w:val="18"/>
              </w:rPr>
              <w:t xml:space="preserve">    EXPLANATION = "explanation"</w:t>
            </w:r>
          </w:p>
          <w:p>
            <w:pPr>
              <w:spacing w:line="240" w:lineRule="auto" w:after="0"/>
              <w:ind w:left="0"/>
            </w:pPr>
            <w:r>
              <w:rPr>
                <w:rFonts w:ascii="Consolas" w:hAnsi="Consolas"/>
                <w:color w:val="1F3535"/>
                <w:sz w:val="18"/>
              </w:rPr>
              <w:t xml:space="preserve">    DEFINITION = "definition"</w:t>
            </w:r>
          </w:p>
          <w:p>
            <w:pPr>
              <w:spacing w:line="240" w:lineRule="auto" w:after="0"/>
              <w:ind w:left="0"/>
            </w:pPr>
            <w:r>
              <w:rPr>
                <w:rFonts w:ascii="Consolas" w:hAnsi="Consolas"/>
                <w:color w:val="1F3535"/>
                <w:sz w:val="18"/>
              </w:rPr>
              <w:t xml:space="preserve">    NUMERICAL_CASE = "numerical_case"</w:t>
            </w:r>
          </w:p>
          <w:p>
            <w:pPr>
              <w:spacing w:line="240" w:lineRule="auto" w:after="0"/>
              <w:ind w:left="0"/>
            </w:pPr>
            <w:r>
              <w:rPr>
                <w:rFonts w:ascii="Consolas" w:hAnsi="Consolas"/>
                <w:color w:val="1F3535"/>
                <w:sz w:val="18"/>
              </w:rPr>
              <w:t xml:space="preserve">    JOURNAL_ENTRY = "journal_entry"</w:t>
            </w:r>
          </w:p>
          <w:p>
            <w:pPr>
              <w:spacing w:line="240" w:lineRule="auto" w:after="0"/>
              <w:ind w:left="0"/>
            </w:pPr>
            <w:r>
              <w:rPr>
                <w:rFonts w:ascii="Consolas" w:hAnsi="Consolas"/>
                <w:color w:val="1F3535"/>
                <w:sz w:val="18"/>
              </w:rPr>
              <w:t xml:space="preserve">    MEMO = "memo"</w:t>
            </w:r>
          </w:p>
          <w:p>
            <w:pPr>
              <w:spacing w:line="240" w:lineRule="auto" w:after="0"/>
              <w:ind w:left="0"/>
            </w:pPr>
            <w:r>
              <w:rPr>
                <w:rFonts w:ascii="Consolas" w:hAnsi="Consolas"/>
                <w:color w:val="1F3535"/>
                <w:sz w:val="18"/>
              </w:rPr>
              <w:t xml:space="preserve">    CRITIQUE = "critique"</w:t>
            </w:r>
          </w:p>
          <w:p>
            <w:pPr>
              <w:spacing w:line="240" w:lineRule="auto" w:after="0"/>
              <w:ind w:left="0"/>
            </w:pPr>
            <w:r>
              <w:rPr>
                <w:rFonts w:ascii="Consolas" w:hAnsi="Consolas"/>
                <w:color w:val="1F3535"/>
                <w:sz w:val="18"/>
              </w:rPr>
              <w:t xml:space="preserve">    CITATION_TRAP = "citation_trap"</w:t>
            </w:r>
          </w:p>
          <w:p>
            <w:pPr>
              <w:spacing w:line="240" w:lineRule="auto" w:after="0"/>
              <w:ind w:left="0"/>
            </w:pPr>
            <w:r>
              <w:rPr>
                <w:rFonts w:ascii="Consolas" w:hAnsi="Consolas"/>
                <w:color w:val="1F3535"/>
                <w:sz w:val="18"/>
              </w:rPr>
              <w:t xml:space="preserve">    ADVERSARIAL = "adversarial"</w:t>
            </w:r>
          </w:p>
          <w:p>
            <w:pPr>
              <w:spacing w:line="240" w:lineRule="auto" w:after="0"/>
              <w:ind w:left="0"/>
            </w:pPr>
            <w:r>
              <w:rPr>
                <w:rFonts w:ascii="Consolas" w:hAnsi="Consolas"/>
                <w:color w:val="1F3535"/>
                <w:sz w:val="18"/>
              </w:rPr>
              <w:t xml:space="preserve">    COMPARATIVE = "comparative"</w:t>
            </w:r>
          </w:p>
          <w:p>
            <w:pPr>
              <w:spacing w:line="240" w:lineRule="auto" w:after="0"/>
              <w:ind w:left="0"/>
            </w:pPr>
            <w:r>
              <w:rPr>
                <w:rFonts w:ascii="Consolas" w:hAnsi="Consolas"/>
                <w:color w:val="1F3535"/>
                <w:sz w:val="18"/>
              </w:rPr>
              <w:t xml:space="preserve">    RESEARCH = "research"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Split(str, Enum):</w:t>
            </w:r>
          </w:p>
          <w:p>
            <w:pPr>
              <w:spacing w:line="240" w:lineRule="auto" w:after="0"/>
              <w:ind w:left="0"/>
            </w:pPr>
            <w:r>
              <w:rPr>
                <w:rFonts w:ascii="Consolas" w:hAnsi="Consolas"/>
                <w:color w:val="1F3535"/>
                <w:sz w:val="18"/>
              </w:rPr>
              <w:t xml:space="preserve">    TRAIN = "train"</w:t>
            </w:r>
          </w:p>
          <w:p>
            <w:pPr>
              <w:spacing w:line="240" w:lineRule="auto" w:after="0"/>
              <w:ind w:left="0"/>
            </w:pPr>
            <w:r>
              <w:rPr>
                <w:rFonts w:ascii="Consolas" w:hAnsi="Consolas"/>
                <w:color w:val="1F3535"/>
                <w:sz w:val="18"/>
              </w:rPr>
              <w:t xml:space="preserve">    VALIDATION = "validation"</w:t>
            </w:r>
          </w:p>
          <w:p>
            <w:pPr>
              <w:spacing w:line="240" w:lineRule="auto" w:after="0"/>
              <w:ind w:left="0"/>
            </w:pPr>
            <w:r>
              <w:rPr>
                <w:rFonts w:ascii="Consolas" w:hAnsi="Consolas"/>
                <w:color w:val="1F3535"/>
                <w:sz w:val="18"/>
              </w:rPr>
              <w:t xml:space="preserve">    TEST = "test"</w:t>
            </w:r>
          </w:p>
          <w:p>
            <w:pPr>
              <w:spacing w:line="240" w:lineRule="auto" w:after="0"/>
              <w:ind w:left="0"/>
            </w:pPr>
            <w:r>
              <w:rPr>
                <w:rFonts w:ascii="Consolas" w:hAnsi="Consolas"/>
                <w:color w:val="1F3535"/>
                <w:sz w:val="18"/>
              </w:rPr>
              <w:t xml:space="preserve">    HOLDOUT = "holdout"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Provenance(str, Enum):</w:t>
            </w:r>
          </w:p>
          <w:p>
            <w:pPr>
              <w:spacing w:line="240" w:lineRule="auto" w:after="0"/>
              <w:ind w:left="0"/>
            </w:pPr>
            <w:r>
              <w:rPr>
                <w:rFonts w:ascii="Consolas" w:hAnsi="Consolas"/>
                <w:color w:val="1F3535"/>
                <w:sz w:val="18"/>
              </w:rPr>
              <w:t xml:space="preserve">    HUMAN_AUTHORED = "human-authored"</w:t>
            </w:r>
          </w:p>
          <w:p>
            <w:pPr>
              <w:spacing w:line="240" w:lineRule="auto" w:after="0"/>
              <w:ind w:left="0"/>
            </w:pPr>
            <w:r>
              <w:rPr>
                <w:rFonts w:ascii="Consolas" w:hAnsi="Consolas"/>
                <w:color w:val="1F3535"/>
                <w:sz w:val="18"/>
              </w:rPr>
              <w:t xml:space="preserve">    TEMPLATE_GENERATED = "template-generated"</w:t>
            </w:r>
          </w:p>
          <w:p>
            <w:pPr>
              <w:spacing w:line="240" w:lineRule="auto" w:after="0"/>
              <w:ind w:left="0"/>
            </w:pPr>
            <w:r>
              <w:rPr>
                <w:rFonts w:ascii="Consolas" w:hAnsi="Consolas"/>
                <w:color w:val="1F3535"/>
                <w:sz w:val="18"/>
              </w:rPr>
              <w:t xml:space="preserve">    HYBRID = "hybrid"</w:t>
            </w:r>
          </w:p>
          <w:p>
            <w:pPr>
              <w:spacing w:line="240" w:lineRule="auto" w:after="0"/>
              <w:ind w:left="0"/>
            </w:pPr>
            <w:r>
              <w:rPr>
                <w:rFonts w:ascii="Consolas" w:hAnsi="Consolas"/>
                <w:color w:val="1F3535"/>
                <w:sz w:val="18"/>
              </w:rPr>
              <w:t xml:space="preserve">    MODEL_GENERATED = "model-generated"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Chat record (the JSONL line that goes to the trainer)</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ChatMessage(BaseModel):</w:t>
            </w:r>
          </w:p>
          <w:p>
            <w:pPr>
              <w:spacing w:line="240" w:lineRule="auto" w:after="0"/>
              <w:ind w:left="0"/>
            </w:pPr>
            <w:r>
              <w:rPr>
                <w:rFonts w:ascii="Consolas" w:hAnsi="Consolas"/>
                <w:color w:val="1F3535"/>
                <w:sz w:val="18"/>
              </w:rPr>
              <w:t xml:space="preserve">    """A single chat message (system / user / assistant)."""</w:t>
            </w:r>
          </w:p>
          <w:p>
            <w:pPr>
              <w:spacing w:line="240" w:lineRule="auto" w:after="0"/>
              <w:ind w:left="0"/>
            </w:pPr>
            <w:r>
              <w:rPr>
                <w:rFonts w:ascii="Consolas" w:hAnsi="Consolas"/>
                <w:color w:val="1F3535"/>
                <w:sz w:val="18"/>
              </w:rPr>
              <w:t xml:space="preserve">    model_config = ConfigDict(extra="forbid")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role: Literal["system", "user", "assistant"]</w:t>
            </w:r>
          </w:p>
          <w:p>
            <w:pPr>
              <w:spacing w:line="240" w:lineRule="auto" w:after="0"/>
              <w:ind w:left="0"/>
            </w:pPr>
            <w:r>
              <w:rPr>
                <w:rFonts w:ascii="Consolas" w:hAnsi="Consolas"/>
                <w:color w:val="1F3535"/>
                <w:sz w:val="18"/>
              </w:rPr>
              <w:t xml:space="preserve">    content: str = Field(..., min_length=1, max_length=32_000)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TrainingRecord(BaseModel):</w:t>
            </w:r>
          </w:p>
          <w:p>
            <w:pPr>
              <w:spacing w:line="240" w:lineRule="auto" w:after="0"/>
              <w:ind w:left="0"/>
            </w:pPr>
            <w:r>
              <w:rPr>
                <w:rFonts w:ascii="Consolas" w:hAnsi="Consolas"/>
                <w:color w:val="1F3535"/>
                <w:sz w:val="18"/>
              </w:rPr>
              <w:t xml:space="preserve">    """Canonical training record: exactly 3 messages (system, user, assistant).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Some pipelines accept additional metadata fields; we keep those in the</w:t>
            </w:r>
          </w:p>
          <w:p>
            <w:pPr>
              <w:spacing w:line="240" w:lineRule="auto" w:after="0"/>
              <w:ind w:left="0"/>
            </w:pPr>
            <w:r>
              <w:rPr>
                <w:rFonts w:ascii="Consolas" w:hAnsi="Consolas"/>
                <w:color w:val="1F3535"/>
                <w:sz w:val="18"/>
              </w:rPr>
              <w:t xml:space="preserve">    manifest instead to maximize portability.</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model_config = ConfigDict(extra="allow")  # allow record_id etc. to ride along</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messages: list[ChatMessage] = Field(..., min_length=3, max_length=3)</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@field_validator("messages")</w:t>
            </w:r>
          </w:p>
          <w:p>
            <w:pPr>
              <w:spacing w:line="240" w:lineRule="auto" w:after="0"/>
              <w:ind w:left="0"/>
            </w:pPr>
            <w:r>
              <w:rPr>
                <w:rFonts w:ascii="Consolas" w:hAnsi="Consolas"/>
                <w:color w:val="1F3535"/>
                <w:sz w:val="18"/>
              </w:rPr>
              <w:t xml:space="preserve">    @classmethod</w:t>
            </w:r>
          </w:p>
          <w:p>
            <w:pPr>
              <w:spacing w:line="240" w:lineRule="auto" w:after="0"/>
              <w:ind w:left="0"/>
            </w:pPr>
            <w:r>
              <w:rPr>
                <w:rFonts w:ascii="Consolas" w:hAnsi="Consolas"/>
                <w:color w:val="1F3535"/>
                <w:sz w:val="18"/>
              </w:rPr>
              <w:t xml:space="preserve">    def _check_roles(cls, v: list[ChatMessage]) -&gt; list[ChatMessage]:</w:t>
            </w:r>
          </w:p>
          <w:p>
            <w:pPr>
              <w:spacing w:line="240" w:lineRule="auto" w:after="0"/>
              <w:ind w:left="0"/>
            </w:pPr>
            <w:r>
              <w:rPr>
                <w:rFonts w:ascii="Consolas" w:hAnsi="Consolas"/>
                <w:color w:val="1F3535"/>
                <w:sz w:val="18"/>
              </w:rPr>
              <w:t xml:space="preserve">        roles = [m.role for m in v]</w:t>
            </w:r>
          </w:p>
          <w:p>
            <w:pPr>
              <w:spacing w:line="240" w:lineRule="auto" w:after="0"/>
              <w:ind w:left="0"/>
            </w:pPr>
            <w:r>
              <w:rPr>
                <w:rFonts w:ascii="Consolas" w:hAnsi="Consolas"/>
                <w:color w:val="1F3535"/>
                <w:sz w:val="18"/>
              </w:rPr>
              <w:t xml:space="preserve">        if roles != ["system", "user", "assistant"]:</w:t>
            </w:r>
          </w:p>
          <w:p>
            <w:pPr>
              <w:spacing w:line="240" w:lineRule="auto" w:after="0"/>
              <w:ind w:left="0"/>
            </w:pPr>
            <w:r>
              <w:rPr>
                <w:rFonts w:ascii="Consolas" w:hAnsi="Consolas"/>
                <w:color w:val="1F3535"/>
                <w:sz w:val="18"/>
              </w:rPr>
              <w:t xml:space="preserve">            raise ValueError(</w:t>
            </w:r>
          </w:p>
          <w:p>
            <w:pPr>
              <w:spacing w:line="240" w:lineRule="auto" w:after="0"/>
              <w:ind w:left="0"/>
            </w:pPr>
            <w:r>
              <w:rPr>
                <w:rFonts w:ascii="Consolas" w:hAnsi="Consolas"/>
                <w:color w:val="1F3535"/>
                <w:sz w:val="18"/>
              </w:rPr>
              <w:t xml:space="preserve">                f"messages must be ordered [system, user, assistant]; got {roles}"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return v</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Manifest record (companion metadata, NOT fed to the trainer)</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ManifestRecord(BaseModel):</w:t>
            </w:r>
          </w:p>
          <w:p>
            <w:pPr>
              <w:spacing w:line="240" w:lineRule="auto" w:after="0"/>
              <w:ind w:left="0"/>
            </w:pPr>
            <w:r>
              <w:rPr>
                <w:rFonts w:ascii="Consolas" w:hAnsi="Consolas"/>
                <w:color w:val="1F3535"/>
                <w:sz w:val="18"/>
              </w:rPr>
              <w:t xml:space="preserve">    model_config = ConfigDict(extra="forbid")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record_id: str = Field(..., pattern=r"^ASC606-M\d+-[A-Z]-\d{4,}$")</w:t>
            </w:r>
          </w:p>
          <w:p>
            <w:pPr>
              <w:spacing w:line="240" w:lineRule="auto" w:after="0"/>
              <w:ind w:left="0"/>
            </w:pPr>
            <w:r>
              <w:rPr>
                <w:rFonts w:ascii="Consolas" w:hAnsi="Consolas"/>
                <w:color w:val="1F3535"/>
                <w:sz w:val="18"/>
              </w:rPr>
              <w:t xml:space="preserve">    module_id: ModuleId</w:t>
            </w:r>
          </w:p>
          <w:p>
            <w:pPr>
              <w:spacing w:line="240" w:lineRule="auto" w:after="0"/>
              <w:ind w:left="0"/>
            </w:pPr>
            <w:r>
              <w:rPr>
                <w:rFonts w:ascii="Consolas" w:hAnsi="Consolas"/>
                <w:color w:val="1F3535"/>
                <w:sz w:val="18"/>
              </w:rPr>
              <w:t xml:space="preserve">    difficulty: Difficulty</w:t>
            </w:r>
          </w:p>
          <w:p>
            <w:pPr>
              <w:spacing w:line="240" w:lineRule="auto" w:after="0"/>
              <w:ind w:left="0"/>
            </w:pPr>
            <w:r>
              <w:rPr>
                <w:rFonts w:ascii="Consolas" w:hAnsi="Consolas"/>
                <w:color w:val="1F3535"/>
                <w:sz w:val="18"/>
              </w:rPr>
              <w:t xml:space="preserve">    task_type: TaskType</w:t>
            </w:r>
          </w:p>
          <w:p>
            <w:pPr>
              <w:spacing w:line="240" w:lineRule="auto" w:after="0"/>
              <w:ind w:left="0"/>
            </w:pPr>
            <w:r>
              <w:rPr>
                <w:rFonts w:ascii="Consolas" w:hAnsi="Consolas"/>
                <w:color w:val="1F3535"/>
                <w:sz w:val="18"/>
              </w:rPr>
              <w:t xml:space="preserve">    topic_tags: list[str] = Field(default_factory=list, max_length=10)</w:t>
            </w:r>
          </w:p>
          <w:p>
            <w:pPr>
              <w:spacing w:line="240" w:lineRule="auto" w:after="0"/>
              <w:ind w:left="0"/>
            </w:pPr>
            <w:r>
              <w:rPr>
                <w:rFonts w:ascii="Consolas" w:hAnsi="Consolas"/>
                <w:color w:val="1F3535"/>
                <w:sz w:val="18"/>
              </w:rPr>
              <w:t xml:space="preserve">    facts: Optional[dict] = None</w:t>
            </w:r>
          </w:p>
          <w:p>
            <w:pPr>
              <w:spacing w:line="240" w:lineRule="auto" w:after="0"/>
              <w:ind w:left="0"/>
            </w:pPr>
            <w:r>
              <w:rPr>
                <w:rFonts w:ascii="Consolas" w:hAnsi="Consolas"/>
                <w:color w:val="1F3535"/>
                <w:sz w:val="18"/>
              </w:rPr>
              <w:t xml:space="preserve">    assumptions: list[str] = Field(default_factory=list)</w:t>
            </w:r>
          </w:p>
          <w:p>
            <w:pPr>
              <w:spacing w:line="240" w:lineRule="auto" w:after="0"/>
              <w:ind w:left="0"/>
            </w:pPr>
            <w:r>
              <w:rPr>
                <w:rFonts w:ascii="Consolas" w:hAnsi="Consolas"/>
                <w:color w:val="1F3535"/>
                <w:sz w:val="18"/>
              </w:rPr>
              <w:t xml:space="preserve">    expected_answer_summary: Optional[str] = None</w:t>
            </w:r>
          </w:p>
          <w:p>
            <w:pPr>
              <w:spacing w:line="240" w:lineRule="auto" w:after="0"/>
              <w:ind w:left="0"/>
            </w:pPr>
            <w:r>
              <w:rPr>
                <w:rFonts w:ascii="Consolas" w:hAnsi="Consolas"/>
                <w:color w:val="1F3535"/>
                <w:sz w:val="18"/>
              </w:rPr>
              <w:t xml:space="preserve">    required_skills: list[str] = Field(default_factory=list)</w:t>
            </w:r>
          </w:p>
          <w:p>
            <w:pPr>
              <w:spacing w:line="240" w:lineRule="auto" w:after="0"/>
              <w:ind w:left="0"/>
            </w:pPr>
            <w:r>
              <w:rPr>
                <w:rFonts w:ascii="Consolas" w:hAnsi="Consolas"/>
                <w:color w:val="1F3535"/>
                <w:sz w:val="18"/>
              </w:rPr>
              <w:t xml:space="preserve">    authoritative_references: list[str] = Field(default_factory=list)</w:t>
            </w:r>
          </w:p>
          <w:p>
            <w:pPr>
              <w:spacing w:line="240" w:lineRule="auto" w:after="0"/>
              <w:ind w:left="0"/>
            </w:pPr>
            <w:r>
              <w:rPr>
                <w:rFonts w:ascii="Consolas" w:hAnsi="Consolas"/>
                <w:color w:val="1F3535"/>
                <w:sz w:val="18"/>
              </w:rPr>
              <w:t xml:space="preserve">    grading_rubric: dict[str, int] = Field(default_factory=dict)</w:t>
            </w:r>
          </w:p>
          <w:p>
            <w:pPr>
              <w:spacing w:line="240" w:lineRule="auto" w:after="0"/>
              <w:ind w:left="0"/>
            </w:pPr>
            <w:r>
              <w:rPr>
                <w:rFonts w:ascii="Consolas" w:hAnsi="Consolas"/>
                <w:color w:val="1F3535"/>
                <w:sz w:val="18"/>
              </w:rPr>
              <w:t xml:space="preserve">    citation_verified: bool = False</w:t>
            </w:r>
          </w:p>
          <w:p>
            <w:pPr>
              <w:spacing w:line="240" w:lineRule="auto" w:after="0"/>
              <w:ind w:left="0"/>
            </w:pPr>
            <w:r>
              <w:rPr>
                <w:rFonts w:ascii="Consolas" w:hAnsi="Consolas"/>
                <w:color w:val="1F3535"/>
                <w:sz w:val="18"/>
              </w:rPr>
              <w:t xml:space="preserve">    answer_verified: bool = False</w:t>
            </w:r>
          </w:p>
          <w:p>
            <w:pPr>
              <w:spacing w:line="240" w:lineRule="auto" w:after="0"/>
              <w:ind w:left="0"/>
            </w:pPr>
            <w:r>
              <w:rPr>
                <w:rFonts w:ascii="Consolas" w:hAnsi="Consolas"/>
                <w:color w:val="1F3535"/>
                <w:sz w:val="18"/>
              </w:rPr>
              <w:t xml:space="preserve">    calculation_verified: bool = False</w:t>
            </w:r>
          </w:p>
          <w:p>
            <w:pPr>
              <w:spacing w:line="240" w:lineRule="auto" w:after="0"/>
              <w:ind w:left="0"/>
            </w:pPr>
            <w:r>
              <w:rPr>
                <w:rFonts w:ascii="Consolas" w:hAnsi="Consolas"/>
                <w:color w:val="1F3535"/>
                <w:sz w:val="18"/>
              </w:rPr>
              <w:t xml:space="preserve">    reviewer_id: Optional[str] = None</w:t>
            </w:r>
          </w:p>
          <w:p>
            <w:pPr>
              <w:spacing w:line="240" w:lineRule="auto" w:after="0"/>
              <w:ind w:left="0"/>
            </w:pPr>
            <w:r>
              <w:rPr>
                <w:rFonts w:ascii="Consolas" w:hAnsi="Consolas"/>
                <w:color w:val="1F3535"/>
                <w:sz w:val="18"/>
              </w:rPr>
              <w:t xml:space="preserve">    standard_version: str = "US-GAAP-2024"</w:t>
            </w:r>
          </w:p>
          <w:p>
            <w:pPr>
              <w:spacing w:line="240" w:lineRule="auto" w:after="0"/>
              <w:ind w:left="0"/>
            </w:pPr>
            <w:r>
              <w:rPr>
                <w:rFonts w:ascii="Consolas" w:hAnsi="Consolas"/>
                <w:color w:val="1F3535"/>
                <w:sz w:val="18"/>
              </w:rPr>
              <w:t xml:space="preserve">    split: Split = Split.TRAIN</w:t>
            </w:r>
          </w:p>
          <w:p>
            <w:pPr>
              <w:spacing w:line="240" w:lineRule="auto" w:after="0"/>
              <w:ind w:left="0"/>
            </w:pPr>
            <w:r>
              <w:rPr>
                <w:rFonts w:ascii="Consolas" w:hAnsi="Consolas"/>
                <w:color w:val="1F3535"/>
                <w:sz w:val="18"/>
              </w:rPr>
              <w:t xml:space="preserve">    provenance: Provenance = Provenance.TEMPLATE_GENERATED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Validation report</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ValidationIssue(BaseModel):</w:t>
            </w:r>
          </w:p>
          <w:p>
            <w:pPr>
              <w:spacing w:line="240" w:lineRule="auto" w:after="0"/>
              <w:ind w:left="0"/>
            </w:pPr>
            <w:r>
              <w:rPr>
                <w:rFonts w:ascii="Consolas" w:hAnsi="Consolas"/>
                <w:color w:val="1F3535"/>
                <w:sz w:val="18"/>
              </w:rPr>
              <w:t xml:space="preserve">    model_config = ConfigDict(extra="forbid")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line_number: int</w:t>
            </w:r>
          </w:p>
          <w:p>
            <w:pPr>
              <w:spacing w:line="240" w:lineRule="auto" w:after="0"/>
              <w:ind w:left="0"/>
            </w:pPr>
            <w:r>
              <w:rPr>
                <w:rFonts w:ascii="Consolas" w:hAnsi="Consolas"/>
                <w:color w:val="1F3535"/>
                <w:sz w:val="18"/>
              </w:rPr>
              <w:t xml:space="preserve">    record_id: Optional[str] = None</w:t>
            </w:r>
          </w:p>
          <w:p>
            <w:pPr>
              <w:spacing w:line="240" w:lineRule="auto" w:after="0"/>
              <w:ind w:left="0"/>
            </w:pPr>
            <w:r>
              <w:rPr>
                <w:rFonts w:ascii="Consolas" w:hAnsi="Consolas"/>
                <w:color w:val="1F3535"/>
                <w:sz w:val="18"/>
              </w:rPr>
              <w:t xml:space="preserve">    severity: Literal["error", "warning"]</w:t>
            </w:r>
          </w:p>
          <w:p>
            <w:pPr>
              <w:spacing w:line="240" w:lineRule="auto" w:after="0"/>
              <w:ind w:left="0"/>
            </w:pPr>
            <w:r>
              <w:rPr>
                <w:rFonts w:ascii="Consolas" w:hAnsi="Consolas"/>
                <w:color w:val="1F3535"/>
                <w:sz w:val="18"/>
              </w:rPr>
              <w:t xml:space="preserve">    code: str</w:t>
            </w:r>
          </w:p>
          <w:p>
            <w:pPr>
              <w:spacing w:line="240" w:lineRule="auto" w:after="0"/>
              <w:ind w:left="0"/>
            </w:pPr>
            <w:r>
              <w:rPr>
                <w:rFonts w:ascii="Consolas" w:hAnsi="Consolas"/>
                <w:color w:val="1F3535"/>
                <w:sz w:val="18"/>
              </w:rPr>
              <w:t xml:space="preserve">    message: str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ValidationReport(BaseModel):</w:t>
            </w:r>
          </w:p>
          <w:p>
            <w:pPr>
              <w:spacing w:line="240" w:lineRule="auto" w:after="0"/>
              <w:ind w:left="0"/>
            </w:pPr>
            <w:r>
              <w:rPr>
                <w:rFonts w:ascii="Consolas" w:hAnsi="Consolas"/>
                <w:color w:val="1F3535"/>
                <w:sz w:val="18"/>
              </w:rPr>
              <w:t xml:space="preserve">    model_config = ConfigDict(extra="forbid")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file: str</w:t>
            </w:r>
          </w:p>
          <w:p>
            <w:pPr>
              <w:spacing w:line="240" w:lineRule="auto" w:after="0"/>
              <w:ind w:left="0"/>
            </w:pPr>
            <w:r>
              <w:rPr>
                <w:rFonts w:ascii="Consolas" w:hAnsi="Consolas"/>
                <w:color w:val="1F3535"/>
                <w:sz w:val="18"/>
              </w:rPr>
              <w:t xml:space="preserve">    total_lines: int</w:t>
            </w:r>
          </w:p>
          <w:p>
            <w:pPr>
              <w:spacing w:line="240" w:lineRule="auto" w:after="0"/>
              <w:ind w:left="0"/>
            </w:pPr>
            <w:r>
              <w:rPr>
                <w:rFonts w:ascii="Consolas" w:hAnsi="Consolas"/>
                <w:color w:val="1F3535"/>
                <w:sz w:val="18"/>
              </w:rPr>
              <w:t xml:space="preserve">    parsed_lines: int</w:t>
            </w:r>
          </w:p>
          <w:p>
            <w:pPr>
              <w:spacing w:line="240" w:lineRule="auto" w:after="0"/>
              <w:ind w:left="0"/>
            </w:pPr>
            <w:r>
              <w:rPr>
                <w:rFonts w:ascii="Consolas" w:hAnsi="Consolas"/>
                <w:color w:val="1F3535"/>
                <w:sz w:val="18"/>
              </w:rPr>
              <w:t xml:space="preserve">    errors: list[ValidationIssue] = Field(default_factory=list)</w:t>
            </w:r>
          </w:p>
          <w:p>
            <w:pPr>
              <w:spacing w:line="240" w:lineRule="auto" w:after="0"/>
              <w:ind w:left="0"/>
            </w:pPr>
            <w:r>
              <w:rPr>
                <w:rFonts w:ascii="Consolas" w:hAnsi="Consolas"/>
                <w:color w:val="1F3535"/>
                <w:sz w:val="18"/>
              </w:rPr>
              <w:t xml:space="preserve">    warnings: list[ValidationIssue] = Field(default_factory=list)</w:t>
            </w:r>
          </w:p>
          <w:p>
            <w:pPr>
              <w:spacing w:line="240" w:lineRule="auto" w:after="0"/>
              <w:ind w:left="0"/>
            </w:pPr>
            <w:r>
              <w:rPr>
                <w:rFonts w:ascii="Consolas" w:hAnsi="Consolas"/>
                <w:color w:val="1F3535"/>
                <w:sz w:val="18"/>
              </w:rPr>
              <w:t xml:space="preserve">    citation_verified_count: int = 0</w:t>
            </w:r>
          </w:p>
          <w:p>
            <w:pPr>
              <w:spacing w:line="240" w:lineRule="auto" w:after="0"/>
              <w:ind w:left="0"/>
            </w:pPr>
            <w:r>
              <w:rPr>
                <w:rFonts w:ascii="Consolas" w:hAnsi="Consolas"/>
                <w:color w:val="1F3535"/>
                <w:sz w:val="18"/>
              </w:rPr>
              <w:t xml:space="preserve">    calculation_verified_count: int = 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@property</w:t>
            </w:r>
          </w:p>
          <w:p>
            <w:pPr>
              <w:spacing w:line="240" w:lineRule="auto" w:after="0"/>
              <w:ind w:left="0"/>
            </w:pPr>
            <w:r>
              <w:rPr>
                <w:rFonts w:ascii="Consolas" w:hAnsi="Consolas"/>
                <w:color w:val="1F3535"/>
                <w:sz w:val="18"/>
              </w:rPr>
              <w:t xml:space="preserve">    def ok(self) -&gt; bool:</w:t>
            </w:r>
          </w:p>
          <w:p>
            <w:pPr>
              <w:spacing w:line="240" w:lineRule="auto" w:after="0"/>
              <w:ind w:left="0"/>
            </w:pPr>
            <w:r>
              <w:rPr>
                <w:rFonts w:ascii="Consolas" w:hAnsi="Consolas"/>
                <w:color w:val="1F3535"/>
                <w:sz w:val="18"/>
              </w:rPr>
              <w:t xml:space="preserve">        return len(self.errors) == 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summary(self) -&gt; str:</w:t>
            </w:r>
          </w:p>
          <w:p>
            <w:pPr>
              <w:spacing w:line="240" w:lineRule="auto" w:after="0"/>
              <w:ind w:left="0"/>
            </w:pPr>
            <w:r>
              <w:rPr>
                <w:rFonts w:ascii="Consolas" w:hAnsi="Consolas"/>
                <w:color w:val="1F3535"/>
                <w:sz w:val="18"/>
              </w:rPr>
              <w:t xml:space="preserve">        return (</w:t>
            </w:r>
          </w:p>
          <w:p>
            <w:pPr>
              <w:spacing w:line="240" w:lineRule="auto" w:after="0"/>
              <w:ind w:left="0"/>
            </w:pPr>
            <w:r>
              <w:rPr>
                <w:rFonts w:ascii="Consolas" w:hAnsi="Consolas"/>
                <w:color w:val="1F3535"/>
                <w:sz w:val="18"/>
              </w:rPr>
              <w:t xml:space="preserve">            f"file={self.file} "</w:t>
            </w:r>
          </w:p>
          <w:p>
            <w:pPr>
              <w:spacing w:line="240" w:lineRule="auto" w:after="0"/>
              <w:ind w:left="0"/>
            </w:pPr>
            <w:r>
              <w:rPr>
                <w:rFonts w:ascii="Consolas" w:hAnsi="Consolas"/>
                <w:color w:val="1F3535"/>
                <w:sz w:val="18"/>
              </w:rPr>
              <w:t xml:space="preserve">            f"lines={self.total_lines} parsed={self.parsed_lines} "</w:t>
            </w:r>
          </w:p>
          <w:p>
            <w:pPr>
              <w:spacing w:line="240" w:lineRule="auto" w:after="0"/>
              <w:ind w:left="0"/>
            </w:pPr>
            <w:r>
              <w:rPr>
                <w:rFonts w:ascii="Consolas" w:hAnsi="Consolas"/>
                <w:color w:val="1F3535"/>
                <w:sz w:val="18"/>
              </w:rPr>
              <w:t xml:space="preserve">            f"errors={len(self.errors)} warnings={len(self.warnings)}"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tc>
      </w:tr>
    </w:tbl>
    <w:p>
      <w:pPr>
        <w:spacing w:after="80"/>
      </w:pPr>
    </w:p>
    <w:p>
      <w:pPr>
        <w:pStyle w:val="Heading3"/>
      </w:pPr>
      <w:r>
        <w:rPr>
          <w:color w:val="1F3864"/>
        </w:rPr>
        <w:t>src/asc606_trainer/prompts.py</w:t>
      </w:r>
    </w:p>
    <w:p>
      <w:pPr>
        <w:spacing w:line="312" w:lineRule="auto" w:after="120"/>
      </w:pPr>
      <w:r>
        <w:rPr>
          <w:rFonts w:ascii="Calibri" w:hAnsi="Calibri"/>
          <w:b w:val="0"/>
          <w:i/>
          <w:color w:val="606060"/>
          <w:sz w:val="20"/>
        </w:rPr>
        <w:t>(Full content of prompts.py is reproduced as the answer templates in Section 5. The Python source contains the RecordTemplate dataclass definitions and the RECORD_TEMPLATES list. See the source on disk for the complete file.)</w:t>
      </w:r>
    </w:p>
    <w:p>
      <w:pPr>
        <w:pStyle w:val="Heading3"/>
      </w:pPr>
      <w:r>
        <w:rPr>
          <w:color w:val="1F3864"/>
        </w:rPr>
        <w:t>src/asc606_trainer/data_generator.py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"""ASC 606 training-record generator.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Produces a JSONL file by: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Starting from the curated template library in `prompts.RECORD_TEMPLATES`.</w:t>
            </w:r>
          </w:p>
          <w:p>
            <w:pPr>
              <w:spacing w:line="240" w:lineRule="auto" w:after="0"/>
              <w:ind w:left="0"/>
            </w:pPr>
            <w:r>
              <w:rPr>
                <w:rFonts w:ascii="Consolas" w:hAnsi="Consolas"/>
                <w:color w:val="1F3535"/>
                <w:sz w:val="18"/>
              </w:rPr>
              <w:t>2. Programmatically varying numeric facts, industries, and dates to</w:t>
            </w:r>
          </w:p>
          <w:p>
            <w:pPr>
              <w:spacing w:line="240" w:lineRule="auto" w:after="0"/>
              <w:ind w:left="0"/>
            </w:pPr>
            <w:r>
              <w:rPr>
                <w:rFonts w:ascii="Consolas" w:hAnsi="Consolas"/>
                <w:color w:val="1F3535"/>
                <w:sz w:val="18"/>
              </w:rPr>
              <w:t xml:space="preserve">   produce many records from each template — this is the engine that</w:t>
            </w:r>
          </w:p>
          <w:p>
            <w:pPr>
              <w:spacing w:line="240" w:lineRule="auto" w:after="0"/>
              <w:ind w:left="0"/>
            </w:pPr>
            <w:r>
              <w:rPr>
                <w:rFonts w:ascii="Consolas" w:hAnsi="Consolas"/>
                <w:color w:val="1F3535"/>
                <w:sz w:val="18"/>
              </w:rPr>
              <w:t xml:space="preserve">   scales 17 seed templates to a 10,000-record corpus while preserving</w:t>
            </w:r>
          </w:p>
          <w:p>
            <w:pPr>
              <w:spacing w:line="240" w:lineRule="auto" w:after="0"/>
              <w:ind w:left="0"/>
            </w:pPr>
            <w:r>
              <w:rPr>
                <w:rFonts w:ascii="Consolas" w:hAnsi="Consolas"/>
                <w:color w:val="1F3535"/>
                <w:sz w:val="18"/>
              </w:rPr>
              <w:t xml:space="preserve">   pedagogical intent.</w:t>
            </w:r>
          </w:p>
          <w:p>
            <w:pPr>
              <w:spacing w:line="240" w:lineRule="auto" w:after="0"/>
              <w:ind w:left="0"/>
            </w:pPr>
            <w:r>
              <w:rPr>
                <w:rFonts w:ascii="Consolas" w:hAnsi="Consolas"/>
                <w:color w:val="1F3535"/>
                <w:sz w:val="18"/>
              </w:rPr>
              <w:t>3. Emitting both the canonical chat-format JSONL training record and</w:t>
            </w:r>
          </w:p>
          <w:p>
            <w:pPr>
              <w:spacing w:line="240" w:lineRule="auto" w:after="0"/>
              <w:ind w:left="0"/>
            </w:pPr>
            <w:r>
              <w:rPr>
                <w:rFonts w:ascii="Consolas" w:hAnsi="Consolas"/>
                <w:color w:val="1F3535"/>
                <w:sz w:val="18"/>
              </w:rPr>
              <w:t xml:space="preserve">   a companion metadata manifest.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Citation discipline: every emitted record's manifest has</w:t>
            </w:r>
          </w:p>
          <w:p>
            <w:pPr>
              <w:spacing w:line="240" w:lineRule="auto" w:after="0"/>
              <w:ind w:left="0"/>
            </w:pPr>
            <w:r>
              <w:rPr>
                <w:rFonts w:ascii="Consolas" w:hAnsi="Consolas"/>
                <w:color w:val="1F3535"/>
                <w:sz w:val="18"/>
              </w:rPr>
              <w:t>`citation_verified=False` and `answer_verified=False` by default. A</w:t>
            </w:r>
          </w:p>
          <w:p>
            <w:pPr>
              <w:spacing w:line="240" w:lineRule="auto" w:after="0"/>
              <w:ind w:left="0"/>
            </w:pPr>
            <w:r>
              <w:rPr>
                <w:rFonts w:ascii="Consolas" w:hAnsi="Consolas"/>
                <w:color w:val="1F3535"/>
                <w:sz w:val="18"/>
              </w:rPr>
              <w:t>qualified reviewer must flip these flags to `True` after checking the</w:t>
            </w:r>
          </w:p>
          <w:p>
            <w:pPr>
              <w:spacing w:line="240" w:lineRule="auto" w:after="0"/>
              <w:ind w:left="0"/>
            </w:pPr>
            <w:r>
              <w:rPr>
                <w:rFonts w:ascii="Consolas" w:hAnsi="Consolas"/>
                <w:color w:val="1F3535"/>
                <w:sz w:val="18"/>
              </w:rPr>
              <w:t>FASB Codification.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hashlib</w:t>
            </w:r>
          </w:p>
          <w:p>
            <w:pPr>
              <w:spacing w:line="240" w:lineRule="auto" w:after="0"/>
              <w:ind w:left="0"/>
            </w:pPr>
            <w:r>
              <w:rPr>
                <w:rFonts w:ascii="Consolas" w:hAnsi="Consolas"/>
                <w:color w:val="1F3535"/>
                <w:sz w:val="18"/>
              </w:rPr>
              <w:t>import json</w:t>
            </w:r>
          </w:p>
          <w:p>
            <w:pPr>
              <w:spacing w:line="240" w:lineRule="auto" w:after="0"/>
              <w:ind w:left="0"/>
            </w:pPr>
            <w:r>
              <w:rPr>
                <w:rFonts w:ascii="Consolas" w:hAnsi="Consolas"/>
                <w:color w:val="1F3535"/>
                <w:sz w:val="18"/>
              </w:rPr>
              <w:t>import random</w:t>
            </w:r>
          </w:p>
          <w:p>
            <w:pPr>
              <w:spacing w:line="240" w:lineRule="auto" w:after="0"/>
              <w:ind w:left="0"/>
            </w:pPr>
            <w:r>
              <w:rPr>
                <w:rFonts w:ascii="Consolas" w:hAnsi="Consolas"/>
                <w:color w:val="1F3535"/>
                <w:sz w:val="18"/>
              </w:rPr>
              <w:t>from dataclasses import asdict</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t>from typing import Iterator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from .prompts import (</w:t>
            </w:r>
          </w:p>
          <w:p>
            <w:pPr>
              <w:spacing w:line="240" w:lineRule="auto" w:after="0"/>
              <w:ind w:left="0"/>
            </w:pPr>
            <w:r>
              <w:rPr>
                <w:rFonts w:ascii="Consolas" w:hAnsi="Consolas"/>
                <w:color w:val="1F3535"/>
                <w:sz w:val="18"/>
              </w:rPr>
              <w:t xml:space="preserve">    RECORD_TEMPLATES,</w:t>
            </w:r>
          </w:p>
          <w:p>
            <w:pPr>
              <w:spacing w:line="240" w:lineRule="auto" w:after="0"/>
              <w:ind w:left="0"/>
            </w:pPr>
            <w:r>
              <w:rPr>
                <w:rFonts w:ascii="Consolas" w:hAnsi="Consolas"/>
                <w:color w:val="1F3535"/>
                <w:sz w:val="18"/>
              </w:rPr>
              <w:t xml:space="preserve">    RecordTemplate,</w:t>
            </w:r>
          </w:p>
          <w:p>
            <w:pPr>
              <w:spacing w:line="240" w:lineRule="auto" w:after="0"/>
              <w:ind w:left="0"/>
            </w:pPr>
            <w:r>
              <w:rPr>
                <w:rFonts w:ascii="Consolas" w:hAnsi="Consolas"/>
                <w:color w:val="1F3535"/>
                <w:sz w:val="18"/>
              </w:rPr>
              <w:t xml:space="preserve">    SYSTEM_PROMPTS,</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.schema import (</w:t>
            </w:r>
          </w:p>
          <w:p>
            <w:pPr>
              <w:spacing w:line="240" w:lineRule="auto" w:after="0"/>
              <w:ind w:left="0"/>
            </w:pPr>
            <w:r>
              <w:rPr>
                <w:rFonts w:ascii="Consolas" w:hAnsi="Consolas"/>
                <w:color w:val="1F3535"/>
                <w:sz w:val="18"/>
              </w:rPr>
              <w:t xml:space="preserve">    ChatMessage,</w:t>
            </w:r>
          </w:p>
          <w:p>
            <w:pPr>
              <w:spacing w:line="240" w:lineRule="auto" w:after="0"/>
              <w:ind w:left="0"/>
            </w:pPr>
            <w:r>
              <w:rPr>
                <w:rFonts w:ascii="Consolas" w:hAnsi="Consolas"/>
                <w:color w:val="1F3535"/>
                <w:sz w:val="18"/>
              </w:rPr>
              <w:t xml:space="preserve">    Difficulty,</w:t>
            </w:r>
          </w:p>
          <w:p>
            <w:pPr>
              <w:spacing w:line="240" w:lineRule="auto" w:after="0"/>
              <w:ind w:left="0"/>
            </w:pPr>
            <w:r>
              <w:rPr>
                <w:rFonts w:ascii="Consolas" w:hAnsi="Consolas"/>
                <w:color w:val="1F3535"/>
                <w:sz w:val="18"/>
              </w:rPr>
              <w:t xml:space="preserve">    ManifestRecord,</w:t>
            </w:r>
          </w:p>
          <w:p>
            <w:pPr>
              <w:spacing w:line="240" w:lineRule="auto" w:after="0"/>
              <w:ind w:left="0"/>
            </w:pPr>
            <w:r>
              <w:rPr>
                <w:rFonts w:ascii="Consolas" w:hAnsi="Consolas"/>
                <w:color w:val="1F3535"/>
                <w:sz w:val="18"/>
              </w:rPr>
              <w:t xml:space="preserve">    ModuleId,</w:t>
            </w:r>
          </w:p>
          <w:p>
            <w:pPr>
              <w:spacing w:line="240" w:lineRule="auto" w:after="0"/>
              <w:ind w:left="0"/>
            </w:pPr>
            <w:r>
              <w:rPr>
                <w:rFonts w:ascii="Consolas" w:hAnsi="Consolas"/>
                <w:color w:val="1F3535"/>
                <w:sz w:val="18"/>
              </w:rPr>
              <w:t xml:space="preserve">    Provenance,</w:t>
            </w:r>
          </w:p>
          <w:p>
            <w:pPr>
              <w:spacing w:line="240" w:lineRule="auto" w:after="0"/>
              <w:ind w:left="0"/>
            </w:pPr>
            <w:r>
              <w:rPr>
                <w:rFonts w:ascii="Consolas" w:hAnsi="Consolas"/>
                <w:color w:val="1F3535"/>
                <w:sz w:val="18"/>
              </w:rPr>
              <w:t xml:space="preserve">    Split,</w:t>
            </w:r>
          </w:p>
          <w:p>
            <w:pPr>
              <w:spacing w:line="240" w:lineRule="auto" w:after="0"/>
              <w:ind w:left="0"/>
            </w:pPr>
            <w:r>
              <w:rPr>
                <w:rFonts w:ascii="Consolas" w:hAnsi="Consolas"/>
                <w:color w:val="1F3535"/>
                <w:sz w:val="18"/>
              </w:rPr>
              <w:t xml:space="preserve">    TaskType,</w:t>
            </w:r>
          </w:p>
          <w:p>
            <w:pPr>
              <w:spacing w:line="240" w:lineRule="auto" w:after="0"/>
              <w:ind w:left="0"/>
            </w:pPr>
            <w:r>
              <w:rPr>
                <w:rFonts w:ascii="Consolas" w:hAnsi="Consolas"/>
                <w:color w:val="1F3535"/>
                <w:sz w:val="18"/>
              </w:rPr>
              <w:t xml:space="preserve">    TrainingRecord,</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Numbered record-id allocator</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RecordIDAllocator:</w:t>
            </w:r>
          </w:p>
          <w:p>
            <w:pPr>
              <w:spacing w:line="240" w:lineRule="auto" w:after="0"/>
              <w:ind w:left="0"/>
            </w:pPr>
            <w:r>
              <w:rPr>
                <w:rFonts w:ascii="Consolas" w:hAnsi="Consolas"/>
                <w:color w:val="1F3535"/>
                <w:sz w:val="18"/>
              </w:rPr>
              <w:t xml:space="preserve">    """Issues monotonically increasing ASC606-M{n}-{LEVEL}-{nnnn} identifiers."""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__init__(self) -&gt; None:</w:t>
            </w:r>
          </w:p>
          <w:p>
            <w:pPr>
              <w:spacing w:line="240" w:lineRule="auto" w:after="0"/>
              <w:ind w:left="0"/>
            </w:pPr>
            <w:r>
              <w:rPr>
                <w:rFonts w:ascii="Consolas" w:hAnsi="Consolas"/>
                <w:color w:val="1F3535"/>
                <w:sz w:val="18"/>
              </w:rPr>
              <w:t xml:space="preserve">        self._counters: dict[tuple[str, str], int] =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next(self, module: ModuleId, difficulty: Difficulty) -&gt; str:</w:t>
            </w:r>
          </w:p>
          <w:p>
            <w:pPr>
              <w:spacing w:line="240" w:lineRule="auto" w:after="0"/>
              <w:ind w:left="0"/>
            </w:pPr>
            <w:r>
              <w:rPr>
                <w:rFonts w:ascii="Consolas" w:hAnsi="Consolas"/>
                <w:color w:val="1F3535"/>
                <w:sz w:val="18"/>
              </w:rPr>
              <w:t xml:space="preserve">        key = (module.value, difficulty.value)</w:t>
            </w:r>
          </w:p>
          <w:p>
            <w:pPr>
              <w:spacing w:line="240" w:lineRule="auto" w:after="0"/>
              <w:ind w:left="0"/>
            </w:pPr>
            <w:r>
              <w:rPr>
                <w:rFonts w:ascii="Consolas" w:hAnsi="Consolas"/>
                <w:color w:val="1F3535"/>
                <w:sz w:val="18"/>
              </w:rPr>
              <w:t xml:space="preserve">        n = self._counters.get(key, 0) + 1</w:t>
            </w:r>
          </w:p>
          <w:p>
            <w:pPr>
              <w:spacing w:line="240" w:lineRule="auto" w:after="0"/>
              <w:ind w:left="0"/>
            </w:pPr>
            <w:r>
              <w:rPr>
                <w:rFonts w:ascii="Consolas" w:hAnsi="Consolas"/>
                <w:color w:val="1F3535"/>
                <w:sz w:val="18"/>
              </w:rPr>
              <w:t xml:space="preserve">        self._counters[key] = n</w:t>
            </w:r>
          </w:p>
          <w:p>
            <w:pPr>
              <w:spacing w:line="240" w:lineRule="auto" w:after="0"/>
              <w:ind w:left="0"/>
            </w:pPr>
            <w:r>
              <w:rPr>
                <w:rFonts w:ascii="Consolas" w:hAnsi="Consolas"/>
                <w:color w:val="1F3535"/>
                <w:sz w:val="18"/>
              </w:rPr>
              <w:t xml:space="preserve">        diff_code = difficulty.value[0].upper()</w:t>
            </w:r>
          </w:p>
          <w:p>
            <w:pPr>
              <w:spacing w:line="240" w:lineRule="auto" w:after="0"/>
              <w:ind w:left="0"/>
            </w:pPr>
            <w:r>
              <w:rPr>
                <w:rFonts w:ascii="Consolas" w:hAnsi="Consolas"/>
                <w:color w:val="1F3535"/>
                <w:sz w:val="18"/>
              </w:rPr>
              <w:t xml:space="preserve">        return f"ASC606-{module.value}-{diff_code}-{n:04d}"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Variator: programmatically perturb a template's numeric facts</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INDUSTRIES = [</w:t>
            </w:r>
          </w:p>
          <w:p>
            <w:pPr>
              <w:spacing w:line="240" w:lineRule="auto" w:after="0"/>
              <w:ind w:left="0"/>
            </w:pPr>
            <w:r>
              <w:rPr>
                <w:rFonts w:ascii="Consolas" w:hAnsi="Consolas"/>
                <w:color w:val="1F3535"/>
                <w:sz w:val="18"/>
              </w:rPr>
              <w:t xml:space="preserve">    "software", "construction", "manufacturing", "consulting",</w:t>
            </w:r>
          </w:p>
          <w:p>
            <w:pPr>
              <w:spacing w:line="240" w:lineRule="auto" w:after="0"/>
              <w:ind w:left="0"/>
            </w:pPr>
            <w:r>
              <w:rPr>
                <w:rFonts w:ascii="Consolas" w:hAnsi="Consolas"/>
                <w:color w:val="1F3535"/>
                <w:sz w:val="18"/>
              </w:rPr>
              <w:t xml:space="preserve">    "subscription media", "telecom", "retail", "biotech", "aerospace",</w:t>
            </w:r>
          </w:p>
          <w:p>
            <w:pPr>
              <w:spacing w:line="240" w:lineRule="auto" w:after="0"/>
              <w:ind w:left="0"/>
            </w:pPr>
            <w:r>
              <w:rPr>
                <w:rFonts w:ascii="Consolas" w:hAnsi="Consolas"/>
                <w:color w:val="1F3535"/>
                <w:sz w:val="18"/>
              </w:rPr>
              <w:t xml:space="preserve">    "logistics", "energy", "hospitality",</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Variator:</w:t>
            </w:r>
          </w:p>
          <w:p>
            <w:pPr>
              <w:spacing w:line="240" w:lineRule="auto" w:after="0"/>
              <w:ind w:left="0"/>
            </w:pPr>
            <w:r>
              <w:rPr>
                <w:rFonts w:ascii="Consolas" w:hAnsi="Consolas"/>
                <w:color w:val="1F3535"/>
                <w:sz w:val="18"/>
              </w:rPr>
              <w:t xml:space="preserve">    """Applies deterministic perturbations to a template's user/assistant</w:t>
            </w:r>
          </w:p>
          <w:p>
            <w:pPr>
              <w:spacing w:line="240" w:lineRule="auto" w:after="0"/>
              <w:ind w:left="0"/>
            </w:pPr>
            <w:r>
              <w:rPr>
                <w:rFonts w:ascii="Consolas" w:hAnsi="Consolas"/>
                <w:color w:val="1F3535"/>
                <w:sz w:val="18"/>
              </w:rPr>
              <w:t xml:space="preserve">    fields based on a seed.  Designed so that the SAME seed always produces</w:t>
            </w:r>
          </w:p>
          <w:p>
            <w:pPr>
              <w:spacing w:line="240" w:lineRule="auto" w:after="0"/>
              <w:ind w:left="0"/>
            </w:pPr>
            <w:r>
              <w:rPr>
                <w:rFonts w:ascii="Consolas" w:hAnsi="Consolas"/>
                <w:color w:val="1F3535"/>
                <w:sz w:val="18"/>
              </w:rPr>
              <w:t xml:space="preserve">    the SAME record, making records reproducible for review and rollback.</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__init__(self, seed: int) -&gt; None:</w:t>
            </w:r>
          </w:p>
          <w:p>
            <w:pPr>
              <w:spacing w:line="240" w:lineRule="auto" w:after="0"/>
              <w:ind w:left="0"/>
            </w:pPr>
            <w:r>
              <w:rPr>
                <w:rFonts w:ascii="Consolas" w:hAnsi="Consolas"/>
                <w:color w:val="1F3535"/>
                <w:sz w:val="18"/>
              </w:rPr>
              <w:t xml:space="preserve">        self.rng = random.Random(seed)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vary_subscription_case(self) -&gt; dict:</w:t>
            </w:r>
          </w:p>
          <w:p>
            <w:pPr>
              <w:spacing w:line="240" w:lineRule="auto" w:after="0"/>
              <w:ind w:left="0"/>
            </w:pPr>
            <w:r>
              <w:rPr>
                <w:rFonts w:ascii="Consolas" w:hAnsi="Consolas"/>
                <w:color w:val="1F3535"/>
                <w:sz w:val="18"/>
              </w:rPr>
              <w:t xml:space="preserve">        """Variation for the M0-B-0002 subscription template."""</w:t>
            </w:r>
          </w:p>
          <w:p>
            <w:pPr>
              <w:spacing w:line="240" w:lineRule="auto" w:after="0"/>
              <w:ind w:left="0"/>
            </w:pPr>
            <w:r>
              <w:rPr>
                <w:rFonts w:ascii="Consolas" w:hAnsi="Consolas"/>
                <w:color w:val="1F3535"/>
                <w:sz w:val="18"/>
              </w:rPr>
              <w:t xml:space="preserve">        total = self.rng.choice([12_000, 24_000, 36_000, 60_000, 120_000, 48_000])</w:t>
            </w:r>
          </w:p>
          <w:p>
            <w:pPr>
              <w:spacing w:line="240" w:lineRule="auto" w:after="0"/>
              <w:ind w:left="0"/>
            </w:pPr>
            <w:r>
              <w:rPr>
                <w:rFonts w:ascii="Consolas" w:hAnsi="Consolas"/>
                <w:color w:val="1F3535"/>
                <w:sz w:val="18"/>
              </w:rPr>
              <w:t xml:space="preserve">        months = self.rng.choice([6, 12, 24, 36])</w:t>
            </w:r>
          </w:p>
          <w:p>
            <w:pPr>
              <w:spacing w:line="240" w:lineRule="auto" w:after="0"/>
              <w:ind w:left="0"/>
            </w:pPr>
            <w:r>
              <w:rPr>
                <w:rFonts w:ascii="Consolas" w:hAnsi="Consolas"/>
                <w:color w:val="1F3535"/>
                <w:sz w:val="18"/>
              </w:rPr>
              <w:t xml:space="preserve">        monthly = total / months</w:t>
            </w:r>
          </w:p>
          <w:p>
            <w:pPr>
              <w:spacing w:line="240" w:lineRule="auto" w:after="0"/>
              <w:ind w:left="0"/>
            </w:pPr>
            <w:r>
              <w:rPr>
                <w:rFonts w:ascii="Consolas" w:hAnsi="Consolas"/>
                <w:color w:val="1F3535"/>
                <w:sz w:val="18"/>
              </w:rPr>
              <w:t xml:space="preserve">        return {</w:t>
            </w:r>
          </w:p>
          <w:p>
            <w:pPr>
              <w:spacing w:line="240" w:lineRule="auto" w:after="0"/>
              <w:ind w:left="0"/>
            </w:pPr>
            <w:r>
              <w:rPr>
                <w:rFonts w:ascii="Consolas" w:hAnsi="Consolas"/>
                <w:color w:val="1F3535"/>
                <w:sz w:val="18"/>
              </w:rPr>
              <w:t xml:space="preserve">            "total": total, "months": months, "monthly": monthly,</w:t>
            </w:r>
          </w:p>
          <w:p>
            <w:pPr>
              <w:spacing w:line="240" w:lineRule="auto" w:after="0"/>
              <w:ind w:left="0"/>
            </w:pPr>
            <w:r>
              <w:rPr>
                <w:rFonts w:ascii="Consolas" w:hAnsi="Consolas"/>
                <w:color w:val="1F3535"/>
                <w:sz w:val="18"/>
              </w:rPr>
              <w:t xml:space="preserve">            "industry": self.rng.choice(INDUSTRIES),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vary_allocation_case(self) -&gt; dict:</w:t>
            </w:r>
          </w:p>
          <w:p>
            <w:pPr>
              <w:spacing w:line="240" w:lineRule="auto" w:after="0"/>
              <w:ind w:left="0"/>
            </w:pPr>
            <w:r>
              <w:rPr>
                <w:rFonts w:ascii="Consolas" w:hAnsi="Consolas"/>
                <w:color w:val="1F3535"/>
                <w:sz w:val="18"/>
              </w:rPr>
              <w:t xml:space="preserve">        """Variation for the M5-I-0001 allocation template."""</w:t>
            </w:r>
          </w:p>
          <w:p>
            <w:pPr>
              <w:spacing w:line="240" w:lineRule="auto" w:after="0"/>
              <w:ind w:left="0"/>
            </w:pPr>
            <w:r>
              <w:rPr>
                <w:rFonts w:ascii="Consolas" w:hAnsi="Consolas"/>
                <w:color w:val="1F3535"/>
                <w:sz w:val="18"/>
              </w:rPr>
              <w:t xml:space="preserve">        ssp_a = self.rng.choice([40_000, 80_000, 60_000, 100_000])</w:t>
            </w:r>
          </w:p>
          <w:p>
            <w:pPr>
              <w:spacing w:line="240" w:lineRule="auto" w:after="0"/>
              <w:ind w:left="0"/>
            </w:pPr>
            <w:r>
              <w:rPr>
                <w:rFonts w:ascii="Consolas" w:hAnsi="Consolas"/>
                <w:color w:val="1F3535"/>
                <w:sz w:val="18"/>
              </w:rPr>
              <w:t xml:space="preserve">        ssp_b = self.rng.choice([10_000, 20_000, 15_000, 30_000])</w:t>
            </w:r>
          </w:p>
          <w:p>
            <w:pPr>
              <w:spacing w:line="240" w:lineRule="auto" w:after="0"/>
              <w:ind w:left="0"/>
            </w:pPr>
            <w:r>
              <w:rPr>
                <w:rFonts w:ascii="Consolas" w:hAnsi="Consolas"/>
                <w:color w:val="1F3535"/>
                <w:sz w:val="18"/>
              </w:rPr>
              <w:t xml:space="preserve">        ssp_c = self.rng.choice([30_000, 50_000, 25_000, 70_000])</w:t>
            </w:r>
          </w:p>
          <w:p>
            <w:pPr>
              <w:spacing w:line="240" w:lineRule="auto" w:after="0"/>
              <w:ind w:left="0"/>
            </w:pPr>
            <w:r>
              <w:rPr>
                <w:rFonts w:ascii="Consolas" w:hAnsi="Consolas"/>
                <w:color w:val="1F3535"/>
                <w:sz w:val="18"/>
              </w:rPr>
              <w:t xml:space="preserve">        # transaction price is a discount off the sum</w:t>
            </w:r>
          </w:p>
          <w:p>
            <w:pPr>
              <w:spacing w:line="240" w:lineRule="auto" w:after="0"/>
              <w:ind w:left="0"/>
            </w:pPr>
            <w:r>
              <w:rPr>
                <w:rFonts w:ascii="Consolas" w:hAnsi="Consolas"/>
                <w:color w:val="1F3535"/>
                <w:sz w:val="18"/>
              </w:rPr>
              <w:t xml:space="preserve">        total_ssp = ssp_a + ssp_b + ssp_c</w:t>
            </w:r>
          </w:p>
          <w:p>
            <w:pPr>
              <w:spacing w:line="240" w:lineRule="auto" w:after="0"/>
              <w:ind w:left="0"/>
            </w:pPr>
            <w:r>
              <w:rPr>
                <w:rFonts w:ascii="Consolas" w:hAnsi="Consolas"/>
                <w:color w:val="1F3535"/>
                <w:sz w:val="18"/>
              </w:rPr>
              <w:t xml:space="preserve">        discount_pct = self.rng.choice([0.0, 0.05, 0.10, 0.15, 0.20])</w:t>
            </w:r>
          </w:p>
          <w:p>
            <w:pPr>
              <w:spacing w:line="240" w:lineRule="auto" w:after="0"/>
              <w:ind w:left="0"/>
            </w:pPr>
            <w:r>
              <w:rPr>
                <w:rFonts w:ascii="Consolas" w:hAnsi="Consolas"/>
                <w:color w:val="1F3535"/>
                <w:sz w:val="18"/>
              </w:rPr>
              <w:t xml:space="preserve">        tx_price = round(total_ssp * (1 - discount_pct), -2)</w:t>
            </w:r>
          </w:p>
          <w:p>
            <w:pPr>
              <w:spacing w:line="240" w:lineRule="auto" w:after="0"/>
              <w:ind w:left="0"/>
            </w:pPr>
            <w:r>
              <w:rPr>
                <w:rFonts w:ascii="Consolas" w:hAnsi="Consolas"/>
                <w:color w:val="1F3535"/>
                <w:sz w:val="18"/>
              </w:rPr>
              <w:t xml:space="preserve">        return {</w:t>
            </w:r>
          </w:p>
          <w:p>
            <w:pPr>
              <w:spacing w:line="240" w:lineRule="auto" w:after="0"/>
              <w:ind w:left="0"/>
            </w:pPr>
            <w:r>
              <w:rPr>
                <w:rFonts w:ascii="Consolas" w:hAnsi="Consolas"/>
                <w:color w:val="1F3535"/>
                <w:sz w:val="18"/>
              </w:rPr>
              <w:t xml:space="preserve">            "ssp_a": ssp_a, "ssp_b": ssp_b, "ssp_c": ssp_c,</w:t>
            </w:r>
          </w:p>
          <w:p>
            <w:pPr>
              <w:spacing w:line="240" w:lineRule="auto" w:after="0"/>
              <w:ind w:left="0"/>
            </w:pPr>
            <w:r>
              <w:rPr>
                <w:rFonts w:ascii="Consolas" w:hAnsi="Consolas"/>
                <w:color w:val="1F3535"/>
                <w:sz w:val="18"/>
              </w:rPr>
              <w:t xml:space="preserve">            "tx_price": tx_price, "discount_pct": discount_pct,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vary_construction_case(self) -&gt; dict:</w:t>
            </w:r>
          </w:p>
          <w:p>
            <w:pPr>
              <w:spacing w:line="240" w:lineRule="auto" w:after="0"/>
              <w:ind w:left="0"/>
            </w:pPr>
            <w:r>
              <w:rPr>
                <w:rFonts w:ascii="Consolas" w:hAnsi="Consolas"/>
                <w:color w:val="1F3535"/>
                <w:sz w:val="18"/>
              </w:rPr>
              <w:t xml:space="preserve">        """Variation for the M6-I-0001 cost-to-cost template."""</w:t>
            </w:r>
          </w:p>
          <w:p>
            <w:pPr>
              <w:spacing w:line="240" w:lineRule="auto" w:after="0"/>
              <w:ind w:left="0"/>
            </w:pPr>
            <w:r>
              <w:rPr>
                <w:rFonts w:ascii="Consolas" w:hAnsi="Consolas"/>
                <w:color w:val="1F3535"/>
                <w:sz w:val="18"/>
              </w:rPr>
              <w:t xml:space="preserve">        contract = self.rng.choice([1_000_000, 2_000_000, 5_000_000, 10_000_000])</w:t>
            </w:r>
          </w:p>
          <w:p>
            <w:pPr>
              <w:spacing w:line="240" w:lineRule="auto" w:after="0"/>
              <w:ind w:left="0"/>
            </w:pPr>
            <w:r>
              <w:rPr>
                <w:rFonts w:ascii="Consolas" w:hAnsi="Consolas"/>
                <w:color w:val="1F3535"/>
                <w:sz w:val="18"/>
              </w:rPr>
              <w:t xml:space="preserve">        pct_done = self.rng.choice([0.20, 0.30, 0.40, 0.50, 0.60, 0.75, 0.90])</w:t>
            </w:r>
          </w:p>
          <w:p>
            <w:pPr>
              <w:spacing w:line="240" w:lineRule="auto" w:after="0"/>
              <w:ind w:left="0"/>
            </w:pPr>
            <w:r>
              <w:rPr>
                <w:rFonts w:ascii="Consolas" w:hAnsi="Consolas"/>
                <w:color w:val="1F3535"/>
                <w:sz w:val="18"/>
              </w:rPr>
              <w:t xml:space="preserve">        total_expected_cost = self.rng.choice([800_000, 1_500_000, 4_000_000, 8_000_000])</w:t>
            </w:r>
          </w:p>
          <w:p>
            <w:pPr>
              <w:spacing w:line="240" w:lineRule="auto" w:after="0"/>
              <w:ind w:left="0"/>
            </w:pPr>
            <w:r>
              <w:rPr>
                <w:rFonts w:ascii="Consolas" w:hAnsi="Consolas"/>
                <w:color w:val="1F3535"/>
                <w:sz w:val="18"/>
              </w:rPr>
              <w:t xml:space="preserve">        costs_incurred = round(total_expected_cost * pct_done, -3)</w:t>
            </w:r>
          </w:p>
          <w:p>
            <w:pPr>
              <w:spacing w:line="240" w:lineRule="auto" w:after="0"/>
              <w:ind w:left="0"/>
            </w:pPr>
            <w:r>
              <w:rPr>
                <w:rFonts w:ascii="Consolas" w:hAnsi="Consolas"/>
                <w:color w:val="1F3535"/>
                <w:sz w:val="18"/>
              </w:rPr>
              <w:t xml:space="preserve">        return {</w:t>
            </w:r>
          </w:p>
          <w:p>
            <w:pPr>
              <w:spacing w:line="240" w:lineRule="auto" w:after="0"/>
              <w:ind w:left="0"/>
            </w:pPr>
            <w:r>
              <w:rPr>
                <w:rFonts w:ascii="Consolas" w:hAnsi="Consolas"/>
                <w:color w:val="1F3535"/>
                <w:sz w:val="18"/>
              </w:rPr>
              <w:t xml:space="preserve">            "contract": contract, "pct_done": pct_done,</w:t>
            </w:r>
          </w:p>
          <w:p>
            <w:pPr>
              <w:spacing w:line="240" w:lineRule="auto" w:after="0"/>
              <w:ind w:left="0"/>
            </w:pPr>
            <w:r>
              <w:rPr>
                <w:rFonts w:ascii="Consolas" w:hAnsi="Consolas"/>
                <w:color w:val="1F3535"/>
                <w:sz w:val="18"/>
              </w:rPr>
              <w:t xml:space="preserve">            "total_expected_cost": total_expected_cost,</w:t>
            </w:r>
          </w:p>
          <w:p>
            <w:pPr>
              <w:spacing w:line="240" w:lineRule="auto" w:after="0"/>
              <w:ind w:left="0"/>
            </w:pPr>
            <w:r>
              <w:rPr>
                <w:rFonts w:ascii="Consolas" w:hAnsi="Consolas"/>
                <w:color w:val="1F3535"/>
                <w:sz w:val="18"/>
              </w:rPr>
              <w:t xml:space="preserve">            "costs_incurred": costs_incurred,</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Master generator</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class ASC606Generator:</w:t>
            </w:r>
          </w:p>
          <w:p>
            <w:pPr>
              <w:spacing w:line="240" w:lineRule="auto" w:after="0"/>
              <w:ind w:left="0"/>
            </w:pPr>
            <w:r>
              <w:rPr>
                <w:rFonts w:ascii="Consolas" w:hAnsi="Consolas"/>
                <w:color w:val="1F3535"/>
                <w:sz w:val="18"/>
              </w:rPr>
              <w:t xml:space="preserve">    """Top-level generator: emits N training 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Strategy:</w:t>
            </w:r>
          </w:p>
          <w:p>
            <w:pPr>
              <w:spacing w:line="240" w:lineRule="auto" w:after="0"/>
              <w:ind w:left="0"/>
            </w:pPr>
            <w:r>
              <w:rPr>
                <w:rFonts w:ascii="Consolas" w:hAnsi="Consolas"/>
                <w:color w:val="1F3535"/>
                <w:sz w:val="18"/>
              </w:rPr>
              <w:t xml:space="preserve">      * Sample a curriculum-balanced sequence of (module, difficulty) pairs.</w:t>
            </w:r>
          </w:p>
          <w:p>
            <w:pPr>
              <w:spacing w:line="240" w:lineRule="auto" w:after="0"/>
              <w:ind w:left="0"/>
            </w:pPr>
            <w:r>
              <w:rPr>
                <w:rFonts w:ascii="Consolas" w:hAnsi="Consolas"/>
                <w:color w:val="1F3535"/>
                <w:sz w:val="18"/>
              </w:rPr>
              <w:t xml:space="preserve">      * For each pair, pick a seed template (if any) and apply a variation.</w:t>
            </w:r>
          </w:p>
          <w:p>
            <w:pPr>
              <w:spacing w:line="240" w:lineRule="auto" w:after="0"/>
              <w:ind w:left="0"/>
            </w:pPr>
            <w:r>
              <w:rPr>
                <w:rFonts w:ascii="Consolas" w:hAnsi="Consolas"/>
                <w:color w:val="1F3535"/>
                <w:sz w:val="18"/>
              </w:rPr>
              <w:t xml:space="preserve">      * If no template exists for the pair, emit a placeholder 'verify me'</w:t>
            </w:r>
          </w:p>
          <w:p>
            <w:pPr>
              <w:spacing w:line="240" w:lineRule="auto" w:after="0"/>
              <w:ind w:left="0"/>
            </w:pPr>
            <w:r>
              <w:rPr>
                <w:rFonts w:ascii="Consolas" w:hAnsi="Consolas"/>
                <w:color w:val="1F3535"/>
                <w:sz w:val="18"/>
              </w:rPr>
              <w:t xml:space="preserve">        record so the generator is always able to produce N records while</w:t>
            </w:r>
          </w:p>
          <w:p>
            <w:pPr>
              <w:spacing w:line="240" w:lineRule="auto" w:after="0"/>
              <w:ind w:left="0"/>
            </w:pPr>
            <w:r>
              <w:rPr>
                <w:rFonts w:ascii="Consolas" w:hAnsi="Consolas"/>
                <w:color w:val="1F3535"/>
                <w:sz w:val="18"/>
              </w:rPr>
              <w:t xml:space="preserve">        signaling that more seed templates are needed in that bucket.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__init__(self, seed: int = 42) -&gt; None:</w:t>
            </w:r>
          </w:p>
          <w:p>
            <w:pPr>
              <w:spacing w:line="240" w:lineRule="auto" w:after="0"/>
              <w:ind w:left="0"/>
            </w:pPr>
            <w:r>
              <w:rPr>
                <w:rFonts w:ascii="Consolas" w:hAnsi="Consolas"/>
                <w:color w:val="1F3535"/>
                <w:sz w:val="18"/>
              </w:rPr>
              <w:t xml:space="preserve">        self.rng = random.Random(seed)</w:t>
            </w:r>
          </w:p>
          <w:p>
            <w:pPr>
              <w:spacing w:line="240" w:lineRule="auto" w:after="0"/>
              <w:ind w:left="0"/>
            </w:pPr>
            <w:r>
              <w:rPr>
                <w:rFonts w:ascii="Consolas" w:hAnsi="Consolas"/>
                <w:color w:val="1F3535"/>
                <w:sz w:val="18"/>
              </w:rPr>
              <w:t xml:space="preserve">        self.id_alloc = RecordIDAllocator()</w:t>
            </w:r>
          </w:p>
          <w:p>
            <w:pPr>
              <w:spacing w:line="240" w:lineRule="auto" w:after="0"/>
              <w:ind w:left="0"/>
            </w:pPr>
            <w:r>
              <w:rPr>
                <w:rFonts w:ascii="Consolas" w:hAnsi="Consolas"/>
                <w:color w:val="1F3535"/>
                <w:sz w:val="18"/>
              </w:rPr>
              <w:t xml:space="preserve">        self.variator = Variator(seed + 1)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index templates by (module, difficulty)</w:t>
            </w:r>
          </w:p>
          <w:p>
            <w:pPr>
              <w:spacing w:line="240" w:lineRule="auto" w:after="0"/>
              <w:ind w:left="0"/>
            </w:pPr>
            <w:r>
              <w:rPr>
                <w:rFonts w:ascii="Consolas" w:hAnsi="Consolas"/>
                <w:color w:val="1F3535"/>
                <w:sz w:val="18"/>
              </w:rPr>
              <w:t xml:space="preserve">        self._index: dict[tuple[str, str], list[RecordTemplate]] = {}</w:t>
            </w:r>
          </w:p>
          <w:p>
            <w:pPr>
              <w:spacing w:line="240" w:lineRule="auto" w:after="0"/>
              <w:ind w:left="0"/>
            </w:pPr>
            <w:r>
              <w:rPr>
                <w:rFonts w:ascii="Consolas" w:hAnsi="Consolas"/>
                <w:color w:val="1F3535"/>
                <w:sz w:val="18"/>
              </w:rPr>
              <w:t xml:space="preserve">        for t in RECORD_TEMPLATES:</w:t>
            </w:r>
          </w:p>
          <w:p>
            <w:pPr>
              <w:spacing w:line="240" w:lineRule="auto" w:after="0"/>
              <w:ind w:left="0"/>
            </w:pPr>
            <w:r>
              <w:rPr>
                <w:rFonts w:ascii="Consolas" w:hAnsi="Consolas"/>
                <w:color w:val="1F3535"/>
                <w:sz w:val="18"/>
              </w:rPr>
              <w:t xml:space="preserve">            self._index.setdefault(</w:t>
            </w:r>
          </w:p>
          <w:p>
            <w:pPr>
              <w:spacing w:line="240" w:lineRule="auto" w:after="0"/>
              <w:ind w:left="0"/>
            </w:pPr>
            <w:r>
              <w:rPr>
                <w:rFonts w:ascii="Consolas" w:hAnsi="Consolas"/>
                <w:color w:val="1F3535"/>
                <w:sz w:val="18"/>
              </w:rPr>
              <w:t xml:space="preserve">                (t.module.value, t.difficulty.value), []</w:t>
            </w:r>
          </w:p>
          <w:p>
            <w:pPr>
              <w:spacing w:line="240" w:lineRule="auto" w:after="0"/>
              <w:ind w:left="0"/>
            </w:pPr>
            <w:r>
              <w:rPr>
                <w:rFonts w:ascii="Consolas" w:hAnsi="Consolas"/>
                <w:color w:val="1F3535"/>
                <w:sz w:val="18"/>
              </w:rPr>
              <w:t xml:space="preserve">            ).append(t)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 public API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generate(self, n: int) -&gt; list[tuple[TrainingRecord, ManifestRecord]]:</w:t>
            </w:r>
          </w:p>
          <w:p>
            <w:pPr>
              <w:spacing w:line="240" w:lineRule="auto" w:after="0"/>
              <w:ind w:left="0"/>
            </w:pPr>
            <w:r>
              <w:rPr>
                <w:rFonts w:ascii="Consolas" w:hAnsi="Consolas"/>
                <w:color w:val="1F3535"/>
                <w:sz w:val="18"/>
              </w:rPr>
              <w:t xml:space="preserve">        out: list[tuple[TrainingRecord, ManifestRecord]] = []</w:t>
            </w:r>
          </w:p>
          <w:p>
            <w:pPr>
              <w:spacing w:line="240" w:lineRule="auto" w:after="0"/>
              <w:ind w:left="0"/>
            </w:pPr>
            <w:r>
              <w:rPr>
                <w:rFonts w:ascii="Consolas" w:hAnsi="Consolas"/>
                <w:color w:val="1F3535"/>
                <w:sz w:val="18"/>
              </w:rPr>
              <w:t xml:space="preserve">        targets = self._balanced_targets(n)</w:t>
            </w:r>
          </w:p>
          <w:p>
            <w:pPr>
              <w:spacing w:line="240" w:lineRule="auto" w:after="0"/>
              <w:ind w:left="0"/>
            </w:pPr>
            <w:r>
              <w:rPr>
                <w:rFonts w:ascii="Consolas" w:hAnsi="Consolas"/>
                <w:color w:val="1F3535"/>
                <w:sz w:val="18"/>
              </w:rPr>
              <w:t xml:space="preserve">        for module, difficulty in targets:</w:t>
            </w:r>
          </w:p>
          <w:p>
            <w:pPr>
              <w:spacing w:line="240" w:lineRule="auto" w:after="0"/>
              <w:ind w:left="0"/>
            </w:pPr>
            <w:r>
              <w:rPr>
                <w:rFonts w:ascii="Consolas" w:hAnsi="Consolas"/>
                <w:color w:val="1F3535"/>
                <w:sz w:val="18"/>
              </w:rPr>
              <w:t xml:space="preserve">            record, manifest = self._make_one(module, difficulty)</w:t>
            </w:r>
          </w:p>
          <w:p>
            <w:pPr>
              <w:spacing w:line="240" w:lineRule="auto" w:after="0"/>
              <w:ind w:left="0"/>
            </w:pPr>
            <w:r>
              <w:rPr>
                <w:rFonts w:ascii="Consolas" w:hAnsi="Consolas"/>
                <w:color w:val="1F3535"/>
                <w:sz w:val="18"/>
              </w:rPr>
              <w:t xml:space="preserve">            out.append((record, manifest))</w:t>
            </w:r>
          </w:p>
          <w:p>
            <w:pPr>
              <w:spacing w:line="240" w:lineRule="auto" w:after="0"/>
              <w:ind w:left="0"/>
            </w:pPr>
            <w:r>
              <w:rPr>
                <w:rFonts w:ascii="Consolas" w:hAnsi="Consolas"/>
                <w:color w:val="1F3535"/>
                <w:sz w:val="18"/>
              </w:rPr>
              <w:t xml:space="preserve">        return out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write_jsonl(self, records: list[tuple[TrainingRecord, ManifestRecord]],</w:t>
            </w:r>
          </w:p>
          <w:p>
            <w:pPr>
              <w:spacing w:line="240" w:lineRule="auto" w:after="0"/>
              <w:ind w:left="0"/>
            </w:pPr>
            <w:r>
              <w:rPr>
                <w:rFonts w:ascii="Consolas" w:hAnsi="Consolas"/>
                <w:color w:val="1F3535"/>
                <w:sz w:val="18"/>
              </w:rPr>
              <w:t xml:space="preserve">                    out_path: Path) -&gt; None:</w:t>
            </w:r>
          </w:p>
          <w:p>
            <w:pPr>
              <w:spacing w:line="240" w:lineRule="auto" w:after="0"/>
              <w:ind w:left="0"/>
            </w:pPr>
            <w:r>
              <w:rPr>
                <w:rFonts w:ascii="Consolas" w:hAnsi="Consolas"/>
                <w:color w:val="1F3535"/>
                <w:sz w:val="18"/>
              </w:rPr>
              <w:t xml:space="preserve">        out_path.parent.mkdir(parents=True, exist_ok=True)</w:t>
            </w:r>
          </w:p>
          <w:p>
            <w:pPr>
              <w:spacing w:line="240" w:lineRule="auto" w:after="0"/>
              <w:ind w:left="0"/>
            </w:pPr>
            <w:r>
              <w:rPr>
                <w:rFonts w:ascii="Consolas" w:hAnsi="Consolas"/>
                <w:color w:val="1F3535"/>
                <w:sz w:val="18"/>
              </w:rPr>
              <w:t xml:space="preserve">        with out_path.open("w", encoding="utf-8") as f:</w:t>
            </w:r>
          </w:p>
          <w:p>
            <w:pPr>
              <w:spacing w:line="240" w:lineRule="auto" w:after="0"/>
              <w:ind w:left="0"/>
            </w:pPr>
            <w:r>
              <w:rPr>
                <w:rFonts w:ascii="Consolas" w:hAnsi="Consolas"/>
                <w:color w:val="1F3535"/>
                <w:sz w:val="18"/>
              </w:rPr>
              <w:t xml:space="preserve">            for rec, _manifest in records:</w:t>
            </w:r>
          </w:p>
          <w:p>
            <w:pPr>
              <w:spacing w:line="240" w:lineRule="auto" w:after="0"/>
              <w:ind w:left="0"/>
            </w:pPr>
            <w:r>
              <w:rPr>
                <w:rFonts w:ascii="Consolas" w:hAnsi="Consolas"/>
                <w:color w:val="1F3535"/>
                <w:sz w:val="18"/>
              </w:rPr>
              <w:t xml:space="preserve">                f.write(json.dumps(rec.model_dump(), ensure_ascii=False) + "\n")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write_manifest(self, records: list[tuple[TrainingRecord, ManifestRecord]],</w:t>
            </w:r>
          </w:p>
          <w:p>
            <w:pPr>
              <w:spacing w:line="240" w:lineRule="auto" w:after="0"/>
              <w:ind w:left="0"/>
            </w:pPr>
            <w:r>
              <w:rPr>
                <w:rFonts w:ascii="Consolas" w:hAnsi="Consolas"/>
                <w:color w:val="1F3535"/>
                <w:sz w:val="18"/>
              </w:rPr>
              <w:t xml:space="preserve">                      out_path: Path) -&gt; None:</w:t>
            </w:r>
          </w:p>
          <w:p>
            <w:pPr>
              <w:spacing w:line="240" w:lineRule="auto" w:after="0"/>
              <w:ind w:left="0"/>
            </w:pPr>
            <w:r>
              <w:rPr>
                <w:rFonts w:ascii="Consolas" w:hAnsi="Consolas"/>
                <w:color w:val="1F3535"/>
                <w:sz w:val="18"/>
              </w:rPr>
              <w:t xml:space="preserve">        out_path.parent.mkdir(parents=True, exist_ok=True)</w:t>
            </w:r>
          </w:p>
          <w:p>
            <w:pPr>
              <w:spacing w:line="240" w:lineRule="auto" w:after="0"/>
              <w:ind w:left="0"/>
            </w:pPr>
            <w:r>
              <w:rPr>
                <w:rFonts w:ascii="Consolas" w:hAnsi="Consolas"/>
                <w:color w:val="1F3535"/>
                <w:sz w:val="18"/>
              </w:rPr>
              <w:t xml:space="preserve">        with out_path.open("w", encoding="utf-8") as f:</w:t>
            </w:r>
          </w:p>
          <w:p>
            <w:pPr>
              <w:spacing w:line="240" w:lineRule="auto" w:after="0"/>
              <w:ind w:left="0"/>
            </w:pPr>
            <w:r>
              <w:rPr>
                <w:rFonts w:ascii="Consolas" w:hAnsi="Consolas"/>
                <w:color w:val="1F3535"/>
                <w:sz w:val="18"/>
              </w:rPr>
              <w:t xml:space="preserve">            for _rec, man in records:</w:t>
            </w:r>
          </w:p>
          <w:p>
            <w:pPr>
              <w:spacing w:line="240" w:lineRule="auto" w:after="0"/>
              <w:ind w:left="0"/>
            </w:pPr>
            <w:r>
              <w:rPr>
                <w:rFonts w:ascii="Consolas" w:hAnsi="Consolas"/>
                <w:color w:val="1F3535"/>
                <w:sz w:val="18"/>
              </w:rPr>
              <w:t xml:space="preserve">                f.write(json.dumps(man.model_dump(), ensure_ascii=False) + "\n")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 internals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_balanced_targets(self, n: int) -&gt; list[tuple[ModuleId, Difficulty]]:</w:t>
            </w:r>
          </w:p>
          <w:p>
            <w:pPr>
              <w:spacing w:line="240" w:lineRule="auto" w:after="0"/>
              <w:ind w:left="0"/>
            </w:pPr>
            <w:r>
              <w:rPr>
                <w:rFonts w:ascii="Consolas" w:hAnsi="Consolas"/>
                <w:color w:val="1F3535"/>
                <w:sz w:val="18"/>
              </w:rPr>
              <w:t xml:space="preserve">        """Proportional sampling aligned with config/curriculum.yaml shares."""</w:t>
            </w:r>
          </w:p>
          <w:p>
            <w:pPr>
              <w:spacing w:line="240" w:lineRule="auto" w:after="0"/>
              <w:ind w:left="0"/>
            </w:pPr>
            <w:r>
              <w:rPr>
                <w:rFonts w:ascii="Consolas" w:hAnsi="Consolas"/>
                <w:color w:val="1F3535"/>
                <w:sz w:val="18"/>
              </w:rPr>
              <w:t xml:space="preserve">        module_shares = {</w:t>
            </w:r>
          </w:p>
          <w:p>
            <w:pPr>
              <w:spacing w:line="240" w:lineRule="auto" w:after="0"/>
              <w:ind w:left="0"/>
            </w:pPr>
            <w:r>
              <w:rPr>
                <w:rFonts w:ascii="Consolas" w:hAnsi="Consolas"/>
                <w:color w:val="1F3535"/>
                <w:sz w:val="18"/>
              </w:rPr>
              <w:t xml:space="preserve">            ModuleId.M0: 0.05, ModuleId.M1: 0.09, ModuleId.M2: 0.07,</w:t>
            </w:r>
          </w:p>
          <w:p>
            <w:pPr>
              <w:spacing w:line="240" w:lineRule="auto" w:after="0"/>
              <w:ind w:left="0"/>
            </w:pPr>
            <w:r>
              <w:rPr>
                <w:rFonts w:ascii="Consolas" w:hAnsi="Consolas"/>
                <w:color w:val="1F3535"/>
                <w:sz w:val="18"/>
              </w:rPr>
              <w:t xml:space="preserve">            ModuleId.M3: 0.11, ModuleId.M4: 0.12, ModuleId.M5: 0.07,</w:t>
            </w:r>
          </w:p>
          <w:p>
            <w:pPr>
              <w:spacing w:line="240" w:lineRule="auto" w:after="0"/>
              <w:ind w:left="0"/>
            </w:pPr>
            <w:r>
              <w:rPr>
                <w:rFonts w:ascii="Consolas" w:hAnsi="Consolas"/>
                <w:color w:val="1F3535"/>
                <w:sz w:val="18"/>
              </w:rPr>
              <w:t xml:space="preserve">            ModuleId.M6: 0.11, ModuleId.M7: 0.08, ModuleId.M8: 0.10,</w:t>
            </w:r>
          </w:p>
          <w:p>
            <w:pPr>
              <w:spacing w:line="240" w:lineRule="auto" w:after="0"/>
              <w:ind w:left="0"/>
            </w:pPr>
            <w:r>
              <w:rPr>
                <w:rFonts w:ascii="Consolas" w:hAnsi="Consolas"/>
                <w:color w:val="1F3535"/>
                <w:sz w:val="18"/>
              </w:rPr>
              <w:t xml:space="preserve">            ModuleId.M9: 0.06, ModuleId.M10: 0.09, ModuleId.M11: 0.05,</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diff_shares = {</w:t>
            </w:r>
          </w:p>
          <w:p>
            <w:pPr>
              <w:spacing w:line="240" w:lineRule="auto" w:after="0"/>
              <w:ind w:left="0"/>
            </w:pPr>
            <w:r>
              <w:rPr>
                <w:rFonts w:ascii="Consolas" w:hAnsi="Consolas"/>
                <w:color w:val="1F3535"/>
                <w:sz w:val="18"/>
              </w:rPr>
              <w:t xml:space="preserve">            Difficulty.BEGINNER: 0.10, Difficulty.FOUNDATIONAL: 0.20,</w:t>
            </w:r>
          </w:p>
          <w:p>
            <w:pPr>
              <w:spacing w:line="240" w:lineRule="auto" w:after="0"/>
              <w:ind w:left="0"/>
            </w:pPr>
            <w:r>
              <w:rPr>
                <w:rFonts w:ascii="Consolas" w:hAnsi="Consolas"/>
                <w:color w:val="1F3535"/>
                <w:sz w:val="18"/>
              </w:rPr>
              <w:t xml:space="preserve">            Difficulty.INTERMEDIATE: 0.25, Difficulty.ADVANCED: 0.25,</w:t>
            </w:r>
          </w:p>
          <w:p>
            <w:pPr>
              <w:spacing w:line="240" w:lineRule="auto" w:after="0"/>
              <w:ind w:left="0"/>
            </w:pPr>
            <w:r>
              <w:rPr>
                <w:rFonts w:ascii="Consolas" w:hAnsi="Consolas"/>
                <w:color w:val="1F3535"/>
                <w:sz w:val="18"/>
              </w:rPr>
              <w:t xml:space="preserve">            Difficulty.EXPERT: 0.15, Difficulty.RESEARCH: 0.05,</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 build a proportional (module, difficulty) sequence</w:t>
            </w:r>
          </w:p>
          <w:p>
            <w:pPr>
              <w:spacing w:line="240" w:lineRule="auto" w:after="0"/>
              <w:ind w:left="0"/>
            </w:pPr>
            <w:r>
              <w:rPr>
                <w:rFonts w:ascii="Consolas" w:hAnsi="Consolas"/>
                <w:color w:val="1F3535"/>
                <w:sz w:val="18"/>
              </w:rPr>
              <w:t xml:space="preserve">        cells: list[tuple[ModuleId, Difficulty]] = []</w:t>
            </w:r>
          </w:p>
          <w:p>
            <w:pPr>
              <w:spacing w:line="240" w:lineRule="auto" w:after="0"/>
              <w:ind w:left="0"/>
            </w:pPr>
            <w:r>
              <w:rPr>
                <w:rFonts w:ascii="Consolas" w:hAnsi="Consolas"/>
                <w:color w:val="1F3535"/>
                <w:sz w:val="18"/>
              </w:rPr>
              <w:t xml:space="preserve">        for m, ms in module_shares.items():</w:t>
            </w:r>
          </w:p>
          <w:p>
            <w:pPr>
              <w:spacing w:line="240" w:lineRule="auto" w:after="0"/>
              <w:ind w:left="0"/>
            </w:pPr>
            <w:r>
              <w:rPr>
                <w:rFonts w:ascii="Consolas" w:hAnsi="Consolas"/>
                <w:color w:val="1F3535"/>
                <w:sz w:val="18"/>
              </w:rPr>
              <w:t xml:space="preserve">            for d, ds in diff_shares.items():</w:t>
            </w:r>
          </w:p>
          <w:p>
            <w:pPr>
              <w:spacing w:line="240" w:lineRule="auto" w:after="0"/>
              <w:ind w:left="0"/>
            </w:pPr>
            <w:r>
              <w:rPr>
                <w:rFonts w:ascii="Consolas" w:hAnsi="Consolas"/>
                <w:color w:val="1F3535"/>
                <w:sz w:val="18"/>
              </w:rPr>
              <w:t xml:space="preserve">                share = ms * ds</w:t>
            </w:r>
          </w:p>
          <w:p>
            <w:pPr>
              <w:spacing w:line="240" w:lineRule="auto" w:after="0"/>
              <w:ind w:left="0"/>
            </w:pPr>
            <w:r>
              <w:rPr>
                <w:rFonts w:ascii="Consolas" w:hAnsi="Consolas"/>
                <w:color w:val="1F3535"/>
                <w:sz w:val="18"/>
              </w:rPr>
              <w:t xml:space="preserve">                count = max(1, round(n * share))</w:t>
            </w:r>
          </w:p>
          <w:p>
            <w:pPr>
              <w:spacing w:line="240" w:lineRule="auto" w:after="0"/>
              <w:ind w:left="0"/>
            </w:pPr>
            <w:r>
              <w:rPr>
                <w:rFonts w:ascii="Consolas" w:hAnsi="Consolas"/>
                <w:color w:val="1F3535"/>
                <w:sz w:val="18"/>
              </w:rPr>
              <w:t xml:space="preserve">                cells.extend([(m, d)] * count)</w:t>
            </w:r>
          </w:p>
          <w:p>
            <w:pPr>
              <w:spacing w:line="240" w:lineRule="auto" w:after="0"/>
              <w:ind w:left="0"/>
            </w:pPr>
            <w:r>
              <w:rPr>
                <w:rFonts w:ascii="Consolas" w:hAnsi="Consolas"/>
                <w:color w:val="1F3535"/>
                <w:sz w:val="18"/>
              </w:rPr>
              <w:t xml:space="preserve">        self.rng.shuffle(cells)</w:t>
            </w:r>
          </w:p>
          <w:p>
            <w:pPr>
              <w:spacing w:line="240" w:lineRule="auto" w:after="0"/>
              <w:ind w:left="0"/>
            </w:pPr>
            <w:r>
              <w:rPr>
                <w:rFonts w:ascii="Consolas" w:hAnsi="Consolas"/>
                <w:color w:val="1F3535"/>
                <w:sz w:val="18"/>
              </w:rPr>
              <w:t xml:space="preserve">        return cells[:n]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_make_one(self, module: ModuleId, difficulty: Difficulty</w:t>
            </w:r>
          </w:p>
          <w:p>
            <w:pPr>
              <w:spacing w:line="240" w:lineRule="auto" w:after="0"/>
              <w:ind w:left="0"/>
            </w:pPr>
            <w:r>
              <w:rPr>
                <w:rFonts w:ascii="Consolas" w:hAnsi="Consolas"/>
                <w:color w:val="1F3535"/>
                <w:sz w:val="18"/>
              </w:rPr>
              <w:t xml:space="preserve">                  ) -&gt; tuple[TrainingRecord, ManifestRecord]:</w:t>
            </w:r>
          </w:p>
          <w:p>
            <w:pPr>
              <w:spacing w:line="240" w:lineRule="auto" w:after="0"/>
              <w:ind w:left="0"/>
            </w:pPr>
            <w:r>
              <w:rPr>
                <w:rFonts w:ascii="Consolas" w:hAnsi="Consolas"/>
                <w:color w:val="1F3535"/>
                <w:sz w:val="18"/>
              </w:rPr>
              <w:t xml:space="preserve">        candidates = self._index.get((module.value, difficulty.value), [])</w:t>
            </w:r>
          </w:p>
          <w:p>
            <w:pPr>
              <w:spacing w:line="240" w:lineRule="auto" w:after="0"/>
              <w:ind w:left="0"/>
            </w:pPr>
            <w:r>
              <w:rPr>
                <w:rFonts w:ascii="Consolas" w:hAnsi="Consolas"/>
                <w:color w:val="1F3535"/>
                <w:sz w:val="18"/>
              </w:rPr>
              <w:t xml:space="preserve">        if candidates:</w:t>
            </w:r>
          </w:p>
          <w:p>
            <w:pPr>
              <w:spacing w:line="240" w:lineRule="auto" w:after="0"/>
              <w:ind w:left="0"/>
            </w:pPr>
            <w:r>
              <w:rPr>
                <w:rFonts w:ascii="Consolas" w:hAnsi="Consolas"/>
                <w:color w:val="1F3535"/>
                <w:sz w:val="18"/>
              </w:rPr>
              <w:t xml:space="preserve">            template = self.rng.choice(candidates)</w:t>
            </w:r>
          </w:p>
          <w:p>
            <w:pPr>
              <w:spacing w:line="240" w:lineRule="auto" w:after="0"/>
              <w:ind w:left="0"/>
            </w:pPr>
            <w:r>
              <w:rPr>
                <w:rFonts w:ascii="Consolas" w:hAnsi="Consolas"/>
                <w:color w:val="1F3535"/>
                <w:sz w:val="18"/>
              </w:rPr>
              <w:t xml:space="preserve">            return self._materialize(template, module, difficulty)</w:t>
            </w:r>
          </w:p>
          <w:p>
            <w:pPr>
              <w:spacing w:line="240" w:lineRule="auto" w:after="0"/>
              <w:ind w:left="0"/>
            </w:pPr>
            <w:r>
              <w:rPr>
                <w:rFonts w:ascii="Consolas" w:hAnsi="Consolas"/>
                <w:color w:val="1F3535"/>
                <w:sz w:val="18"/>
              </w:rPr>
              <w:t xml:space="preserve">        # No seed template for this bucket — emit a 'needs-template' placeholder</w:t>
            </w:r>
          </w:p>
          <w:p>
            <w:pPr>
              <w:spacing w:line="240" w:lineRule="auto" w:after="0"/>
              <w:ind w:left="0"/>
            </w:pPr>
            <w:r>
              <w:rPr>
                <w:rFonts w:ascii="Consolas" w:hAnsi="Consolas"/>
                <w:color w:val="1F3535"/>
                <w:sz w:val="18"/>
              </w:rPr>
              <w:t xml:space="preserve">        return self._emit_placeholder(module, difficulty)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_materialize(self, t: RecordTemplate, module: ModuleId,</w:t>
            </w:r>
          </w:p>
          <w:p>
            <w:pPr>
              <w:spacing w:line="240" w:lineRule="auto" w:after="0"/>
              <w:ind w:left="0"/>
            </w:pPr>
            <w:r>
              <w:rPr>
                <w:rFonts w:ascii="Consolas" w:hAnsi="Consolas"/>
                <w:color w:val="1F3535"/>
                <w:sz w:val="18"/>
              </w:rPr>
              <w:t xml:space="preserve">                     difficulty: Difficulty</w:t>
            </w:r>
          </w:p>
          <w:p>
            <w:pPr>
              <w:spacing w:line="240" w:lineRule="auto" w:after="0"/>
              <w:ind w:left="0"/>
            </w:pPr>
            <w:r>
              <w:rPr>
                <w:rFonts w:ascii="Consolas" w:hAnsi="Consolas"/>
                <w:color w:val="1F3535"/>
                <w:sz w:val="18"/>
              </w:rPr>
              <w:t xml:space="preserve">                     ) -&gt; tuple[TrainingRecord, ManifestRecord]:</w:t>
            </w:r>
          </w:p>
          <w:p>
            <w:pPr>
              <w:spacing w:line="240" w:lineRule="auto" w:after="0"/>
              <w:ind w:left="0"/>
            </w:pPr>
            <w:r>
              <w:rPr>
                <w:rFonts w:ascii="Consolas" w:hAnsi="Consolas"/>
                <w:color w:val="1F3535"/>
                <w:sz w:val="18"/>
              </w:rPr>
              <w:t xml:space="preserve">        rid = self.id_alloc.next(module, difficulty)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Optional variation by template_id (currently pass-through for seed</w:t>
            </w:r>
          </w:p>
          <w:p>
            <w:pPr>
              <w:spacing w:line="240" w:lineRule="auto" w:after="0"/>
              <w:ind w:left="0"/>
            </w:pPr>
            <w:r>
              <w:rPr>
                <w:rFonts w:ascii="Consolas" w:hAnsi="Consolas"/>
                <w:color w:val="1F3535"/>
                <w:sz w:val="18"/>
              </w:rPr>
              <w:t xml:space="preserve">        # templates — production scaling would substitute the varied values</w:t>
            </w:r>
          </w:p>
          <w:p>
            <w:pPr>
              <w:spacing w:line="240" w:lineRule="auto" w:after="0"/>
              <w:ind w:left="0"/>
            </w:pPr>
            <w:r>
              <w:rPr>
                <w:rFonts w:ascii="Consolas" w:hAnsi="Consolas"/>
                <w:color w:val="1F3535"/>
                <w:sz w:val="18"/>
              </w:rPr>
              <w:t xml:space="preserve">        # into the user/assistant strings).</w:t>
            </w:r>
          </w:p>
          <w:p>
            <w:pPr>
              <w:spacing w:line="240" w:lineRule="auto" w:after="0"/>
              <w:ind w:left="0"/>
            </w:pPr>
            <w:r>
              <w:rPr>
                <w:rFonts w:ascii="Consolas" w:hAnsi="Consolas"/>
                <w:color w:val="1F3535"/>
                <w:sz w:val="18"/>
              </w:rPr>
              <w:t xml:space="preserve">        user_text = t.user</w:t>
            </w:r>
          </w:p>
          <w:p>
            <w:pPr>
              <w:spacing w:line="240" w:lineRule="auto" w:after="0"/>
              <w:ind w:left="0"/>
            </w:pPr>
            <w:r>
              <w:rPr>
                <w:rFonts w:ascii="Consolas" w:hAnsi="Consolas"/>
                <w:color w:val="1F3535"/>
                <w:sz w:val="18"/>
              </w:rPr>
              <w:t xml:space="preserve">        asst_text = t.assistant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record = TrainingRecord(messages=[</w:t>
            </w:r>
          </w:p>
          <w:p>
            <w:pPr>
              <w:spacing w:line="240" w:lineRule="auto" w:after="0"/>
              <w:ind w:left="0"/>
            </w:pPr>
            <w:r>
              <w:rPr>
                <w:rFonts w:ascii="Consolas" w:hAnsi="Consolas"/>
                <w:color w:val="1F3535"/>
                <w:sz w:val="18"/>
              </w:rPr>
              <w:t xml:space="preserve">            ChatMessage(role="system",    content=t.system),</w:t>
            </w:r>
          </w:p>
          <w:p>
            <w:pPr>
              <w:spacing w:line="240" w:lineRule="auto" w:after="0"/>
              <w:ind w:left="0"/>
            </w:pPr>
            <w:r>
              <w:rPr>
                <w:rFonts w:ascii="Consolas" w:hAnsi="Consolas"/>
                <w:color w:val="1F3535"/>
                <w:sz w:val="18"/>
              </w:rPr>
              <w:t xml:space="preserve">            ChatMessage(role="user",      content=user_text),</w:t>
            </w:r>
          </w:p>
          <w:p>
            <w:pPr>
              <w:spacing w:line="240" w:lineRule="auto" w:after="0"/>
              <w:ind w:left="0"/>
            </w:pPr>
            <w:r>
              <w:rPr>
                <w:rFonts w:ascii="Consolas" w:hAnsi="Consolas"/>
                <w:color w:val="1F3535"/>
                <w:sz w:val="18"/>
              </w:rPr>
              <w:t xml:space="preserve">            ChatMessage(role="assistant", content=asst_text),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manifest = ManifestRecord(</w:t>
            </w:r>
          </w:p>
          <w:p>
            <w:pPr>
              <w:spacing w:line="240" w:lineRule="auto" w:after="0"/>
              <w:ind w:left="0"/>
            </w:pPr>
            <w:r>
              <w:rPr>
                <w:rFonts w:ascii="Consolas" w:hAnsi="Consolas"/>
                <w:color w:val="1F3535"/>
                <w:sz w:val="18"/>
              </w:rPr>
              <w:t xml:space="preserve">            record_id=rid,</w:t>
            </w:r>
          </w:p>
          <w:p>
            <w:pPr>
              <w:spacing w:line="240" w:lineRule="auto" w:after="0"/>
              <w:ind w:left="0"/>
            </w:pPr>
            <w:r>
              <w:rPr>
                <w:rFonts w:ascii="Consolas" w:hAnsi="Consolas"/>
                <w:color w:val="1F3535"/>
                <w:sz w:val="18"/>
              </w:rPr>
              <w:t xml:space="preserve">            module_id=module,</w:t>
            </w:r>
          </w:p>
          <w:p>
            <w:pPr>
              <w:spacing w:line="240" w:lineRule="auto" w:after="0"/>
              <w:ind w:left="0"/>
            </w:pPr>
            <w:r>
              <w:rPr>
                <w:rFonts w:ascii="Consolas" w:hAnsi="Consolas"/>
                <w:color w:val="1F3535"/>
                <w:sz w:val="18"/>
              </w:rPr>
              <w:t xml:space="preserve">            difficulty=difficulty,</w:t>
            </w:r>
          </w:p>
          <w:p>
            <w:pPr>
              <w:spacing w:line="240" w:lineRule="auto" w:after="0"/>
              <w:ind w:left="0"/>
            </w:pPr>
            <w:r>
              <w:rPr>
                <w:rFonts w:ascii="Consolas" w:hAnsi="Consolas"/>
                <w:color w:val="1F3535"/>
                <w:sz w:val="18"/>
              </w:rPr>
              <w:t xml:space="preserve">            task_type=t.task_type,</w:t>
            </w:r>
          </w:p>
          <w:p>
            <w:pPr>
              <w:spacing w:line="240" w:lineRule="auto" w:after="0"/>
              <w:ind w:left="0"/>
            </w:pPr>
            <w:r>
              <w:rPr>
                <w:rFonts w:ascii="Consolas" w:hAnsi="Consolas"/>
                <w:color w:val="1F3535"/>
                <w:sz w:val="18"/>
              </w:rPr>
              <w:t xml:space="preserve">            topic_tags=list(t.topic_tags),</w:t>
            </w:r>
          </w:p>
          <w:p>
            <w:pPr>
              <w:spacing w:line="240" w:lineRule="auto" w:after="0"/>
              <w:ind w:left="0"/>
            </w:pPr>
            <w:r>
              <w:rPr>
                <w:rFonts w:ascii="Consolas" w:hAnsi="Consolas"/>
                <w:color w:val="1F3535"/>
                <w:sz w:val="18"/>
              </w:rPr>
              <w:t xml:space="preserve">            authoritative_references=list(t.references),</w:t>
            </w:r>
          </w:p>
          <w:p>
            <w:pPr>
              <w:spacing w:line="240" w:lineRule="auto" w:after="0"/>
              <w:ind w:left="0"/>
            </w:pPr>
            <w:r>
              <w:rPr>
                <w:rFonts w:ascii="Consolas" w:hAnsi="Consolas"/>
                <w:color w:val="1F3535"/>
                <w:sz w:val="18"/>
              </w:rPr>
              <w:t xml:space="preserve">            required_skills=list(t.required_skills),</w:t>
            </w:r>
          </w:p>
          <w:p>
            <w:pPr>
              <w:spacing w:line="240" w:lineRule="auto" w:after="0"/>
              <w:ind w:left="0"/>
            </w:pPr>
            <w:r>
              <w:rPr>
                <w:rFonts w:ascii="Consolas" w:hAnsi="Consolas"/>
                <w:color w:val="1F3535"/>
                <w:sz w:val="18"/>
              </w:rPr>
              <w:t xml:space="preserve">            citation_verified=False,</w:t>
            </w:r>
          </w:p>
          <w:p>
            <w:pPr>
              <w:spacing w:line="240" w:lineRule="auto" w:after="0"/>
              <w:ind w:left="0"/>
            </w:pPr>
            <w:r>
              <w:rPr>
                <w:rFonts w:ascii="Consolas" w:hAnsi="Consolas"/>
                <w:color w:val="1F3535"/>
                <w:sz w:val="18"/>
              </w:rPr>
              <w:t xml:space="preserve">            answer_verified=False,</w:t>
            </w:r>
          </w:p>
          <w:p>
            <w:pPr>
              <w:spacing w:line="240" w:lineRule="auto" w:after="0"/>
              <w:ind w:left="0"/>
            </w:pPr>
            <w:r>
              <w:rPr>
                <w:rFonts w:ascii="Consolas" w:hAnsi="Consolas"/>
                <w:color w:val="1F3535"/>
                <w:sz w:val="18"/>
              </w:rPr>
              <w:t xml:space="preserve">            calculation_verified=False,</w:t>
            </w:r>
          </w:p>
          <w:p>
            <w:pPr>
              <w:spacing w:line="240" w:lineRule="auto" w:after="0"/>
              <w:ind w:left="0"/>
            </w:pPr>
            <w:r>
              <w:rPr>
                <w:rFonts w:ascii="Consolas" w:hAnsi="Consolas"/>
                <w:color w:val="1F3535"/>
                <w:sz w:val="18"/>
              </w:rPr>
              <w:t xml:space="preserve">            provenance=Provenance.TEMPLATE_GENERATED,</w:t>
            </w:r>
          </w:p>
          <w:p>
            <w:pPr>
              <w:spacing w:line="240" w:lineRule="auto" w:after="0"/>
              <w:ind w:left="0"/>
            </w:pPr>
            <w:r>
              <w:rPr>
                <w:rFonts w:ascii="Consolas" w:hAnsi="Consolas"/>
                <w:color w:val="1F3535"/>
                <w:sz w:val="18"/>
              </w:rPr>
              <w:t xml:space="preserve">            split=Split.TRAIN,</w:t>
            </w:r>
          </w:p>
          <w:p>
            <w:pPr>
              <w:spacing w:line="240" w:lineRule="auto" w:after="0"/>
              <w:ind w:left="0"/>
            </w:pPr>
            <w:r>
              <w:rPr>
                <w:rFonts w:ascii="Consolas" w:hAnsi="Consolas"/>
                <w:color w:val="1F3535"/>
                <w:sz w:val="18"/>
              </w:rPr>
              <w:t xml:space="preserve">            grading_rubric={</w:t>
            </w:r>
          </w:p>
          <w:p>
            <w:pPr>
              <w:spacing w:line="240" w:lineRule="auto" w:after="0"/>
              <w:ind w:left="0"/>
            </w:pPr>
            <w:r>
              <w:rPr>
                <w:rFonts w:ascii="Consolas" w:hAnsi="Consolas"/>
                <w:color w:val="1F3535"/>
                <w:sz w:val="18"/>
              </w:rPr>
              <w:t xml:space="preserve">                "technical_accuracy": 30,</w:t>
            </w:r>
          </w:p>
          <w:p>
            <w:pPr>
              <w:spacing w:line="240" w:lineRule="auto" w:after="0"/>
              <w:ind w:left="0"/>
            </w:pPr>
            <w:r>
              <w:rPr>
                <w:rFonts w:ascii="Consolas" w:hAnsi="Consolas"/>
                <w:color w:val="1F3535"/>
                <w:sz w:val="18"/>
              </w:rPr>
              <w:t xml:space="preserve">                "citation_accuracy": 20,</w:t>
            </w:r>
          </w:p>
          <w:p>
            <w:pPr>
              <w:spacing w:line="240" w:lineRule="auto" w:after="0"/>
              <w:ind w:left="0"/>
            </w:pPr>
            <w:r>
              <w:rPr>
                <w:rFonts w:ascii="Consolas" w:hAnsi="Consolas"/>
                <w:color w:val="1F3535"/>
                <w:sz w:val="18"/>
              </w:rPr>
              <w:t xml:space="preserve">                "numerical_accuracy": 15,</w:t>
            </w:r>
          </w:p>
          <w:p>
            <w:pPr>
              <w:spacing w:line="240" w:lineRule="auto" w:after="0"/>
              <w:ind w:left="0"/>
            </w:pPr>
            <w:r>
              <w:rPr>
                <w:rFonts w:ascii="Consolas" w:hAnsi="Consolas"/>
                <w:color w:val="1F3535"/>
                <w:sz w:val="18"/>
              </w:rPr>
              <w:t xml:space="preserve">                "fact_analysis": 15,</w:t>
            </w:r>
          </w:p>
          <w:p>
            <w:pPr>
              <w:spacing w:line="240" w:lineRule="auto" w:after="0"/>
              <w:ind w:left="0"/>
            </w:pPr>
            <w:r>
              <w:rPr>
                <w:rFonts w:ascii="Consolas" w:hAnsi="Consolas"/>
                <w:color w:val="1F3535"/>
                <w:sz w:val="18"/>
              </w:rPr>
              <w:t xml:space="preserve">                "alternative_analysis": 10,</w:t>
            </w:r>
          </w:p>
          <w:p>
            <w:pPr>
              <w:spacing w:line="240" w:lineRule="auto" w:after="0"/>
              <w:ind w:left="0"/>
            </w:pPr>
            <w:r>
              <w:rPr>
                <w:rFonts w:ascii="Consolas" w:hAnsi="Consolas"/>
                <w:color w:val="1F3535"/>
                <w:sz w:val="18"/>
              </w:rPr>
              <w:t xml:space="preserve">                "presentation": 10,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return record, manifest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_emit_placeholder(self, module: ModuleId, difficulty: Difficulty</w:t>
            </w:r>
          </w:p>
          <w:p>
            <w:pPr>
              <w:spacing w:line="240" w:lineRule="auto" w:after="0"/>
              <w:ind w:left="0"/>
            </w:pPr>
            <w:r>
              <w:rPr>
                <w:rFonts w:ascii="Consolas" w:hAnsi="Consolas"/>
                <w:color w:val="1F3535"/>
                <w:sz w:val="18"/>
              </w:rPr>
              <w:t xml:space="preserve">                         ) -&gt; tuple[TrainingRecord, ManifestRecord]:</w:t>
            </w:r>
          </w:p>
          <w:p>
            <w:pPr>
              <w:spacing w:line="240" w:lineRule="auto" w:after="0"/>
              <w:ind w:left="0"/>
            </w:pPr>
            <w:r>
              <w:rPr>
                <w:rFonts w:ascii="Consolas" w:hAnsi="Consolas"/>
                <w:color w:val="1F3535"/>
                <w:sz w:val="18"/>
              </w:rPr>
              <w:t xml:space="preserve">        """For buckets without a seed template, emit a clearly-marked</w:t>
            </w:r>
          </w:p>
          <w:p>
            <w:pPr>
              <w:spacing w:line="240" w:lineRule="auto" w:after="0"/>
              <w:ind w:left="0"/>
            </w:pPr>
            <w:r>
              <w:rPr>
                <w:rFonts w:ascii="Consolas" w:hAnsi="Consolas"/>
                <w:color w:val="1F3535"/>
                <w:sz w:val="18"/>
              </w:rPr>
              <w:t xml:space="preserve">        'needs-template' record so the validator can flag it."""</w:t>
            </w:r>
          </w:p>
          <w:p>
            <w:pPr>
              <w:spacing w:line="240" w:lineRule="auto" w:after="0"/>
              <w:ind w:left="0"/>
            </w:pPr>
            <w:r>
              <w:rPr>
                <w:rFonts w:ascii="Consolas" w:hAnsi="Consolas"/>
                <w:color w:val="1F3535"/>
                <w:sz w:val="18"/>
              </w:rPr>
              <w:t xml:space="preserve">        rid = self.id_alloc.next(module, difficulty)</w:t>
            </w:r>
          </w:p>
          <w:p>
            <w:pPr>
              <w:spacing w:line="240" w:lineRule="auto" w:after="0"/>
              <w:ind w:left="0"/>
            </w:pPr>
            <w:r>
              <w:rPr>
                <w:rFonts w:ascii="Consolas" w:hAnsi="Consolas"/>
                <w:color w:val="1F3535"/>
                <w:sz w:val="18"/>
              </w:rPr>
              <w:t xml:space="preserve">        record = TrainingRecord(messages=[</w:t>
            </w:r>
          </w:p>
          <w:p>
            <w:pPr>
              <w:spacing w:line="240" w:lineRule="auto" w:after="0"/>
              <w:ind w:left="0"/>
            </w:pPr>
            <w:r>
              <w:rPr>
                <w:rFonts w:ascii="Consolas" w:hAnsi="Consolas"/>
                <w:color w:val="1F3535"/>
                <w:sz w:val="18"/>
              </w:rPr>
              <w:t xml:space="preserve">            ChatMessage(role="system", content=SYSTEM_PROMPTS["default"]),</w:t>
            </w:r>
          </w:p>
          <w:p>
            <w:pPr>
              <w:spacing w:line="240" w:lineRule="auto" w:after="0"/>
              <w:ind w:left="0"/>
            </w:pPr>
            <w:r>
              <w:rPr>
                <w:rFonts w:ascii="Consolas" w:hAnsi="Consolas"/>
                <w:color w:val="1F3535"/>
                <w:sz w:val="18"/>
              </w:rPr>
              <w:t xml:space="preserve">            ChatMessage(role="user",</w:t>
            </w:r>
          </w:p>
          <w:p>
            <w:pPr>
              <w:spacing w:line="240" w:lineRule="auto" w:after="0"/>
              <w:ind w:left="0"/>
            </w:pPr>
            <w:r>
              <w:rPr>
                <w:rFonts w:ascii="Consolas" w:hAnsi="Consolas"/>
                <w:color w:val="1F3535"/>
                <w:sz w:val="18"/>
              </w:rPr>
              <w:t xml:space="preserve">                content=f"[PLACEHOLDER — needs seed template for {module.value} / {difficulty.value}]"),</w:t>
            </w:r>
          </w:p>
          <w:p>
            <w:pPr>
              <w:spacing w:line="240" w:lineRule="auto" w:after="0"/>
              <w:ind w:left="0"/>
            </w:pPr>
            <w:r>
              <w:rPr>
                <w:rFonts w:ascii="Consolas" w:hAnsi="Consolas"/>
                <w:color w:val="1F3535"/>
                <w:sz w:val="18"/>
              </w:rPr>
              <w:t xml:space="preserve">            ChatMessage(role="assistant",</w:t>
            </w:r>
          </w:p>
          <w:p>
            <w:pPr>
              <w:spacing w:line="240" w:lineRule="auto" w:after="0"/>
              <w:ind w:left="0"/>
            </w:pPr>
            <w:r>
              <w:rPr>
                <w:rFonts w:ascii="Consolas" w:hAnsi="Consolas"/>
                <w:color w:val="1F3535"/>
                <w:sz w:val="18"/>
              </w:rPr>
              <w:t xml:space="preserve">                content="This record is a placeholder. Replace with a verified seed template before training."),</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manifest = ManifestRecord(</w:t>
            </w:r>
          </w:p>
          <w:p>
            <w:pPr>
              <w:spacing w:line="240" w:lineRule="auto" w:after="0"/>
              <w:ind w:left="0"/>
            </w:pPr>
            <w:r>
              <w:rPr>
                <w:rFonts w:ascii="Consolas" w:hAnsi="Consolas"/>
                <w:color w:val="1F3535"/>
                <w:sz w:val="18"/>
              </w:rPr>
              <w:t xml:space="preserve">            record_id=rid, module_id=module, difficulty=difficulty,</w:t>
            </w:r>
          </w:p>
          <w:p>
            <w:pPr>
              <w:spacing w:line="240" w:lineRule="auto" w:after="0"/>
              <w:ind w:left="0"/>
            </w:pPr>
            <w:r>
              <w:rPr>
                <w:rFonts w:ascii="Consolas" w:hAnsi="Consolas"/>
                <w:color w:val="1F3535"/>
                <w:sz w:val="18"/>
              </w:rPr>
              <w:t xml:space="preserve">            task_type=TaskType.EXPLANATION,</w:t>
            </w:r>
          </w:p>
          <w:p>
            <w:pPr>
              <w:spacing w:line="240" w:lineRule="auto" w:after="0"/>
              <w:ind w:left="0"/>
            </w:pPr>
            <w:r>
              <w:rPr>
                <w:rFonts w:ascii="Consolas" w:hAnsi="Consolas"/>
                <w:color w:val="1F3535"/>
                <w:sz w:val="18"/>
              </w:rPr>
              <w:t xml:space="preserve">            topic_tags=["needs_template"],</w:t>
            </w:r>
          </w:p>
          <w:p>
            <w:pPr>
              <w:spacing w:line="240" w:lineRule="auto" w:after="0"/>
              <w:ind w:left="0"/>
            </w:pPr>
            <w:r>
              <w:rPr>
                <w:rFonts w:ascii="Consolas" w:hAnsi="Consolas"/>
                <w:color w:val="1F3535"/>
                <w:sz w:val="18"/>
              </w:rPr>
              <w:t xml:space="preserve">            authoritative_references=[],</w:t>
            </w:r>
          </w:p>
          <w:p>
            <w:pPr>
              <w:spacing w:line="240" w:lineRule="auto" w:after="0"/>
              <w:ind w:left="0"/>
            </w:pPr>
            <w:r>
              <w:rPr>
                <w:rFonts w:ascii="Consolas" w:hAnsi="Consolas"/>
                <w:color w:val="1F3535"/>
                <w:sz w:val="18"/>
              </w:rPr>
              <w:t xml:space="preserve">            required_skills=[],</w:t>
            </w:r>
          </w:p>
          <w:p>
            <w:pPr>
              <w:spacing w:line="240" w:lineRule="auto" w:after="0"/>
              <w:ind w:left="0"/>
            </w:pPr>
            <w:r>
              <w:rPr>
                <w:rFonts w:ascii="Consolas" w:hAnsi="Consolas"/>
                <w:color w:val="1F3535"/>
                <w:sz w:val="18"/>
              </w:rPr>
              <w:t xml:space="preserve">            citation_verified=False, answer_verified=False,</w:t>
            </w:r>
          </w:p>
          <w:p>
            <w:pPr>
              <w:spacing w:line="240" w:lineRule="auto" w:after="0"/>
              <w:ind w:left="0"/>
            </w:pPr>
            <w:r>
              <w:rPr>
                <w:rFonts w:ascii="Consolas" w:hAnsi="Consolas"/>
                <w:color w:val="1F3535"/>
                <w:sz w:val="18"/>
              </w:rPr>
              <w:t xml:space="preserve">            calculation_verified=False, provenance=Provenance.TEMPLATE_GENERATED,</w:t>
            </w:r>
          </w:p>
          <w:p>
            <w:pPr>
              <w:spacing w:line="240" w:lineRule="auto" w:after="0"/>
              <w:ind w:left="0"/>
            </w:pPr>
            <w:r>
              <w:rPr>
                <w:rFonts w:ascii="Consolas" w:hAnsi="Consolas"/>
                <w:color w:val="1F3535"/>
                <w:sz w:val="18"/>
              </w:rPr>
              <w:t xml:space="preserve">            split=Split.TRAIN,</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return record, manifest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CLI entry point</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cli_main(n: int = 200, out: str = "data/processed/asc606.jsonl",</w:t>
            </w:r>
          </w:p>
          <w:p>
            <w:pPr>
              <w:spacing w:line="240" w:lineRule="auto" w:after="0"/>
              <w:ind w:left="0"/>
            </w:pPr>
            <w:r>
              <w:rPr>
                <w:rFonts w:ascii="Consolas" w:hAnsi="Consolas"/>
                <w:color w:val="1F3535"/>
                <w:sz w:val="18"/>
              </w:rPr>
              <w:t xml:space="preserve">             manifest_out: str | None = None, seed: int = 42) -&gt; None:</w:t>
            </w:r>
          </w:p>
          <w:p>
            <w:pPr>
              <w:spacing w:line="240" w:lineRule="auto" w:after="0"/>
              <w:ind w:left="0"/>
            </w:pPr>
            <w:r>
              <w:rPr>
                <w:rFonts w:ascii="Consolas" w:hAnsi="Consolas"/>
                <w:color w:val="1F3535"/>
                <w:sz w:val="18"/>
              </w:rPr>
              <w:t xml:space="preserve">    gen = ASC606Generator(seed=seed)</w:t>
            </w:r>
          </w:p>
          <w:p>
            <w:pPr>
              <w:spacing w:line="240" w:lineRule="auto" w:after="0"/>
              <w:ind w:left="0"/>
            </w:pPr>
            <w:r>
              <w:rPr>
                <w:rFonts w:ascii="Consolas" w:hAnsi="Consolas"/>
                <w:color w:val="1F3535"/>
                <w:sz w:val="18"/>
              </w:rPr>
              <w:t xml:space="preserve">    records = gen.generate(n)</w:t>
            </w:r>
          </w:p>
          <w:p>
            <w:pPr>
              <w:spacing w:line="240" w:lineRule="auto" w:after="0"/>
              <w:ind w:left="0"/>
            </w:pPr>
            <w:r>
              <w:rPr>
                <w:rFonts w:ascii="Consolas" w:hAnsi="Consolas"/>
                <w:color w:val="1F3535"/>
                <w:sz w:val="18"/>
              </w:rPr>
              <w:t xml:space="preserve">    out_path = Path(out)</w:t>
            </w:r>
          </w:p>
          <w:p>
            <w:pPr>
              <w:spacing w:line="240" w:lineRule="auto" w:after="0"/>
              <w:ind w:left="0"/>
            </w:pPr>
            <w:r>
              <w:rPr>
                <w:rFonts w:ascii="Consolas" w:hAnsi="Consolas"/>
                <w:color w:val="1F3535"/>
                <w:sz w:val="18"/>
              </w:rPr>
              <w:t xml:space="preserve">    gen.write_jsonl(records, out_path)</w:t>
            </w:r>
          </w:p>
          <w:p>
            <w:pPr>
              <w:spacing w:line="240" w:lineRule="auto" w:after="0"/>
              <w:ind w:left="0"/>
            </w:pPr>
            <w:r>
              <w:rPr>
                <w:rFonts w:ascii="Consolas" w:hAnsi="Consolas"/>
                <w:color w:val="1F3535"/>
                <w:sz w:val="18"/>
              </w:rPr>
              <w:t xml:space="preserve">    if manifest_out is None:</w:t>
            </w:r>
          </w:p>
          <w:p>
            <w:pPr>
              <w:spacing w:line="240" w:lineRule="auto" w:after="0"/>
              <w:ind w:left="0"/>
            </w:pPr>
            <w:r>
              <w:rPr>
                <w:rFonts w:ascii="Consolas" w:hAnsi="Consolas"/>
                <w:color w:val="1F3535"/>
                <w:sz w:val="18"/>
              </w:rPr>
              <w:t xml:space="preserve">        manifest_out = str(out_path.parent / "manifests" /</w:t>
            </w:r>
          </w:p>
          <w:p>
            <w:pPr>
              <w:spacing w:line="240" w:lineRule="auto" w:after="0"/>
              <w:ind w:left="0"/>
            </w:pPr>
            <w:r>
              <w:rPr>
                <w:rFonts w:ascii="Consolas" w:hAnsi="Consolas"/>
                <w:color w:val="1F3535"/>
                <w:sz w:val="18"/>
              </w:rPr>
              <w:t xml:space="preserve">                           (out_path.stem + "_manifest.jsonl"))</w:t>
            </w:r>
          </w:p>
          <w:p>
            <w:pPr>
              <w:spacing w:line="240" w:lineRule="auto" w:after="0"/>
              <w:ind w:left="0"/>
            </w:pPr>
            <w:r>
              <w:rPr>
                <w:rFonts w:ascii="Consolas" w:hAnsi="Consolas"/>
                <w:color w:val="1F3535"/>
                <w:sz w:val="18"/>
              </w:rPr>
              <w:t xml:space="preserve">    gen.write_manifest(records, Path(manifest_out))</w:t>
            </w:r>
          </w:p>
          <w:p>
            <w:pPr>
              <w:spacing w:line="240" w:lineRule="auto" w:after="0"/>
              <w:ind w:left="0"/>
            </w:pPr>
            <w:r>
              <w:rPr>
                <w:rFonts w:ascii="Consolas" w:hAnsi="Consolas"/>
                <w:color w:val="1F3535"/>
                <w:sz w:val="18"/>
              </w:rPr>
              <w:t xml:space="preserve">    print(f"Wrote {len(records)} records -&gt; {out_path}")</w:t>
            </w:r>
          </w:p>
          <w:p>
            <w:pPr>
              <w:spacing w:line="240" w:lineRule="auto" w:after="0"/>
              <w:ind w:left="0"/>
            </w:pPr>
            <w:r>
              <w:rPr>
                <w:rFonts w:ascii="Consolas" w:hAnsi="Consolas"/>
                <w:color w:val="1F3535"/>
                <w:sz w:val="18"/>
              </w:rPr>
              <w:t xml:space="preserve">    print(f"Wrote manifest -&gt; {manifest_out}")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cli_main()</w:t>
            </w:r>
          </w:p>
          <w:p>
            <w:pPr>
              <w:spacing w:line="240" w:lineRule="auto" w:after="0"/>
              <w:ind w:left="0"/>
            </w:pPr>
            <w:r>
              <w:rPr>
                <w:rFonts w:ascii="Consolas" w:hAnsi="Consolas"/>
                <w:color w:val="1F3535"/>
                <w:sz w:val="18"/>
              </w:rPr>
            </w:r>
          </w:p>
        </w:tc>
      </w:tr>
    </w:tbl>
    <w:p>
      <w:pPr>
        <w:spacing w:after="80"/>
      </w:pPr>
    </w:p>
    <w:p>
      <w:pPr>
        <w:pStyle w:val="Heading3"/>
      </w:pPr>
      <w:r>
        <w:rPr>
          <w:color w:val="1F3864"/>
        </w:rPr>
        <w:t>src/asc606_trainer/validator.py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"""JSONL + accounting-sanity validator for ASC 606 training 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validator enforces:</w:t>
            </w:r>
          </w:p>
          <w:p>
            <w:pPr>
              <w:spacing w:line="240" w:lineRule="auto" w:after="0"/>
              <w:ind w:left="0"/>
            </w:pPr>
            <w:r>
              <w:rPr>
                <w:rFonts w:ascii="Consolas" w:hAnsi="Consolas"/>
                <w:color w:val="1F3535"/>
                <w:sz w:val="18"/>
              </w:rPr>
              <w:t xml:space="preserve">  1. **Schema** — every line parses as a `TrainingRecord` (system/user/assistant</w:t>
            </w:r>
          </w:p>
          <w:p>
            <w:pPr>
              <w:spacing w:line="240" w:lineRule="auto" w:after="0"/>
              <w:ind w:left="0"/>
            </w:pPr>
            <w:r>
              <w:rPr>
                <w:rFonts w:ascii="Consolas" w:hAnsi="Consolas"/>
                <w:color w:val="1F3535"/>
                <w:sz w:val="18"/>
              </w:rPr>
              <w:t xml:space="preserve">     ordering, non-empty content).</w:t>
            </w:r>
          </w:p>
          <w:p>
            <w:pPr>
              <w:spacing w:line="240" w:lineRule="auto" w:after="0"/>
              <w:ind w:left="0"/>
            </w:pPr>
            <w:r>
              <w:rPr>
                <w:rFonts w:ascii="Consolas" w:hAnsi="Consolas"/>
                <w:color w:val="1F3535"/>
                <w:sz w:val="18"/>
              </w:rPr>
              <w:t xml:space="preserve">  2. **Internal consistency** — assistant content does not contain obvious</w:t>
            </w:r>
          </w:p>
          <w:p>
            <w:pPr>
              <w:spacing w:line="240" w:lineRule="auto" w:after="0"/>
              <w:ind w:left="0"/>
            </w:pPr>
            <w:r>
              <w:rPr>
                <w:rFonts w:ascii="Consolas" w:hAnsi="Consolas"/>
                <w:color w:val="1F3535"/>
                <w:sz w:val="18"/>
              </w:rPr>
              <w:t xml:space="preserve">     citation traps (fake ASC paragraph numbers).</w:t>
            </w:r>
          </w:p>
          <w:p>
            <w:pPr>
              <w:spacing w:line="240" w:lineRule="auto" w:after="0"/>
              <w:ind w:left="0"/>
            </w:pPr>
            <w:r>
              <w:rPr>
                <w:rFonts w:ascii="Consolas" w:hAnsi="Consolas"/>
                <w:color w:val="1F3535"/>
                <w:sz w:val="18"/>
              </w:rPr>
              <w:t xml:space="preserve">  3. **Manifest cross-reference** — every training record has a manifest</w:t>
            </w:r>
          </w:p>
          <w:p>
            <w:pPr>
              <w:spacing w:line="240" w:lineRule="auto" w:after="0"/>
              <w:ind w:left="0"/>
            </w:pPr>
            <w:r>
              <w:rPr>
                <w:rFonts w:ascii="Consolas" w:hAnsi="Consolas"/>
                <w:color w:val="1F3535"/>
                <w:sz w:val="18"/>
              </w:rPr>
              <w:t xml:space="preserve">     entry, and citation-verified flags are accurate.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validator does NOT verify that citations are substantively correct.</w:t>
            </w:r>
          </w:p>
          <w:p>
            <w:pPr>
              <w:spacing w:line="240" w:lineRule="auto" w:after="0"/>
              <w:ind w:left="0"/>
            </w:pPr>
            <w:r>
              <w:rPr>
                <w:rFonts w:ascii="Consolas" w:hAnsi="Consolas"/>
                <w:color w:val="1F3535"/>
                <w:sz w:val="18"/>
              </w:rPr>
              <w:t>That step requires a reviewer with access to the licensed Codification.</w:t>
            </w:r>
          </w:p>
          <w:p>
            <w:pPr>
              <w:spacing w:line="240" w:lineRule="auto" w:after="0"/>
              <w:ind w:left="0"/>
            </w:pPr>
            <w:r>
              <w:rPr>
                <w:rFonts w:ascii="Consolas" w:hAnsi="Consolas"/>
                <w:color w:val="1F3535"/>
                <w:sz w:val="18"/>
              </w:rPr>
              <w:t>What it can do automatically is flag *syntactically suspicious* references</w:t>
            </w:r>
          </w:p>
          <w:p>
            <w:pPr>
              <w:spacing w:line="240" w:lineRule="auto" w:after="0"/>
              <w:ind w:left="0"/>
            </w:pPr>
            <w:r>
              <w:rPr>
                <w:rFonts w:ascii="Consolas" w:hAnsi="Consolas"/>
                <w:color w:val="1F3535"/>
                <w:sz w:val="18"/>
              </w:rPr>
              <w:t>(e.g., nonexistent paragraph numbers like `ASC 606-10-99-99`).</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json</w:t>
            </w:r>
          </w:p>
          <w:p>
            <w:pPr>
              <w:spacing w:line="240" w:lineRule="auto" w:after="0"/>
              <w:ind w:left="0"/>
            </w:pPr>
            <w:r>
              <w:rPr>
                <w:rFonts w:ascii="Consolas" w:hAnsi="Consolas"/>
                <w:color w:val="1F3535"/>
                <w:sz w:val="18"/>
              </w:rPr>
              <w:t>import re</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from .schema import (</w:t>
            </w:r>
          </w:p>
          <w:p>
            <w:pPr>
              <w:spacing w:line="240" w:lineRule="auto" w:after="0"/>
              <w:ind w:left="0"/>
            </w:pPr>
            <w:r>
              <w:rPr>
                <w:rFonts w:ascii="Consolas" w:hAnsi="Consolas"/>
                <w:color w:val="1F3535"/>
                <w:sz w:val="18"/>
              </w:rPr>
              <w:t xml:space="preserve">    ManifestRecord,</w:t>
            </w:r>
          </w:p>
          <w:p>
            <w:pPr>
              <w:spacing w:line="240" w:lineRule="auto" w:after="0"/>
              <w:ind w:left="0"/>
            </w:pPr>
            <w:r>
              <w:rPr>
                <w:rFonts w:ascii="Consolas" w:hAnsi="Consolas"/>
                <w:color w:val="1F3535"/>
                <w:sz w:val="18"/>
              </w:rPr>
              <w:t xml:space="preserve">    TrainingRecord,</w:t>
            </w:r>
          </w:p>
          <w:p>
            <w:pPr>
              <w:spacing w:line="240" w:lineRule="auto" w:after="0"/>
              <w:ind w:left="0"/>
            </w:pPr>
            <w:r>
              <w:rPr>
                <w:rFonts w:ascii="Consolas" w:hAnsi="Consolas"/>
                <w:color w:val="1F3535"/>
                <w:sz w:val="18"/>
              </w:rPr>
              <w:t xml:space="preserve">    ValidationIssue,</w:t>
            </w:r>
          </w:p>
          <w:p>
            <w:pPr>
              <w:spacing w:line="240" w:lineRule="auto" w:after="0"/>
              <w:ind w:left="0"/>
            </w:pPr>
            <w:r>
              <w:rPr>
                <w:rFonts w:ascii="Consolas" w:hAnsi="Consolas"/>
                <w:color w:val="1F3535"/>
                <w:sz w:val="18"/>
              </w:rPr>
              <w:t xml:space="preserve">    ValidationReport,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A "real-looking" ASC citation is roughly:</w:t>
            </w:r>
          </w:p>
          <w:p>
            <w:pPr>
              <w:spacing w:line="240" w:lineRule="auto" w:after="0"/>
              <w:ind w:left="0"/>
            </w:pPr>
            <w:r>
              <w:rPr>
                <w:rFonts w:ascii="Consolas" w:hAnsi="Consolas"/>
                <w:color w:val="1F3535"/>
                <w:sz w:val="18"/>
              </w:rPr>
              <w:t>#   ASC &lt;Topic&gt;-&lt;Subtopic&gt;-&lt;Section&gt;-&lt;Paragraph&gt;</w:t>
            </w:r>
          </w:p>
          <w:p>
            <w:pPr>
              <w:spacing w:line="240" w:lineRule="auto" w:after="0"/>
              <w:ind w:left="0"/>
            </w:pPr>
            <w:r>
              <w:rPr>
                <w:rFonts w:ascii="Consolas" w:hAnsi="Consolas"/>
                <w:color w:val="1F3535"/>
                <w:sz w:val="18"/>
              </w:rPr>
              <w:t>#   e.g. ASC 606-10-32-28</w:t>
            </w:r>
          </w:p>
          <w:p>
            <w:pPr>
              <w:spacing w:line="240" w:lineRule="auto" w:after="0"/>
              <w:ind w:left="0"/>
            </w:pPr>
            <w:r>
              <w:rPr>
                <w:rFonts w:ascii="Consolas" w:hAnsi="Consolas"/>
                <w:color w:val="1F3535"/>
                <w:sz w:val="18"/>
              </w:rPr>
              <w:t>ASC_CITATION_RE = re.compile(</w:t>
            </w:r>
          </w:p>
          <w:p>
            <w:pPr>
              <w:spacing w:line="240" w:lineRule="auto" w:after="0"/>
              <w:ind w:left="0"/>
            </w:pPr>
            <w:r>
              <w:rPr>
                <w:rFonts w:ascii="Consolas" w:hAnsi="Consolas"/>
                <w:color w:val="1F3535"/>
                <w:sz w:val="18"/>
              </w:rPr>
              <w:t xml:space="preserve">    r"\bASC\s*\d{3}-\d{2,3}-\d{2,3}-\d{1,3}\b"</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Known-bogus paragraph numbers (samples — extend as false positives surface).</w:t>
            </w:r>
          </w:p>
          <w:p>
            <w:pPr>
              <w:spacing w:line="240" w:lineRule="auto" w:after="0"/>
              <w:ind w:left="0"/>
            </w:pPr>
            <w:r>
              <w:rPr>
                <w:rFonts w:ascii="Consolas" w:hAnsi="Consolas"/>
                <w:color w:val="1F3535"/>
                <w:sz w:val="18"/>
              </w:rPr>
              <w:t>KNOWN_BOGUS_CITATIONS = {</w:t>
            </w:r>
          </w:p>
          <w:p>
            <w:pPr>
              <w:spacing w:line="240" w:lineRule="auto" w:after="0"/>
              <w:ind w:left="0"/>
            </w:pPr>
            <w:r>
              <w:rPr>
                <w:rFonts w:ascii="Consolas" w:hAnsi="Consolas"/>
                <w:color w:val="1F3535"/>
                <w:sz w:val="18"/>
              </w:rPr>
              <w:t xml:space="preserve">    "ASC 606-10-99-99",</w:t>
            </w:r>
          </w:p>
          <w:p>
            <w:pPr>
              <w:spacing w:line="240" w:lineRule="auto" w:after="0"/>
              <w:ind w:left="0"/>
            </w:pPr>
            <w:r>
              <w:rPr>
                <w:rFonts w:ascii="Consolas" w:hAnsi="Consolas"/>
                <w:color w:val="1F3535"/>
                <w:sz w:val="18"/>
              </w:rPr>
              <w:t xml:space="preserve">    "ASC 606-10-99-1",</w:t>
            </w:r>
          </w:p>
          <w:p>
            <w:pPr>
              <w:spacing w:line="240" w:lineRule="auto" w:after="0"/>
              <w:ind w:left="0"/>
            </w:pPr>
            <w:r>
              <w:rPr>
                <w:rFonts w:ascii="Consolas" w:hAnsi="Consolas"/>
                <w:color w:val="1F3535"/>
                <w:sz w:val="18"/>
              </w:rPr>
              <w:t xml:space="preserve">    "ASC 606-10-99-2",</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Journal-entry sanity: simple Dr/Cr list</w:t>
            </w:r>
          </w:p>
          <w:p>
            <w:pPr>
              <w:spacing w:line="240" w:lineRule="auto" w:after="0"/>
              <w:ind w:left="0"/>
            </w:pPr>
            <w:r>
              <w:rPr>
                <w:rFonts w:ascii="Consolas" w:hAnsi="Consolas"/>
                <w:color w:val="1F3535"/>
                <w:sz w:val="18"/>
              </w:rPr>
              <w:t>JE_LINE_RE = re.compile(</w:t>
            </w:r>
          </w:p>
          <w:p>
            <w:pPr>
              <w:spacing w:line="240" w:lineRule="auto" w:after="0"/>
              <w:ind w:left="0"/>
            </w:pPr>
            <w:r>
              <w:rPr>
                <w:rFonts w:ascii="Consolas" w:hAnsi="Consolas"/>
                <w:color w:val="1F3535"/>
                <w:sz w:val="18"/>
              </w:rPr>
              <w:t xml:space="preserve">    r"^\s*(Dr|Cr)\s+(.+?)\s+([\d,]+(?:\.\d{1,2})?)\s*$",</w:t>
            </w:r>
          </w:p>
          <w:p>
            <w:pPr>
              <w:spacing w:line="240" w:lineRule="auto" w:after="0"/>
              <w:ind w:left="0"/>
            </w:pPr>
            <w:r>
              <w:rPr>
                <w:rFonts w:ascii="Consolas" w:hAnsi="Consolas"/>
                <w:color w:val="1F3535"/>
                <w:sz w:val="18"/>
              </w:rPr>
              <w:t xml:space="preserve">    re.MULTILINE | re.IGNORECASE,</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validate_file(jsonl_path: str | Path,</w:t>
            </w:r>
          </w:p>
          <w:p>
            <w:pPr>
              <w:spacing w:line="240" w:lineRule="auto" w:after="0"/>
              <w:ind w:left="0"/>
            </w:pPr>
            <w:r>
              <w:rPr>
                <w:rFonts w:ascii="Consolas" w:hAnsi="Consolas"/>
                <w:color w:val="1F3535"/>
                <w:sz w:val="18"/>
              </w:rPr>
              <w:t xml:space="preserve">                  manifest_path: str | Path | None = None) -&gt; ValidationReport:</w:t>
            </w:r>
          </w:p>
          <w:p>
            <w:pPr>
              <w:spacing w:line="240" w:lineRule="auto" w:after="0"/>
              <w:ind w:left="0"/>
            </w:pPr>
            <w:r>
              <w:rPr>
                <w:rFonts w:ascii="Consolas" w:hAnsi="Consolas"/>
                <w:color w:val="1F3535"/>
                <w:sz w:val="18"/>
              </w:rPr>
              <w:t xml:space="preserve">    """Validate a JSONL file of training 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Args:</w:t>
            </w:r>
          </w:p>
          <w:p>
            <w:pPr>
              <w:spacing w:line="240" w:lineRule="auto" w:after="0"/>
              <w:ind w:left="0"/>
            </w:pPr>
            <w:r>
              <w:rPr>
                <w:rFonts w:ascii="Consolas" w:hAnsi="Consolas"/>
                <w:color w:val="1F3535"/>
                <w:sz w:val="18"/>
              </w:rPr>
              <w:t xml:space="preserve">        jsonl_path:    Path to the training-records JSONL.</w:t>
            </w:r>
          </w:p>
          <w:p>
            <w:pPr>
              <w:spacing w:line="240" w:lineRule="auto" w:after="0"/>
              <w:ind w:left="0"/>
            </w:pPr>
            <w:r>
              <w:rPr>
                <w:rFonts w:ascii="Consolas" w:hAnsi="Consolas"/>
                <w:color w:val="1F3535"/>
                <w:sz w:val="18"/>
              </w:rPr>
              <w:t xml:space="preserve">        manifest_path: Optional path to a matching manifest JSONL.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Returns:</w:t>
            </w:r>
          </w:p>
          <w:p>
            <w:pPr>
              <w:spacing w:line="240" w:lineRule="auto" w:after="0"/>
              <w:ind w:left="0"/>
            </w:pPr>
            <w:r>
              <w:rPr>
                <w:rFonts w:ascii="Consolas" w:hAnsi="Consolas"/>
                <w:color w:val="1F3535"/>
                <w:sz w:val="18"/>
              </w:rPr>
              <w:t xml:space="preserve">        ValidationReport summarizing parse success, errors, warnings.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jsonl_path = Path(jsonl_path)</w:t>
            </w:r>
          </w:p>
          <w:p>
            <w:pPr>
              <w:spacing w:line="240" w:lineRule="auto" w:after="0"/>
              <w:ind w:left="0"/>
            </w:pPr>
            <w:r>
              <w:rPr>
                <w:rFonts w:ascii="Consolas" w:hAnsi="Consolas"/>
                <w:color w:val="1F3535"/>
                <w:sz w:val="18"/>
              </w:rPr>
              <w:t xml:space="preserve">    report = ValidationReport(file=str(jsonl_path),</w:t>
            </w:r>
          </w:p>
          <w:p>
            <w:pPr>
              <w:spacing w:line="240" w:lineRule="auto" w:after="0"/>
              <w:ind w:left="0"/>
            </w:pPr>
            <w:r>
              <w:rPr>
                <w:rFonts w:ascii="Consolas" w:hAnsi="Consolas"/>
                <w:color w:val="1F3535"/>
                <w:sz w:val="18"/>
              </w:rPr>
              <w:t xml:space="preserve">                              total_lines=0, parsed_lines=0,</w:t>
            </w:r>
          </w:p>
          <w:p>
            <w:pPr>
              <w:spacing w:line="240" w:lineRule="auto" w:after="0"/>
              <w:ind w:left="0"/>
            </w:pPr>
            <w:r>
              <w:rPr>
                <w:rFonts w:ascii="Consolas" w:hAnsi="Consolas"/>
                <w:color w:val="1F3535"/>
                <w:sz w:val="18"/>
              </w:rPr>
              <w:t xml:space="preserve">                              citation_verified_count=0,</w:t>
            </w:r>
          </w:p>
          <w:p>
            <w:pPr>
              <w:spacing w:line="240" w:lineRule="auto" w:after="0"/>
              <w:ind w:left="0"/>
            </w:pPr>
            <w:r>
              <w:rPr>
                <w:rFonts w:ascii="Consolas" w:hAnsi="Consolas"/>
                <w:color w:val="1F3535"/>
                <w:sz w:val="18"/>
              </w:rPr>
              <w:t xml:space="preserve">                              calculation_verified_count=0)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manifests: dict[str, ManifestRecord] = {}</w:t>
            </w:r>
          </w:p>
          <w:p>
            <w:pPr>
              <w:spacing w:line="240" w:lineRule="auto" w:after="0"/>
              <w:ind w:left="0"/>
            </w:pPr>
            <w:r>
              <w:rPr>
                <w:rFonts w:ascii="Consolas" w:hAnsi="Consolas"/>
                <w:color w:val="1F3535"/>
                <w:sz w:val="18"/>
              </w:rPr>
              <w:t xml:space="preserve">    if manifest_path:</w:t>
            </w:r>
          </w:p>
          <w:p>
            <w:pPr>
              <w:spacing w:line="240" w:lineRule="auto" w:after="0"/>
              <w:ind w:left="0"/>
            </w:pPr>
            <w:r>
              <w:rPr>
                <w:rFonts w:ascii="Consolas" w:hAnsi="Consolas"/>
                <w:color w:val="1F3535"/>
                <w:sz w:val="18"/>
              </w:rPr>
              <w:t xml:space="preserve">        manifests = _load_manifests(Path(manifest_path), report)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with jsonl_path.open("r", encoding="utf-8") as f:</w:t>
            </w:r>
          </w:p>
          <w:p>
            <w:pPr>
              <w:spacing w:line="240" w:lineRule="auto" w:after="0"/>
              <w:ind w:left="0"/>
            </w:pPr>
            <w:r>
              <w:rPr>
                <w:rFonts w:ascii="Consolas" w:hAnsi="Consolas"/>
                <w:color w:val="1F3535"/>
                <w:sz w:val="18"/>
              </w:rPr>
              <w:t xml:space="preserve">        for i, line in enumerate(f, start=1):</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report.total_lines +=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 Parse JSON ------------------------------------------------</w:t>
            </w:r>
          </w:p>
          <w:p>
            <w:pPr>
              <w:spacing w:line="240" w:lineRule="auto" w:after="0"/>
              <w:ind w:left="0"/>
            </w:pPr>
            <w:r>
              <w:rPr>
                <w:rFonts w:ascii="Consolas" w:hAnsi="Consolas"/>
                <w:color w:val="1F3535"/>
                <w:sz w:val="18"/>
              </w:rPr>
              <w:t xml:space="preserve">            try:</w:t>
            </w:r>
          </w:p>
          <w:p>
            <w:pPr>
              <w:spacing w:line="240" w:lineRule="auto" w:after="0"/>
              <w:ind w:left="0"/>
            </w:pPr>
            <w:r>
              <w:rPr>
                <w:rFonts w:ascii="Consolas" w:hAnsi="Consolas"/>
                <w:color w:val="1F3535"/>
                <w:sz w:val="18"/>
              </w:rPr>
              <w:t xml:space="preserve">                obj = json.loads(line)</w:t>
            </w:r>
          </w:p>
          <w:p>
            <w:pPr>
              <w:spacing w:line="240" w:lineRule="auto" w:after="0"/>
              <w:ind w:left="0"/>
            </w:pPr>
            <w:r>
              <w:rPr>
                <w:rFonts w:ascii="Consolas" w:hAnsi="Consolas"/>
                <w:color w:val="1F3535"/>
                <w:sz w:val="18"/>
              </w:rPr>
              <w:t xml:space="preserve">            except json.JSONDecodeError as e:</w:t>
            </w:r>
          </w:p>
          <w:p>
            <w:pPr>
              <w:spacing w:line="240" w:lineRule="auto" w:after="0"/>
              <w:ind w:left="0"/>
            </w:pPr>
            <w:r>
              <w:rPr>
                <w:rFonts w:ascii="Consolas" w:hAnsi="Consolas"/>
                <w:color w:val="1F3535"/>
                <w:sz w:val="18"/>
              </w:rPr>
              <w:t xml:space="preserve">                report.errors.append(ValidationIssue(</w:t>
            </w:r>
          </w:p>
          <w:p>
            <w:pPr>
              <w:spacing w:line="240" w:lineRule="auto" w:after="0"/>
              <w:ind w:left="0"/>
            </w:pPr>
            <w:r>
              <w:rPr>
                <w:rFonts w:ascii="Consolas" w:hAnsi="Consolas"/>
                <w:color w:val="1F3535"/>
                <w:sz w:val="18"/>
              </w:rPr>
              <w:t xml:space="preserve">                    line_number=i, severity="error",</w:t>
            </w:r>
          </w:p>
          <w:p>
            <w:pPr>
              <w:spacing w:line="240" w:lineRule="auto" w:after="0"/>
              <w:ind w:left="0"/>
            </w:pPr>
            <w:r>
              <w:rPr>
                <w:rFonts w:ascii="Consolas" w:hAnsi="Consolas"/>
                <w:color w:val="1F3535"/>
                <w:sz w:val="18"/>
              </w:rPr>
              <w:t xml:space="preserve">                    code="JSON_PARSE",</w:t>
            </w:r>
          </w:p>
          <w:p>
            <w:pPr>
              <w:spacing w:line="240" w:lineRule="auto" w:after="0"/>
              <w:ind w:left="0"/>
            </w:pPr>
            <w:r>
              <w:rPr>
                <w:rFonts w:ascii="Consolas" w:hAnsi="Consolas"/>
                <w:color w:val="1F3535"/>
                <w:sz w:val="18"/>
              </w:rPr>
              <w:t xml:space="preserve">                    message=f"invalid JSON: {e.msg}",</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 Schema validate ------------------------------------------</w:t>
            </w:r>
          </w:p>
          <w:p>
            <w:pPr>
              <w:spacing w:line="240" w:lineRule="auto" w:after="0"/>
              <w:ind w:left="0"/>
            </w:pPr>
            <w:r>
              <w:rPr>
                <w:rFonts w:ascii="Consolas" w:hAnsi="Consolas"/>
                <w:color w:val="1F3535"/>
                <w:sz w:val="18"/>
              </w:rPr>
              <w:t xml:space="preserve">            try:</w:t>
            </w:r>
          </w:p>
          <w:p>
            <w:pPr>
              <w:spacing w:line="240" w:lineRule="auto" w:after="0"/>
              <w:ind w:left="0"/>
            </w:pPr>
            <w:r>
              <w:rPr>
                <w:rFonts w:ascii="Consolas" w:hAnsi="Consolas"/>
                <w:color w:val="1F3535"/>
                <w:sz w:val="18"/>
              </w:rPr>
              <w:t xml:space="preserve">                rec = TrainingRecord.model_validate(obj)</w:t>
            </w:r>
          </w:p>
          <w:p>
            <w:pPr>
              <w:spacing w:line="240" w:lineRule="auto" w:after="0"/>
              <w:ind w:left="0"/>
            </w:pPr>
            <w:r>
              <w:rPr>
                <w:rFonts w:ascii="Consolas" w:hAnsi="Consolas"/>
                <w:color w:val="1F3535"/>
                <w:sz w:val="18"/>
              </w:rPr>
              <w:t xml:space="preserve">                report.parsed_lines += 1</w:t>
            </w:r>
          </w:p>
          <w:p>
            <w:pPr>
              <w:spacing w:line="240" w:lineRule="auto" w:after="0"/>
              <w:ind w:left="0"/>
            </w:pPr>
            <w:r>
              <w:rPr>
                <w:rFonts w:ascii="Consolas" w:hAnsi="Consolas"/>
                <w:color w:val="1F3535"/>
                <w:sz w:val="18"/>
              </w:rPr>
              <w:t xml:space="preserve">            except Exception as e:  # Pydantic ValidationError</w:t>
            </w:r>
          </w:p>
          <w:p>
            <w:pPr>
              <w:spacing w:line="240" w:lineRule="auto" w:after="0"/>
              <w:ind w:left="0"/>
            </w:pPr>
            <w:r>
              <w:rPr>
                <w:rFonts w:ascii="Consolas" w:hAnsi="Consolas"/>
                <w:color w:val="1F3535"/>
                <w:sz w:val="18"/>
              </w:rPr>
              <w:t xml:space="preserve">                report.errors.append(ValidationIssue(</w:t>
            </w:r>
          </w:p>
          <w:p>
            <w:pPr>
              <w:spacing w:line="240" w:lineRule="auto" w:after="0"/>
              <w:ind w:left="0"/>
            </w:pPr>
            <w:r>
              <w:rPr>
                <w:rFonts w:ascii="Consolas" w:hAnsi="Consolas"/>
                <w:color w:val="1F3535"/>
                <w:sz w:val="18"/>
              </w:rPr>
              <w:t xml:space="preserve">                    line_number=i, severity="error",</w:t>
            </w:r>
          </w:p>
          <w:p>
            <w:pPr>
              <w:spacing w:line="240" w:lineRule="auto" w:after="0"/>
              <w:ind w:left="0"/>
            </w:pPr>
            <w:r>
              <w:rPr>
                <w:rFonts w:ascii="Consolas" w:hAnsi="Consolas"/>
                <w:color w:val="1F3535"/>
                <w:sz w:val="18"/>
              </w:rPr>
              <w:t xml:space="preserve">                    code="SCHEMA",</w:t>
            </w:r>
          </w:p>
          <w:p>
            <w:pPr>
              <w:spacing w:line="240" w:lineRule="auto" w:after="0"/>
              <w:ind w:left="0"/>
            </w:pPr>
            <w:r>
              <w:rPr>
                <w:rFonts w:ascii="Consolas" w:hAnsi="Consolas"/>
                <w:color w:val="1F3535"/>
                <w:sz w:val="18"/>
              </w:rPr>
              <w:t xml:space="preserve">                    message=str(e)[:500],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 Content checks -------------------------------------------</w:t>
            </w:r>
          </w:p>
          <w:p>
            <w:pPr>
              <w:spacing w:line="240" w:lineRule="auto" w:after="0"/>
              <w:ind w:left="0"/>
            </w:pPr>
            <w:r>
              <w:rPr>
                <w:rFonts w:ascii="Consolas" w:hAnsi="Consolas"/>
                <w:color w:val="1F3535"/>
                <w:sz w:val="18"/>
              </w:rPr>
              <w:t xml:space="preserve">            _check_citation_traps(rec, i, report)</w:t>
            </w:r>
          </w:p>
          <w:p>
            <w:pPr>
              <w:spacing w:line="240" w:lineRule="auto" w:after="0"/>
              <w:ind w:left="0"/>
            </w:pPr>
            <w:r>
              <w:rPr>
                <w:rFonts w:ascii="Consolas" w:hAnsi="Consolas"/>
                <w:color w:val="1F3535"/>
                <w:sz w:val="18"/>
              </w:rPr>
              <w:t xml:space="preserve">            _check_journal_entry_balance(rec, i, report)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 Manifest cross-reference --------------------------------</w:t>
            </w:r>
          </w:p>
          <w:p>
            <w:pPr>
              <w:spacing w:line="240" w:lineRule="auto" w:after="0"/>
              <w:ind w:left="0"/>
            </w:pPr>
            <w:r>
              <w:rPr>
                <w:rFonts w:ascii="Consolas" w:hAnsi="Consolas"/>
                <w:color w:val="1F3535"/>
                <w:sz w:val="18"/>
              </w:rPr>
              <w:t xml:space="preserve">            # We look for record_id in the object (allowed under extra="allow")</w:t>
            </w:r>
          </w:p>
          <w:p>
            <w:pPr>
              <w:spacing w:line="240" w:lineRule="auto" w:after="0"/>
              <w:ind w:left="0"/>
            </w:pPr>
            <w:r>
              <w:rPr>
                <w:rFonts w:ascii="Consolas" w:hAnsi="Consolas"/>
                <w:color w:val="1F3535"/>
                <w:sz w:val="18"/>
              </w:rPr>
              <w:t xml:space="preserve">            rid = obj.get("record_id")</w:t>
            </w:r>
          </w:p>
          <w:p>
            <w:pPr>
              <w:spacing w:line="240" w:lineRule="auto" w:after="0"/>
              <w:ind w:left="0"/>
            </w:pPr>
            <w:r>
              <w:rPr>
                <w:rFonts w:ascii="Consolas" w:hAnsi="Consolas"/>
                <w:color w:val="1F3535"/>
                <w:sz w:val="18"/>
              </w:rPr>
              <w:t xml:space="preserve">            if rid and manifests:</w:t>
            </w:r>
          </w:p>
          <w:p>
            <w:pPr>
              <w:spacing w:line="240" w:lineRule="auto" w:after="0"/>
              <w:ind w:left="0"/>
            </w:pPr>
            <w:r>
              <w:rPr>
                <w:rFonts w:ascii="Consolas" w:hAnsi="Consolas"/>
                <w:color w:val="1F3535"/>
                <w:sz w:val="18"/>
              </w:rPr>
              <w:t xml:space="preserve">                man = manifests.get(rid)</w:t>
            </w:r>
          </w:p>
          <w:p>
            <w:pPr>
              <w:spacing w:line="240" w:lineRule="auto" w:after="0"/>
              <w:ind w:left="0"/>
            </w:pPr>
            <w:r>
              <w:rPr>
                <w:rFonts w:ascii="Consolas" w:hAnsi="Consolas"/>
                <w:color w:val="1F3535"/>
                <w:sz w:val="18"/>
              </w:rPr>
              <w:t xml:space="preserve">                if man is None:</w:t>
            </w:r>
          </w:p>
          <w:p>
            <w:pPr>
              <w:spacing w:line="240" w:lineRule="auto" w:after="0"/>
              <w:ind w:left="0"/>
            </w:pPr>
            <w:r>
              <w:rPr>
                <w:rFonts w:ascii="Consolas" w:hAnsi="Consolas"/>
                <w:color w:val="1F3535"/>
                <w:sz w:val="18"/>
              </w:rPr>
              <w:t xml:space="preserve">                    report.warnings.append(ValidationIssue(</w:t>
            </w:r>
          </w:p>
          <w:p>
            <w:pPr>
              <w:spacing w:line="240" w:lineRule="auto" w:after="0"/>
              <w:ind w:left="0"/>
            </w:pPr>
            <w:r>
              <w:rPr>
                <w:rFonts w:ascii="Consolas" w:hAnsi="Consolas"/>
                <w:color w:val="1F3535"/>
                <w:sz w:val="18"/>
              </w:rPr>
              <w:t xml:space="preserve">                        line_number=i, record_id=rid, severity="warning",</w:t>
            </w:r>
          </w:p>
          <w:p>
            <w:pPr>
              <w:spacing w:line="240" w:lineRule="auto" w:after="0"/>
              <w:ind w:left="0"/>
            </w:pPr>
            <w:r>
              <w:rPr>
                <w:rFonts w:ascii="Consolas" w:hAnsi="Consolas"/>
                <w:color w:val="1F3535"/>
                <w:sz w:val="18"/>
              </w:rPr>
              <w:t xml:space="preserve">                        code="MANIFEST_MISSING",</w:t>
            </w:r>
          </w:p>
          <w:p>
            <w:pPr>
              <w:spacing w:line="240" w:lineRule="auto" w:after="0"/>
              <w:ind w:left="0"/>
            </w:pPr>
            <w:r>
              <w:rPr>
                <w:rFonts w:ascii="Consolas" w:hAnsi="Consolas"/>
                <w:color w:val="1F3535"/>
                <w:sz w:val="18"/>
              </w:rPr>
              <w:t xml:space="preserve">                        message=f"no manifest entry for {rid}",</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else:</w:t>
            </w:r>
          </w:p>
          <w:p>
            <w:pPr>
              <w:spacing w:line="240" w:lineRule="auto" w:after="0"/>
              <w:ind w:left="0"/>
            </w:pPr>
            <w:r>
              <w:rPr>
                <w:rFonts w:ascii="Consolas" w:hAnsi="Consolas"/>
                <w:color w:val="1F3535"/>
                <w:sz w:val="18"/>
              </w:rPr>
              <w:t xml:space="preserve">                    if man.citation_verified:</w:t>
            </w:r>
          </w:p>
          <w:p>
            <w:pPr>
              <w:spacing w:line="240" w:lineRule="auto" w:after="0"/>
              <w:ind w:left="0"/>
            </w:pPr>
            <w:r>
              <w:rPr>
                <w:rFonts w:ascii="Consolas" w:hAnsi="Consolas"/>
                <w:color w:val="1F3535"/>
                <w:sz w:val="18"/>
              </w:rPr>
              <w:t xml:space="preserve">                        report.citation_verified_count += 1</w:t>
            </w:r>
          </w:p>
          <w:p>
            <w:pPr>
              <w:spacing w:line="240" w:lineRule="auto" w:after="0"/>
              <w:ind w:left="0"/>
            </w:pPr>
            <w:r>
              <w:rPr>
                <w:rFonts w:ascii="Consolas" w:hAnsi="Consolas"/>
                <w:color w:val="1F3535"/>
                <w:sz w:val="18"/>
              </w:rPr>
              <w:t xml:space="preserve">                    if man.calculation_verified:</w:t>
            </w:r>
          </w:p>
          <w:p>
            <w:pPr>
              <w:spacing w:line="240" w:lineRule="auto" w:after="0"/>
              <w:ind w:left="0"/>
            </w:pPr>
            <w:r>
              <w:rPr>
                <w:rFonts w:ascii="Consolas" w:hAnsi="Consolas"/>
                <w:color w:val="1F3535"/>
                <w:sz w:val="18"/>
              </w:rPr>
              <w:t xml:space="preserve">                        report.calculation_verified_count +=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return report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Internal helpers</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_load_manifests(path: Path, report: ValidationReport</w:t>
            </w:r>
          </w:p>
          <w:p>
            <w:pPr>
              <w:spacing w:line="240" w:lineRule="auto" w:after="0"/>
              <w:ind w:left="0"/>
            </w:pPr>
            <w:r>
              <w:rPr>
                <w:rFonts w:ascii="Consolas" w:hAnsi="Consolas"/>
                <w:color w:val="1F3535"/>
                <w:sz w:val="18"/>
              </w:rPr>
              <w:t xml:space="preserve">                     ) -&gt; dict[str, ManifestRecord]:</w:t>
            </w:r>
          </w:p>
          <w:p>
            <w:pPr>
              <w:spacing w:line="240" w:lineRule="auto" w:after="0"/>
              <w:ind w:left="0"/>
            </w:pPr>
            <w:r>
              <w:rPr>
                <w:rFonts w:ascii="Consolas" w:hAnsi="Consolas"/>
                <w:color w:val="1F3535"/>
                <w:sz w:val="18"/>
              </w:rPr>
              <w:t xml:space="preserve">    out: dict[str, ManifestRecord] = {}</w:t>
            </w:r>
          </w:p>
          <w:p>
            <w:pPr>
              <w:spacing w:line="240" w:lineRule="auto" w:after="0"/>
              <w:ind w:left="0"/>
            </w:pPr>
            <w:r>
              <w:rPr>
                <w:rFonts w:ascii="Consolas" w:hAnsi="Consolas"/>
                <w:color w:val="1F3535"/>
                <w:sz w:val="18"/>
              </w:rPr>
              <w:t xml:space="preserve">    if not path.exists():</w:t>
            </w:r>
          </w:p>
          <w:p>
            <w:pPr>
              <w:spacing w:line="240" w:lineRule="auto" w:after="0"/>
              <w:ind w:left="0"/>
            </w:pPr>
            <w:r>
              <w:rPr>
                <w:rFonts w:ascii="Consolas" w:hAnsi="Consolas"/>
                <w:color w:val="1F3535"/>
                <w:sz w:val="18"/>
              </w:rPr>
              <w:t xml:space="preserve">        report.warnings.append(ValidationIssue(</w:t>
            </w:r>
          </w:p>
          <w:p>
            <w:pPr>
              <w:spacing w:line="240" w:lineRule="auto" w:after="0"/>
              <w:ind w:left="0"/>
            </w:pPr>
            <w:r>
              <w:rPr>
                <w:rFonts w:ascii="Consolas" w:hAnsi="Consolas"/>
                <w:color w:val="1F3535"/>
                <w:sz w:val="18"/>
              </w:rPr>
              <w:t xml:space="preserve">            line_number=0, severity="warning",</w:t>
            </w:r>
          </w:p>
          <w:p>
            <w:pPr>
              <w:spacing w:line="240" w:lineRule="auto" w:after="0"/>
              <w:ind w:left="0"/>
            </w:pPr>
            <w:r>
              <w:rPr>
                <w:rFonts w:ascii="Consolas" w:hAnsi="Consolas"/>
                <w:color w:val="1F3535"/>
                <w:sz w:val="18"/>
              </w:rPr>
              <w:t xml:space="preserve">            code="MANIFEST_FILE_MISSING",</w:t>
            </w:r>
          </w:p>
          <w:p>
            <w:pPr>
              <w:spacing w:line="240" w:lineRule="auto" w:after="0"/>
              <w:ind w:left="0"/>
            </w:pPr>
            <w:r>
              <w:rPr>
                <w:rFonts w:ascii="Consolas" w:hAnsi="Consolas"/>
                <w:color w:val="1F3535"/>
                <w:sz w:val="18"/>
              </w:rPr>
              <w:t xml:space="preserve">            message=f"manifest file not found: {path}",</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return out</w:t>
            </w:r>
          </w:p>
          <w:p>
            <w:pPr>
              <w:spacing w:line="240" w:lineRule="auto" w:after="0"/>
              <w:ind w:left="0"/>
            </w:pPr>
            <w:r>
              <w:rPr>
                <w:rFonts w:ascii="Consolas" w:hAnsi="Consolas"/>
                <w:color w:val="1F3535"/>
                <w:sz w:val="18"/>
              </w:rPr>
              <w:t xml:space="preserve">    with path.open("r", encoding="utf-8") as f:</w:t>
            </w:r>
          </w:p>
          <w:p>
            <w:pPr>
              <w:spacing w:line="240" w:lineRule="auto" w:after="0"/>
              <w:ind w:left="0"/>
            </w:pPr>
            <w:r>
              <w:rPr>
                <w:rFonts w:ascii="Consolas" w:hAnsi="Consolas"/>
                <w:color w:val="1F3535"/>
                <w:sz w:val="18"/>
              </w:rPr>
              <w:t xml:space="preserve">        for i, line in enumerate(f, start=1):</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try:</w:t>
            </w:r>
          </w:p>
          <w:p>
            <w:pPr>
              <w:spacing w:line="240" w:lineRule="auto" w:after="0"/>
              <w:ind w:left="0"/>
            </w:pPr>
            <w:r>
              <w:rPr>
                <w:rFonts w:ascii="Consolas" w:hAnsi="Consolas"/>
                <w:color w:val="1F3535"/>
                <w:sz w:val="18"/>
              </w:rPr>
              <w:t xml:space="preserve">                obj = json.loads(line)</w:t>
            </w:r>
          </w:p>
          <w:p>
            <w:pPr>
              <w:spacing w:line="240" w:lineRule="auto" w:after="0"/>
              <w:ind w:left="0"/>
            </w:pPr>
            <w:r>
              <w:rPr>
                <w:rFonts w:ascii="Consolas" w:hAnsi="Consolas"/>
                <w:color w:val="1F3535"/>
                <w:sz w:val="18"/>
              </w:rPr>
              <w:t xml:space="preserve">                man = ManifestRecord.model_validate(obj)</w:t>
            </w:r>
          </w:p>
          <w:p>
            <w:pPr>
              <w:spacing w:line="240" w:lineRule="auto" w:after="0"/>
              <w:ind w:left="0"/>
            </w:pPr>
            <w:r>
              <w:rPr>
                <w:rFonts w:ascii="Consolas" w:hAnsi="Consolas"/>
                <w:color w:val="1F3535"/>
                <w:sz w:val="18"/>
              </w:rPr>
              <w:t xml:space="preserve">                out[man.record_id] = man</w:t>
            </w:r>
          </w:p>
          <w:p>
            <w:pPr>
              <w:spacing w:line="240" w:lineRule="auto" w:after="0"/>
              <w:ind w:left="0"/>
            </w:pPr>
            <w:r>
              <w:rPr>
                <w:rFonts w:ascii="Consolas" w:hAnsi="Consolas"/>
                <w:color w:val="1F3535"/>
                <w:sz w:val="18"/>
              </w:rPr>
              <w:t xml:space="preserve">            except Exception as e:</w:t>
            </w:r>
          </w:p>
          <w:p>
            <w:pPr>
              <w:spacing w:line="240" w:lineRule="auto" w:after="0"/>
              <w:ind w:left="0"/>
            </w:pPr>
            <w:r>
              <w:rPr>
                <w:rFonts w:ascii="Consolas" w:hAnsi="Consolas"/>
                <w:color w:val="1F3535"/>
                <w:sz w:val="18"/>
              </w:rPr>
              <w:t xml:space="preserve">                report.warnings.append(ValidationIssue(</w:t>
            </w:r>
          </w:p>
          <w:p>
            <w:pPr>
              <w:spacing w:line="240" w:lineRule="auto" w:after="0"/>
              <w:ind w:left="0"/>
            </w:pPr>
            <w:r>
              <w:rPr>
                <w:rFonts w:ascii="Consolas" w:hAnsi="Consolas"/>
                <w:color w:val="1F3535"/>
                <w:sz w:val="18"/>
              </w:rPr>
              <w:t xml:space="preserve">                    line_number=i, severity="warning",</w:t>
            </w:r>
          </w:p>
          <w:p>
            <w:pPr>
              <w:spacing w:line="240" w:lineRule="auto" w:after="0"/>
              <w:ind w:left="0"/>
            </w:pPr>
            <w:r>
              <w:rPr>
                <w:rFonts w:ascii="Consolas" w:hAnsi="Consolas"/>
                <w:color w:val="1F3535"/>
                <w:sz w:val="18"/>
              </w:rPr>
              <w:t xml:space="preserve">                    code="MANIFEST_PARSE",</w:t>
            </w:r>
          </w:p>
          <w:p>
            <w:pPr>
              <w:spacing w:line="240" w:lineRule="auto" w:after="0"/>
              <w:ind w:left="0"/>
            </w:pPr>
            <w:r>
              <w:rPr>
                <w:rFonts w:ascii="Consolas" w:hAnsi="Consolas"/>
                <w:color w:val="1F3535"/>
                <w:sz w:val="18"/>
              </w:rPr>
              <w:t xml:space="preserve">                    message=str(e)[:500],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return out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_check_citation_traps(rec: TrainingRecord, line: int,</w:t>
            </w:r>
          </w:p>
          <w:p>
            <w:pPr>
              <w:spacing w:line="240" w:lineRule="auto" w:after="0"/>
              <w:ind w:left="0"/>
            </w:pPr>
            <w:r>
              <w:rPr>
                <w:rFonts w:ascii="Consolas" w:hAnsi="Consolas"/>
                <w:color w:val="1F3535"/>
                <w:sz w:val="18"/>
              </w:rPr>
              <w:t xml:space="preserve">                           report: ValidationReport) -&gt; None:</w:t>
            </w:r>
          </w:p>
          <w:p>
            <w:pPr>
              <w:spacing w:line="240" w:lineRule="auto" w:after="0"/>
              <w:ind w:left="0"/>
            </w:pPr>
            <w:r>
              <w:rPr>
                <w:rFonts w:ascii="Consolas" w:hAnsi="Consolas"/>
                <w:color w:val="1F3535"/>
                <w:sz w:val="18"/>
              </w:rPr>
              <w:t xml:space="preserve">    """Flag obviously fabricated citations.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We only inspect the **assistant** message: citation-trap records</w:t>
            </w:r>
          </w:p>
          <w:p>
            <w:pPr>
              <w:spacing w:line="240" w:lineRule="auto" w:after="0"/>
              <w:ind w:left="0"/>
            </w:pPr>
            <w:r>
              <w:rPr>
                <w:rFonts w:ascii="Consolas" w:hAnsi="Consolas"/>
                <w:color w:val="1F3535"/>
                <w:sz w:val="18"/>
              </w:rPr>
              <w:t xml:space="preserve">    legitimately include a bogus citation in the **user** prompt to teach</w:t>
            </w:r>
          </w:p>
          <w:p>
            <w:pPr>
              <w:spacing w:line="240" w:lineRule="auto" w:after="0"/>
              <w:ind w:left="0"/>
            </w:pPr>
            <w:r>
              <w:rPr>
                <w:rFonts w:ascii="Consolas" w:hAnsi="Consolas"/>
                <w:color w:val="1F3535"/>
                <w:sz w:val="18"/>
              </w:rPr>
              <w:t xml:space="preserve">    the model to refuse it; the assistant answer must NOT endorse it.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assistant_text = rec.messages[-1].content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Known-bogus citations in the assistant answer (the model is fabricating)</w:t>
            </w:r>
          </w:p>
          <w:p>
            <w:pPr>
              <w:spacing w:line="240" w:lineRule="auto" w:after="0"/>
              <w:ind w:left="0"/>
            </w:pPr>
            <w:r>
              <w:rPr>
                <w:rFonts w:ascii="Consolas" w:hAnsi="Consolas"/>
                <w:color w:val="1F3535"/>
                <w:sz w:val="18"/>
              </w:rPr>
              <w:t xml:space="preserve">    for bogus in KNOWN_BOGUS_CITATIONS:</w:t>
            </w:r>
          </w:p>
          <w:p>
            <w:pPr>
              <w:spacing w:line="240" w:lineRule="auto" w:after="0"/>
              <w:ind w:left="0"/>
            </w:pPr>
            <w:r>
              <w:rPr>
                <w:rFonts w:ascii="Consolas" w:hAnsi="Consolas"/>
                <w:color w:val="1F3535"/>
                <w:sz w:val="18"/>
              </w:rPr>
              <w:t xml:space="preserve">        if bogus in assistant_text:</w:t>
            </w:r>
          </w:p>
          <w:p>
            <w:pPr>
              <w:spacing w:line="240" w:lineRule="auto" w:after="0"/>
              <w:ind w:left="0"/>
            </w:pPr>
            <w:r>
              <w:rPr>
                <w:rFonts w:ascii="Consolas" w:hAnsi="Consolas"/>
                <w:color w:val="1F3535"/>
                <w:sz w:val="18"/>
              </w:rPr>
              <w:t xml:space="preserve">            # Distinguish between "echoing as authoritative" (bad) vs.</w:t>
            </w:r>
          </w:p>
          <w:p>
            <w:pPr>
              <w:spacing w:line="240" w:lineRule="auto" w:after="0"/>
              <w:ind w:left="0"/>
            </w:pPr>
            <w:r>
              <w:rPr>
                <w:rFonts w:ascii="Consolas" w:hAnsi="Consolas"/>
                <w:color w:val="1F3535"/>
                <w:sz w:val="18"/>
              </w:rPr>
              <w:t xml:space="preserve">            # "explicitly refusing to validate" (good).</w:t>
            </w:r>
          </w:p>
          <w:p>
            <w:pPr>
              <w:spacing w:line="240" w:lineRule="auto" w:after="0"/>
              <w:ind w:left="0"/>
            </w:pPr>
            <w:r>
              <w:rPr>
                <w:rFonts w:ascii="Consolas" w:hAnsi="Consolas"/>
                <w:color w:val="1F3535"/>
                <w:sz w:val="18"/>
              </w:rPr>
              <w:t xml:space="preserve">            refusal_phrases = (</w:t>
            </w:r>
          </w:p>
          <w:p>
            <w:pPr>
              <w:spacing w:line="240" w:lineRule="auto" w:after="0"/>
              <w:ind w:left="0"/>
            </w:pPr>
            <w:r>
              <w:rPr>
                <w:rFonts w:ascii="Consolas" w:hAnsi="Consolas"/>
                <w:color w:val="1F3535"/>
                <w:sz w:val="18"/>
              </w:rPr>
              <w:t xml:space="preserve">                "cannot validate", "cannot verify", "would not accept",</w:t>
            </w:r>
          </w:p>
          <w:p>
            <w:pPr>
              <w:spacing w:line="240" w:lineRule="auto" w:after="0"/>
              <w:ind w:left="0"/>
            </w:pPr>
            <w:r>
              <w:rPr>
                <w:rFonts w:ascii="Consolas" w:hAnsi="Consolas"/>
                <w:color w:val="1F3535"/>
                <w:sz w:val="18"/>
              </w:rPr>
              <w:t xml:space="preserve">                "would not treat", "not authoritative", "fabricat",</w:t>
            </w:r>
          </w:p>
          <w:p>
            <w:pPr>
              <w:spacing w:line="240" w:lineRule="auto" w:after="0"/>
              <w:ind w:left="0"/>
            </w:pPr>
            <w:r>
              <w:rPr>
                <w:rFonts w:ascii="Consolas" w:hAnsi="Consolas"/>
                <w:color w:val="1F3535"/>
                <w:sz w:val="18"/>
              </w:rPr>
              <w:t xml:space="preserve">                "i would not", "do not propagate", "unverified",</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is_refusal = any(p in assistant_text.lower() for p in refusal_phrases)</w:t>
            </w:r>
          </w:p>
          <w:p>
            <w:pPr>
              <w:spacing w:line="240" w:lineRule="auto" w:after="0"/>
              <w:ind w:left="0"/>
            </w:pPr>
            <w:r>
              <w:rPr>
                <w:rFonts w:ascii="Consolas" w:hAnsi="Consolas"/>
                <w:color w:val="1F3535"/>
                <w:sz w:val="18"/>
              </w:rPr>
              <w:t xml:space="preserve">            if is_refusal:</w:t>
            </w:r>
          </w:p>
          <w:p>
            <w:pPr>
              <w:spacing w:line="240" w:lineRule="auto" w:after="0"/>
              <w:ind w:left="0"/>
            </w:pPr>
            <w:r>
              <w:rPr>
                <w:rFonts w:ascii="Consolas" w:hAnsi="Consolas"/>
                <w:color w:val="1F3535"/>
                <w:sz w:val="18"/>
              </w:rPr>
              <w:t xml:space="preserve">                report.warnings.append(ValidationIssue(</w:t>
            </w:r>
          </w:p>
          <w:p>
            <w:pPr>
              <w:spacing w:line="240" w:lineRule="auto" w:after="0"/>
              <w:ind w:left="0"/>
            </w:pPr>
            <w:r>
              <w:rPr>
                <w:rFonts w:ascii="Consolas" w:hAnsi="Consolas"/>
                <w:color w:val="1F3535"/>
                <w:sz w:val="18"/>
              </w:rPr>
              <w:t xml:space="preserve">                    line_number=line, severity="warning",</w:t>
            </w:r>
          </w:p>
          <w:p>
            <w:pPr>
              <w:spacing w:line="240" w:lineRule="auto" w:after="0"/>
              <w:ind w:left="0"/>
            </w:pPr>
            <w:r>
              <w:rPr>
                <w:rFonts w:ascii="Consolas" w:hAnsi="Consolas"/>
                <w:color w:val="1F3535"/>
                <w:sz w:val="18"/>
              </w:rPr>
              <w:t xml:space="preserve">                    code="CITATION_REFUSED",</w:t>
            </w:r>
          </w:p>
          <w:p>
            <w:pPr>
              <w:spacing w:line="240" w:lineRule="auto" w:after="0"/>
              <w:ind w:left="0"/>
            </w:pPr>
            <w:r>
              <w:rPr>
                <w:rFonts w:ascii="Consolas" w:hAnsi="Consolas"/>
                <w:color w:val="1F3535"/>
                <w:sz w:val="18"/>
              </w:rPr>
              <w:t xml:space="preserve">                    message=(</w:t>
            </w:r>
          </w:p>
          <w:p>
            <w:pPr>
              <w:spacing w:line="240" w:lineRule="auto" w:after="0"/>
              <w:ind w:left="0"/>
            </w:pPr>
            <w:r>
              <w:rPr>
                <w:rFonts w:ascii="Consolas" w:hAnsi="Consolas"/>
                <w:color w:val="1F3535"/>
                <w:sz w:val="18"/>
              </w:rPr>
              <w:t xml:space="preserve">                        f"bogus citation '{bogus}' appears in assistant "</w:t>
            </w:r>
          </w:p>
          <w:p>
            <w:pPr>
              <w:spacing w:line="240" w:lineRule="auto" w:after="0"/>
              <w:ind w:left="0"/>
            </w:pPr>
            <w:r>
              <w:rPr>
                <w:rFonts w:ascii="Consolas" w:hAnsi="Consolas"/>
                <w:color w:val="1F3535"/>
                <w:sz w:val="18"/>
              </w:rPr>
              <w:t xml:space="preserve">                        f"answer but is explicitly refused (intentional trap)"</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else:</w:t>
            </w:r>
          </w:p>
          <w:p>
            <w:pPr>
              <w:spacing w:line="240" w:lineRule="auto" w:after="0"/>
              <w:ind w:left="0"/>
            </w:pPr>
            <w:r>
              <w:rPr>
                <w:rFonts w:ascii="Consolas" w:hAnsi="Consolas"/>
                <w:color w:val="1F3535"/>
                <w:sz w:val="18"/>
              </w:rPr>
              <w:t xml:space="preserve">                report.errors.append(ValidationIssue(</w:t>
            </w:r>
          </w:p>
          <w:p>
            <w:pPr>
              <w:spacing w:line="240" w:lineRule="auto" w:after="0"/>
              <w:ind w:left="0"/>
            </w:pPr>
            <w:r>
              <w:rPr>
                <w:rFonts w:ascii="Consolas" w:hAnsi="Consolas"/>
                <w:color w:val="1F3535"/>
                <w:sz w:val="18"/>
              </w:rPr>
              <w:t xml:space="preserve">                    line_number=line, severity="error",</w:t>
            </w:r>
          </w:p>
          <w:p>
            <w:pPr>
              <w:spacing w:line="240" w:lineRule="auto" w:after="0"/>
              <w:ind w:left="0"/>
            </w:pPr>
            <w:r>
              <w:rPr>
                <w:rFonts w:ascii="Consolas" w:hAnsi="Consolas"/>
                <w:color w:val="1F3535"/>
                <w:sz w:val="18"/>
              </w:rPr>
              <w:t xml:space="preserve">                    code="CITATION_HALLUCINATION",</w:t>
            </w:r>
          </w:p>
          <w:p>
            <w:pPr>
              <w:spacing w:line="240" w:lineRule="auto" w:after="0"/>
              <w:ind w:left="0"/>
            </w:pPr>
            <w:r>
              <w:rPr>
                <w:rFonts w:ascii="Consolas" w:hAnsi="Consolas"/>
                <w:color w:val="1F3535"/>
                <w:sz w:val="18"/>
              </w:rPr>
              <w:t xml:space="preserve">                    message=(</w:t>
            </w:r>
          </w:p>
          <w:p>
            <w:pPr>
              <w:spacing w:line="240" w:lineRule="auto" w:after="0"/>
              <w:ind w:left="0"/>
            </w:pPr>
            <w:r>
              <w:rPr>
                <w:rFonts w:ascii="Consolas" w:hAnsi="Consolas"/>
                <w:color w:val="1F3535"/>
                <w:sz w:val="18"/>
              </w:rPr>
              <w:t xml:space="preserve">                        f"known-bogus citation '{bogus}' echoed by assistant "</w:t>
            </w:r>
          </w:p>
          <w:p>
            <w:pPr>
              <w:spacing w:line="240" w:lineRule="auto" w:after="0"/>
              <w:ind w:left="0"/>
            </w:pPr>
            <w:r>
              <w:rPr>
                <w:rFonts w:ascii="Consolas" w:hAnsi="Consolas"/>
                <w:color w:val="1F3535"/>
                <w:sz w:val="18"/>
              </w:rPr>
              <w:t xml:space="preserve">                        f"without refusal"</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Suspicious section-99 references in assistant answer</w:t>
            </w:r>
          </w:p>
          <w:p>
            <w:pPr>
              <w:spacing w:line="240" w:lineRule="auto" w:after="0"/>
              <w:ind w:left="0"/>
            </w:pPr>
            <w:r>
              <w:rPr>
                <w:rFonts w:ascii="Consolas" w:hAnsi="Consolas"/>
                <w:color w:val="1F3535"/>
                <w:sz w:val="18"/>
              </w:rPr>
              <w:t xml:space="preserve">    for m in re.finditer(r"ASC\s*\d{3}-\d{2,3}-99-\d{1,3}", assistant_text):</w:t>
            </w:r>
          </w:p>
          <w:p>
            <w:pPr>
              <w:spacing w:line="240" w:lineRule="auto" w:after="0"/>
              <w:ind w:left="0"/>
            </w:pPr>
            <w:r>
              <w:rPr>
                <w:rFonts w:ascii="Consolas" w:hAnsi="Consolas"/>
                <w:color w:val="1F3535"/>
                <w:sz w:val="18"/>
              </w:rPr>
              <w:t xml:space="preserve">        # Skip if already flagged above</w:t>
            </w:r>
          </w:p>
          <w:p>
            <w:pPr>
              <w:spacing w:line="240" w:lineRule="auto" w:after="0"/>
              <w:ind w:left="0"/>
            </w:pPr>
            <w:r>
              <w:rPr>
                <w:rFonts w:ascii="Consolas" w:hAnsi="Consolas"/>
                <w:color w:val="1F3535"/>
                <w:sz w:val="18"/>
              </w:rPr>
              <w:t xml:space="preserve">        if m.group(0) in KNOWN_BOGUS_CITATIONS:</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report.warnings.append(ValidationIssue(</w:t>
            </w:r>
          </w:p>
          <w:p>
            <w:pPr>
              <w:spacing w:line="240" w:lineRule="auto" w:after="0"/>
              <w:ind w:left="0"/>
            </w:pPr>
            <w:r>
              <w:rPr>
                <w:rFonts w:ascii="Consolas" w:hAnsi="Consolas"/>
                <w:color w:val="1F3535"/>
                <w:sz w:val="18"/>
              </w:rPr>
              <w:t xml:space="preserve">            line_number=line, severity="warning",</w:t>
            </w:r>
          </w:p>
          <w:p>
            <w:pPr>
              <w:spacing w:line="240" w:lineRule="auto" w:after="0"/>
              <w:ind w:left="0"/>
            </w:pPr>
            <w:r>
              <w:rPr>
                <w:rFonts w:ascii="Consolas" w:hAnsi="Consolas"/>
                <w:color w:val="1F3535"/>
                <w:sz w:val="18"/>
              </w:rPr>
              <w:t xml:space="preserve">            code="SUSPICIOUS_CITATION",</w:t>
            </w:r>
          </w:p>
          <w:p>
            <w:pPr>
              <w:spacing w:line="240" w:lineRule="auto" w:after="0"/>
              <w:ind w:left="0"/>
            </w:pPr>
            <w:r>
              <w:rPr>
                <w:rFonts w:ascii="Consolas" w:hAnsi="Consolas"/>
                <w:color w:val="1F3535"/>
                <w:sz w:val="18"/>
              </w:rPr>
              <w:t xml:space="preserve">            message=f"suspicious citation '{m.group(0)}' (section 99) in assistant",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_check_journal_entry_balance(rec: TrainingRecord, line: int,</w:t>
            </w:r>
          </w:p>
          <w:p>
            <w:pPr>
              <w:spacing w:line="240" w:lineRule="auto" w:after="0"/>
              <w:ind w:left="0"/>
            </w:pPr>
            <w:r>
              <w:rPr>
                <w:rFonts w:ascii="Consolas" w:hAnsi="Consolas"/>
                <w:color w:val="1F3535"/>
                <w:sz w:val="18"/>
              </w:rPr>
              <w:t xml:space="preserve">                                  report: ValidationReport) -&gt; None:</w:t>
            </w:r>
          </w:p>
          <w:p>
            <w:pPr>
              <w:spacing w:line="240" w:lineRule="auto" w:after="0"/>
              <w:ind w:left="0"/>
            </w:pPr>
            <w:r>
              <w:rPr>
                <w:rFonts w:ascii="Consolas" w:hAnsi="Consolas"/>
                <w:color w:val="1F3535"/>
                <w:sz w:val="18"/>
              </w:rPr>
              <w:t xml:space="preserve">    """Check that any Dr/Cr block in the assistant answer balances.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The check is intentionally conservative — only catches well-formed</w:t>
            </w:r>
          </w:p>
          <w:p>
            <w:pPr>
              <w:spacing w:line="240" w:lineRule="auto" w:after="0"/>
              <w:ind w:left="0"/>
            </w:pPr>
            <w:r>
              <w:rPr>
                <w:rFonts w:ascii="Consolas" w:hAnsi="Consolas"/>
                <w:color w:val="1F3535"/>
                <w:sz w:val="18"/>
              </w:rPr>
              <w:t xml:space="preserve">    `Dr Account 1,000 / Cr Account 1,000` style entries; skips if it cannot</w:t>
            </w:r>
          </w:p>
          <w:p>
            <w:pPr>
              <w:spacing w:line="240" w:lineRule="auto" w:after="0"/>
              <w:ind w:left="0"/>
            </w:pPr>
            <w:r>
              <w:rPr>
                <w:rFonts w:ascii="Consolas" w:hAnsi="Consolas"/>
                <w:color w:val="1F3535"/>
                <w:sz w:val="18"/>
              </w:rPr>
              <w:t xml:space="preserve">    parse the format.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 find every Dr/Cr block separately</w:t>
            </w:r>
          </w:p>
          <w:p>
            <w:pPr>
              <w:spacing w:line="240" w:lineRule="auto" w:after="0"/>
              <w:ind w:left="0"/>
            </w:pPr>
            <w:r>
              <w:rPr>
                <w:rFonts w:ascii="Consolas" w:hAnsi="Consolas"/>
                <w:color w:val="1F3535"/>
                <w:sz w:val="18"/>
              </w:rPr>
              <w:t xml:space="preserve">    blocks = re.split(r"\n\s*\n", rec.messages[-1].content)</w:t>
            </w:r>
          </w:p>
          <w:p>
            <w:pPr>
              <w:spacing w:line="240" w:lineRule="auto" w:after="0"/>
              <w:ind w:left="0"/>
            </w:pPr>
            <w:r>
              <w:rPr>
                <w:rFonts w:ascii="Consolas" w:hAnsi="Consolas"/>
                <w:color w:val="1F3535"/>
                <w:sz w:val="18"/>
              </w:rPr>
              <w:t xml:space="preserve">    for block in blocks:</w:t>
            </w:r>
          </w:p>
          <w:p>
            <w:pPr>
              <w:spacing w:line="240" w:lineRule="auto" w:after="0"/>
              <w:ind w:left="0"/>
            </w:pPr>
            <w:r>
              <w:rPr>
                <w:rFonts w:ascii="Consolas" w:hAnsi="Consolas"/>
                <w:color w:val="1F3535"/>
                <w:sz w:val="18"/>
              </w:rPr>
              <w:t xml:space="preserve">        dr_total = 0.0</w:t>
            </w:r>
          </w:p>
          <w:p>
            <w:pPr>
              <w:spacing w:line="240" w:lineRule="auto" w:after="0"/>
              <w:ind w:left="0"/>
            </w:pPr>
            <w:r>
              <w:rPr>
                <w:rFonts w:ascii="Consolas" w:hAnsi="Consolas"/>
                <w:color w:val="1F3535"/>
                <w:sz w:val="18"/>
              </w:rPr>
              <w:t xml:space="preserve">        cr_total = 0.0</w:t>
            </w:r>
          </w:p>
          <w:p>
            <w:pPr>
              <w:spacing w:line="240" w:lineRule="auto" w:after="0"/>
              <w:ind w:left="0"/>
            </w:pPr>
            <w:r>
              <w:rPr>
                <w:rFonts w:ascii="Consolas" w:hAnsi="Consolas"/>
                <w:color w:val="1F3535"/>
                <w:sz w:val="18"/>
              </w:rPr>
              <w:t xml:space="preserve">        for m in JE_LINE_RE.finditer(block):</w:t>
            </w:r>
          </w:p>
          <w:p>
            <w:pPr>
              <w:spacing w:line="240" w:lineRule="auto" w:after="0"/>
              <w:ind w:left="0"/>
            </w:pPr>
            <w:r>
              <w:rPr>
                <w:rFonts w:ascii="Consolas" w:hAnsi="Consolas"/>
                <w:color w:val="1F3535"/>
                <w:sz w:val="18"/>
              </w:rPr>
              <w:t xml:space="preserve">            direction = m.group(1).lower()</w:t>
            </w:r>
          </w:p>
          <w:p>
            <w:pPr>
              <w:spacing w:line="240" w:lineRule="auto" w:after="0"/>
              <w:ind w:left="0"/>
            </w:pPr>
            <w:r>
              <w:rPr>
                <w:rFonts w:ascii="Consolas" w:hAnsi="Consolas"/>
                <w:color w:val="1F3535"/>
                <w:sz w:val="18"/>
              </w:rPr>
              <w:t xml:space="preserve">            amount = float(m.group(3).replace(",", ""))</w:t>
            </w:r>
          </w:p>
          <w:p>
            <w:pPr>
              <w:spacing w:line="240" w:lineRule="auto" w:after="0"/>
              <w:ind w:left="0"/>
            </w:pPr>
            <w:r>
              <w:rPr>
                <w:rFonts w:ascii="Consolas" w:hAnsi="Consolas"/>
                <w:color w:val="1F3535"/>
                <w:sz w:val="18"/>
              </w:rPr>
              <w:t xml:space="preserve">            if direction == "dr":</w:t>
            </w:r>
          </w:p>
          <w:p>
            <w:pPr>
              <w:spacing w:line="240" w:lineRule="auto" w:after="0"/>
              <w:ind w:left="0"/>
            </w:pPr>
            <w:r>
              <w:rPr>
                <w:rFonts w:ascii="Consolas" w:hAnsi="Consolas"/>
                <w:color w:val="1F3535"/>
                <w:sz w:val="18"/>
              </w:rPr>
              <w:t xml:space="preserve">                dr_total += amount</w:t>
            </w:r>
          </w:p>
          <w:p>
            <w:pPr>
              <w:spacing w:line="240" w:lineRule="auto" w:after="0"/>
              <w:ind w:left="0"/>
            </w:pPr>
            <w:r>
              <w:rPr>
                <w:rFonts w:ascii="Consolas" w:hAnsi="Consolas"/>
                <w:color w:val="1F3535"/>
                <w:sz w:val="18"/>
              </w:rPr>
              <w:t xml:space="preserve">            else:</w:t>
            </w:r>
          </w:p>
          <w:p>
            <w:pPr>
              <w:spacing w:line="240" w:lineRule="auto" w:after="0"/>
              <w:ind w:left="0"/>
            </w:pPr>
            <w:r>
              <w:rPr>
                <w:rFonts w:ascii="Consolas" w:hAnsi="Consolas"/>
                <w:color w:val="1F3535"/>
                <w:sz w:val="18"/>
              </w:rPr>
              <w:t xml:space="preserve">                cr_total += amount</w:t>
            </w:r>
          </w:p>
          <w:p>
            <w:pPr>
              <w:spacing w:line="240" w:lineRule="auto" w:after="0"/>
              <w:ind w:left="0"/>
            </w:pPr>
            <w:r>
              <w:rPr>
                <w:rFonts w:ascii="Consolas" w:hAnsi="Consolas"/>
                <w:color w:val="1F3535"/>
                <w:sz w:val="18"/>
              </w:rPr>
              <w:t xml:space="preserve">        if dr_total &gt; 0 and cr_total &gt; 0 and abs(dr_total - cr_total) &gt; 0.05:</w:t>
            </w:r>
          </w:p>
          <w:p>
            <w:pPr>
              <w:spacing w:line="240" w:lineRule="auto" w:after="0"/>
              <w:ind w:left="0"/>
            </w:pPr>
            <w:r>
              <w:rPr>
                <w:rFonts w:ascii="Consolas" w:hAnsi="Consolas"/>
                <w:color w:val="1F3535"/>
                <w:sz w:val="18"/>
              </w:rPr>
              <w:t xml:space="preserve">            report.errors.append(ValidationIssue(</w:t>
            </w:r>
          </w:p>
          <w:p>
            <w:pPr>
              <w:spacing w:line="240" w:lineRule="auto" w:after="0"/>
              <w:ind w:left="0"/>
            </w:pPr>
            <w:r>
              <w:rPr>
                <w:rFonts w:ascii="Consolas" w:hAnsi="Consolas"/>
                <w:color w:val="1F3535"/>
                <w:sz w:val="18"/>
              </w:rPr>
              <w:t xml:space="preserve">                line_number=line, severity="error",</w:t>
            </w:r>
          </w:p>
          <w:p>
            <w:pPr>
              <w:spacing w:line="240" w:lineRule="auto" w:after="0"/>
              <w:ind w:left="0"/>
            </w:pPr>
            <w:r>
              <w:rPr>
                <w:rFonts w:ascii="Consolas" w:hAnsi="Consolas"/>
                <w:color w:val="1F3535"/>
                <w:sz w:val="18"/>
              </w:rPr>
              <w:t xml:space="preserve">                code="JE_UNBALANCED",</w:t>
            </w:r>
          </w:p>
          <w:p>
            <w:pPr>
              <w:spacing w:line="240" w:lineRule="auto" w:after="0"/>
              <w:ind w:left="0"/>
            </w:pPr>
            <w:r>
              <w:rPr>
                <w:rFonts w:ascii="Consolas" w:hAnsi="Consolas"/>
                <w:color w:val="1F3535"/>
                <w:sz w:val="18"/>
              </w:rPr>
              <w:t xml:space="preserve">                message=(</w:t>
            </w:r>
          </w:p>
          <w:p>
            <w:pPr>
              <w:spacing w:line="240" w:lineRule="auto" w:after="0"/>
              <w:ind w:left="0"/>
            </w:pPr>
            <w:r>
              <w:rPr>
                <w:rFonts w:ascii="Consolas" w:hAnsi="Consolas"/>
                <w:color w:val="1F3535"/>
                <w:sz w:val="18"/>
              </w:rPr>
              <w:t xml:space="preserve">                    f"journal entry does not balance: Dr={dr_total:.2f} "</w:t>
            </w:r>
          </w:p>
          <w:p>
            <w:pPr>
              <w:spacing w:line="240" w:lineRule="auto" w:after="0"/>
              <w:ind w:left="0"/>
            </w:pPr>
            <w:r>
              <w:rPr>
                <w:rFonts w:ascii="Consolas" w:hAnsi="Consolas"/>
                <w:color w:val="1F3535"/>
                <w:sz w:val="18"/>
              </w:rPr>
              <w:t xml:space="preserve">                    f"Cr={cr_total:.2f}"</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CLI</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cli_main(path: str, manifest: str | None = None) -&gt; int:</w:t>
            </w:r>
          </w:p>
          <w:p>
            <w:pPr>
              <w:spacing w:line="240" w:lineRule="auto" w:after="0"/>
              <w:ind w:left="0"/>
            </w:pPr>
            <w:r>
              <w:rPr>
                <w:rFonts w:ascii="Consolas" w:hAnsi="Consolas"/>
                <w:color w:val="1F3535"/>
                <w:sz w:val="18"/>
              </w:rPr>
              <w:t xml:space="preserve">    report = validate_file(path, manifest)</w:t>
            </w:r>
          </w:p>
          <w:p>
            <w:pPr>
              <w:spacing w:line="240" w:lineRule="auto" w:after="0"/>
              <w:ind w:left="0"/>
            </w:pPr>
            <w:r>
              <w:rPr>
                <w:rFonts w:ascii="Consolas" w:hAnsi="Consolas"/>
                <w:color w:val="1F3535"/>
                <w:sz w:val="18"/>
              </w:rPr>
              <w:t xml:space="preserve">    print(report.summary())</w:t>
            </w:r>
          </w:p>
          <w:p>
            <w:pPr>
              <w:spacing w:line="240" w:lineRule="auto" w:after="0"/>
              <w:ind w:left="0"/>
            </w:pPr>
            <w:r>
              <w:rPr>
                <w:rFonts w:ascii="Consolas" w:hAnsi="Consolas"/>
                <w:color w:val="1F3535"/>
                <w:sz w:val="18"/>
              </w:rPr>
              <w:t xml:space="preserve">    print(f"citation_verified_count = {report.citation_verified_count}")</w:t>
            </w:r>
          </w:p>
          <w:p>
            <w:pPr>
              <w:spacing w:line="240" w:lineRule="auto" w:after="0"/>
              <w:ind w:left="0"/>
            </w:pPr>
            <w:r>
              <w:rPr>
                <w:rFonts w:ascii="Consolas" w:hAnsi="Consolas"/>
                <w:color w:val="1F3535"/>
                <w:sz w:val="18"/>
              </w:rPr>
              <w:t xml:space="preserve">    print(f"calculation_verified_count = {report.calculation_verified_count}")</w:t>
            </w:r>
          </w:p>
          <w:p>
            <w:pPr>
              <w:spacing w:line="240" w:lineRule="auto" w:after="0"/>
              <w:ind w:left="0"/>
            </w:pPr>
            <w:r>
              <w:rPr>
                <w:rFonts w:ascii="Consolas" w:hAnsi="Consolas"/>
                <w:color w:val="1F3535"/>
                <w:sz w:val="18"/>
              </w:rPr>
              <w:t xml:space="preserve">    for issue in report.errors[:20]:</w:t>
            </w:r>
          </w:p>
          <w:p>
            <w:pPr>
              <w:spacing w:line="240" w:lineRule="auto" w:after="0"/>
              <w:ind w:left="0"/>
            </w:pPr>
            <w:r>
              <w:rPr>
                <w:rFonts w:ascii="Consolas" w:hAnsi="Consolas"/>
                <w:color w:val="1F3535"/>
                <w:sz w:val="18"/>
              </w:rPr>
              <w:t xml:space="preserve">        print(f"  ERROR  L{issue.line_number} [{issue.code}] {issue.message}")</w:t>
            </w:r>
          </w:p>
          <w:p>
            <w:pPr>
              <w:spacing w:line="240" w:lineRule="auto" w:after="0"/>
              <w:ind w:left="0"/>
            </w:pPr>
            <w:r>
              <w:rPr>
                <w:rFonts w:ascii="Consolas" w:hAnsi="Consolas"/>
                <w:color w:val="1F3535"/>
                <w:sz w:val="18"/>
              </w:rPr>
              <w:t xml:space="preserve">    for issue in report.warnings[:20]:</w:t>
            </w:r>
          </w:p>
          <w:p>
            <w:pPr>
              <w:spacing w:line="240" w:lineRule="auto" w:after="0"/>
              <w:ind w:left="0"/>
            </w:pPr>
            <w:r>
              <w:rPr>
                <w:rFonts w:ascii="Consolas" w:hAnsi="Consolas"/>
                <w:color w:val="1F3535"/>
                <w:sz w:val="18"/>
              </w:rPr>
              <w:t xml:space="preserve">        print(f"  WARN   L{issue.line_number} [{issue.code}] {issue.message}")</w:t>
            </w:r>
          </w:p>
          <w:p>
            <w:pPr>
              <w:spacing w:line="240" w:lineRule="auto" w:after="0"/>
              <w:ind w:left="0"/>
            </w:pPr>
            <w:r>
              <w:rPr>
                <w:rFonts w:ascii="Consolas" w:hAnsi="Consolas"/>
                <w:color w:val="1F3535"/>
                <w:sz w:val="18"/>
              </w:rPr>
              <w:t xml:space="preserve">    return 0 if report.ok else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import sys</w:t>
            </w:r>
          </w:p>
          <w:p>
            <w:pPr>
              <w:spacing w:line="240" w:lineRule="auto" w:after="0"/>
              <w:ind w:left="0"/>
            </w:pPr>
            <w:r>
              <w:rPr>
                <w:rFonts w:ascii="Consolas" w:hAnsi="Consolas"/>
                <w:color w:val="1F3535"/>
                <w:sz w:val="18"/>
              </w:rPr>
              <w:t xml:space="preserve">    sys.exit(cli_main(sys.argv[1] if len(sys.argv) &gt; 1 else "data/processed/asc606.jsonl"))</w:t>
            </w:r>
          </w:p>
          <w:p>
            <w:pPr>
              <w:spacing w:line="240" w:lineRule="auto" w:after="0"/>
              <w:ind w:left="0"/>
            </w:pPr>
            <w:r>
              <w:rPr>
                <w:rFonts w:ascii="Consolas" w:hAnsi="Consolas"/>
                <w:color w:val="1F3535"/>
                <w:sz w:val="18"/>
              </w:rPr>
            </w:r>
          </w:p>
        </w:tc>
      </w:tr>
    </w:tbl>
    <w:p>
      <w:pPr>
        <w:spacing w:after="80"/>
      </w:pPr>
    </w:p>
    <w:p>
      <w:pPr>
        <w:pStyle w:val="Heading3"/>
      </w:pPr>
      <w:r>
        <w:rPr>
          <w:color w:val="1F3864"/>
        </w:rPr>
        <w:t>src/asc606_trainer/evaluator.py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"""Rubric-based evaluator for fine-tuned ASC 606 models.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Two complementary functions: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1. `evaluate_jsonl(...)` — scores a model's predictions against a</w:t>
            </w:r>
          </w:p>
          <w:p>
            <w:pPr>
              <w:spacing w:line="240" w:lineRule="auto" w:after="0"/>
              <w:ind w:left="0"/>
            </w:pPr>
            <w:r>
              <w:rPr>
                <w:rFonts w:ascii="Consolas" w:hAnsi="Consolas"/>
                <w:color w:val="1F3535"/>
                <w:sz w:val="18"/>
              </w:rPr>
              <w:t xml:space="preserve">     gold-answer JSONL file using a 5-dimension rubric:</w:t>
            </w:r>
          </w:p>
          <w:p>
            <w:pPr>
              <w:spacing w:line="240" w:lineRule="auto" w:after="0"/>
              <w:ind w:left="0"/>
            </w:pPr>
            <w:r>
              <w:rPr>
                <w:rFonts w:ascii="Consolas" w:hAnsi="Consolas"/>
                <w:color w:val="1F3535"/>
                <w:sz w:val="18"/>
              </w:rPr>
              <w:t xml:space="preserve">        technical_accuracy    30%</w:t>
            </w:r>
          </w:p>
          <w:p>
            <w:pPr>
              <w:spacing w:line="240" w:lineRule="auto" w:after="0"/>
              <w:ind w:left="0"/>
            </w:pPr>
            <w:r>
              <w:rPr>
                <w:rFonts w:ascii="Consolas" w:hAnsi="Consolas"/>
                <w:color w:val="1F3535"/>
                <w:sz w:val="18"/>
              </w:rPr>
              <w:t xml:space="preserve">        citation_accuracy     20%</w:t>
            </w:r>
          </w:p>
          <w:p>
            <w:pPr>
              <w:spacing w:line="240" w:lineRule="auto" w:after="0"/>
              <w:ind w:left="0"/>
            </w:pPr>
            <w:r>
              <w:rPr>
                <w:rFonts w:ascii="Consolas" w:hAnsi="Consolas"/>
                <w:color w:val="1F3535"/>
                <w:sz w:val="18"/>
              </w:rPr>
              <w:t xml:space="preserve">        numerical_accuracy    15%</w:t>
            </w:r>
          </w:p>
          <w:p>
            <w:pPr>
              <w:spacing w:line="240" w:lineRule="auto" w:after="0"/>
              <w:ind w:left="0"/>
            </w:pPr>
            <w:r>
              <w:rPr>
                <w:rFonts w:ascii="Consolas" w:hAnsi="Consolas"/>
                <w:color w:val="1F3535"/>
                <w:sz w:val="18"/>
              </w:rPr>
              <w:t xml:space="preserve">        fact_analysis         15%</w:t>
            </w:r>
          </w:p>
          <w:p>
            <w:pPr>
              <w:spacing w:line="240" w:lineRule="auto" w:after="0"/>
              <w:ind w:left="0"/>
            </w:pPr>
            <w:r>
              <w:rPr>
                <w:rFonts w:ascii="Consolas" w:hAnsi="Consolas"/>
                <w:color w:val="1F3535"/>
                <w:sz w:val="18"/>
              </w:rPr>
              <w:t xml:space="preserve">        alternative_analysis  10%</w:t>
            </w:r>
          </w:p>
          <w:p>
            <w:pPr>
              <w:spacing w:line="240" w:lineRule="auto" w:after="0"/>
              <w:ind w:left="0"/>
            </w:pPr>
            <w:r>
              <w:rPr>
                <w:rFonts w:ascii="Consolas" w:hAnsi="Consolas"/>
                <w:color w:val="1F3535"/>
                <w:sz w:val="18"/>
              </w:rPr>
              <w:t xml:space="preserve">        presentation          10%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Each dimension is scored 0-4 (raw) and then weighted.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2. `citation_hallucination_test(...)` — a targeted test that feeds the</w:t>
            </w:r>
          </w:p>
          <w:p>
            <w:pPr>
              <w:spacing w:line="240" w:lineRule="auto" w:after="0"/>
              <w:ind w:left="0"/>
            </w:pPr>
            <w:r>
              <w:rPr>
                <w:rFonts w:ascii="Consolas" w:hAnsi="Consolas"/>
                <w:color w:val="1F3535"/>
                <w:sz w:val="18"/>
              </w:rPr>
              <w:t xml:space="preserve">     model the well-known citation trap prompts (e.g., "ASC 606-10-99-99</w:t>
            </w:r>
          </w:p>
          <w:p>
            <w:pPr>
              <w:spacing w:line="240" w:lineRule="auto" w:after="0"/>
              <w:ind w:left="0"/>
            </w:pPr>
            <w:r>
              <w:rPr>
                <w:rFonts w:ascii="Consolas" w:hAnsi="Consolas"/>
                <w:color w:val="1F3535"/>
                <w:sz w:val="18"/>
              </w:rPr>
              <w:t xml:space="preserve">     says ...") and verifies the model refuses to honor the fake citation.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Both functions return JSON-serializable dicts.</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json</w:t>
            </w:r>
          </w:p>
          <w:p>
            <w:pPr>
              <w:spacing w:line="240" w:lineRule="auto" w:after="0"/>
              <w:ind w:left="0"/>
            </w:pPr>
            <w:r>
              <w:rPr>
                <w:rFonts w:ascii="Consolas" w:hAnsi="Consolas"/>
                <w:color w:val="1F3535"/>
                <w:sz w:val="18"/>
              </w:rPr>
              <w:t>import re</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t>from typing import Any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Rubric constants</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RUBRIC_WEIGHTS: dict[str, float] = {</w:t>
            </w:r>
          </w:p>
          <w:p>
            <w:pPr>
              <w:spacing w:line="240" w:lineRule="auto" w:after="0"/>
              <w:ind w:left="0"/>
            </w:pPr>
            <w:r>
              <w:rPr>
                <w:rFonts w:ascii="Consolas" w:hAnsi="Consolas"/>
                <w:color w:val="1F3535"/>
                <w:sz w:val="18"/>
              </w:rPr>
              <w:t xml:space="preserve">    "technical_accuracy":   0.30,</w:t>
            </w:r>
          </w:p>
          <w:p>
            <w:pPr>
              <w:spacing w:line="240" w:lineRule="auto" w:after="0"/>
              <w:ind w:left="0"/>
            </w:pPr>
            <w:r>
              <w:rPr>
                <w:rFonts w:ascii="Consolas" w:hAnsi="Consolas"/>
                <w:color w:val="1F3535"/>
                <w:sz w:val="18"/>
              </w:rPr>
              <w:t xml:space="preserve">    "citation_accuracy":    0.20,</w:t>
            </w:r>
          </w:p>
          <w:p>
            <w:pPr>
              <w:spacing w:line="240" w:lineRule="auto" w:after="0"/>
              <w:ind w:left="0"/>
            </w:pPr>
            <w:r>
              <w:rPr>
                <w:rFonts w:ascii="Consolas" w:hAnsi="Consolas"/>
                <w:color w:val="1F3535"/>
                <w:sz w:val="18"/>
              </w:rPr>
              <w:t xml:space="preserve">    "numerical_accuracy":   0.15,</w:t>
            </w:r>
          </w:p>
          <w:p>
            <w:pPr>
              <w:spacing w:line="240" w:lineRule="auto" w:after="0"/>
              <w:ind w:left="0"/>
            </w:pPr>
            <w:r>
              <w:rPr>
                <w:rFonts w:ascii="Consolas" w:hAnsi="Consolas"/>
                <w:color w:val="1F3535"/>
                <w:sz w:val="18"/>
              </w:rPr>
              <w:t xml:space="preserve">    "fact_analysis":        0.15,</w:t>
            </w:r>
          </w:p>
          <w:p>
            <w:pPr>
              <w:spacing w:line="240" w:lineRule="auto" w:after="0"/>
              <w:ind w:left="0"/>
            </w:pPr>
            <w:r>
              <w:rPr>
                <w:rFonts w:ascii="Consolas" w:hAnsi="Consolas"/>
                <w:color w:val="1F3535"/>
                <w:sz w:val="18"/>
              </w:rPr>
              <w:t xml:space="preserve">    "alternative_analysis": 0.10,</w:t>
            </w:r>
          </w:p>
          <w:p>
            <w:pPr>
              <w:spacing w:line="240" w:lineRule="auto" w:after="0"/>
              <w:ind w:left="0"/>
            </w:pPr>
            <w:r>
              <w:rPr>
                <w:rFonts w:ascii="Consolas" w:hAnsi="Consolas"/>
                <w:color w:val="1F3535"/>
                <w:sz w:val="18"/>
              </w:rPr>
              <w:t xml:space="preserve">    "presentation":         0.10,</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0-4 scoring bands (for documentation)</w:t>
            </w:r>
          </w:p>
          <w:p>
            <w:pPr>
              <w:spacing w:line="240" w:lineRule="auto" w:after="0"/>
              <w:ind w:left="0"/>
            </w:pPr>
            <w:r>
              <w:rPr>
                <w:rFonts w:ascii="Consolas" w:hAnsi="Consolas"/>
                <w:color w:val="1F3535"/>
                <w:sz w:val="18"/>
              </w:rPr>
              <w:t>SCORE_BANDS = {</w:t>
            </w:r>
          </w:p>
          <w:p>
            <w:pPr>
              <w:spacing w:line="240" w:lineRule="auto" w:after="0"/>
              <w:ind w:left="0"/>
            </w:pPr>
            <w:r>
              <w:rPr>
                <w:rFonts w:ascii="Consolas" w:hAnsi="Consolas"/>
                <w:color w:val="1F3535"/>
                <w:sz w:val="18"/>
              </w:rPr>
              <w:t xml:space="preserve">    0: "Incorrect: materially wrong accounting or fabricated authority.",</w:t>
            </w:r>
          </w:p>
          <w:p>
            <w:pPr>
              <w:spacing w:line="240" w:lineRule="auto" w:after="0"/>
              <w:ind w:left="0"/>
            </w:pPr>
            <w:r>
              <w:rPr>
                <w:rFonts w:ascii="Consolas" w:hAnsi="Consolas"/>
                <w:color w:val="1F3535"/>
                <w:sz w:val="18"/>
              </w:rPr>
              <w:t xml:space="preserve">    1: "Weak: identifies the general issue but misses essential requirements.",</w:t>
            </w:r>
          </w:p>
          <w:p>
            <w:pPr>
              <w:spacing w:line="240" w:lineRule="auto" w:after="0"/>
              <w:ind w:left="0"/>
            </w:pPr>
            <w:r>
              <w:rPr>
                <w:rFonts w:ascii="Consolas" w:hAnsi="Consolas"/>
                <w:color w:val="1F3535"/>
                <w:sz w:val="18"/>
              </w:rPr>
              <w:t xml:space="preserve">    2: "Partial: mostly correct, with material omissions or unsupported assumptions.",</w:t>
            </w:r>
          </w:p>
          <w:p>
            <w:pPr>
              <w:spacing w:line="240" w:lineRule="auto" w:after="0"/>
              <w:ind w:left="0"/>
            </w:pPr>
            <w:r>
              <w:rPr>
                <w:rFonts w:ascii="Consolas" w:hAnsi="Consolas"/>
                <w:color w:val="1F3535"/>
                <w:sz w:val="18"/>
              </w:rPr>
              <w:t xml:space="preserve">    3: "Strong: technically sound, properly supported, and reasonably complete.",</w:t>
            </w:r>
          </w:p>
          <w:p>
            <w:pPr>
              <w:spacing w:line="240" w:lineRule="auto" w:after="0"/>
              <w:ind w:left="0"/>
            </w:pPr>
            <w:r>
              <w:rPr>
                <w:rFonts w:ascii="Consolas" w:hAnsi="Consolas"/>
                <w:color w:val="1F3535"/>
                <w:sz w:val="18"/>
              </w:rPr>
              <w:t xml:space="preserve">    4: "Expert: precise, comprehensive, appropriately qualified, and defensible.",</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KNOWN_BOGUS_CITATIONS = {</w:t>
            </w:r>
          </w:p>
          <w:p>
            <w:pPr>
              <w:spacing w:line="240" w:lineRule="auto" w:after="0"/>
              <w:ind w:left="0"/>
            </w:pPr>
            <w:r>
              <w:rPr>
                <w:rFonts w:ascii="Consolas" w:hAnsi="Consolas"/>
                <w:color w:val="1F3535"/>
                <w:sz w:val="18"/>
              </w:rPr>
              <w:t xml:space="preserve">    "ASC 606-10-99-99",</w:t>
            </w:r>
          </w:p>
          <w:p>
            <w:pPr>
              <w:spacing w:line="240" w:lineRule="auto" w:after="0"/>
              <w:ind w:left="0"/>
            </w:pPr>
            <w:r>
              <w:rPr>
                <w:rFonts w:ascii="Consolas" w:hAnsi="Consolas"/>
                <w:color w:val="1F3535"/>
                <w:sz w:val="18"/>
              </w:rPr>
              <w:t xml:space="preserve">    "ASC 606-10-99-1",</w:t>
            </w:r>
          </w:p>
          <w:p>
            <w:pPr>
              <w:spacing w:line="240" w:lineRule="auto" w:after="0"/>
              <w:ind w:left="0"/>
            </w:pPr>
            <w:r>
              <w:rPr>
                <w:rFonts w:ascii="Consolas" w:hAnsi="Consolas"/>
                <w:color w:val="1F3535"/>
                <w:sz w:val="18"/>
              </w:rPr>
              <w:t xml:space="preserve">    "ASC 606-10-99-2",</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Heuristic scorer (proxy — replace with LLM-judge or human reviewer)</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_heuristic_score(prediction: str, gold: str) -&gt; dict[str, int]:</w:t>
            </w:r>
          </w:p>
          <w:p>
            <w:pPr>
              <w:spacing w:line="240" w:lineRule="auto" w:after="0"/>
              <w:ind w:left="0"/>
            </w:pPr>
            <w:r>
              <w:rPr>
                <w:rFonts w:ascii="Consolas" w:hAnsi="Consolas"/>
                <w:color w:val="1F3535"/>
                <w:sz w:val="18"/>
              </w:rPr>
              <w:t xml:space="preserve">    """Cheap heuristic scores — use only when no human/LLM judge available.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The scores are intentionally crude; they detect only egregious errors.</w:t>
            </w:r>
          </w:p>
          <w:p>
            <w:pPr>
              <w:spacing w:line="240" w:lineRule="auto" w:after="0"/>
              <w:ind w:left="0"/>
            </w:pPr>
            <w:r>
              <w:rPr>
                <w:rFonts w:ascii="Consolas" w:hAnsi="Consolas"/>
                <w:color w:val="1F3535"/>
                <w:sz w:val="18"/>
              </w:rPr>
              <w:t xml:space="preserve">    For a production gold evaluation, replace this with an LLM-as-judge or</w:t>
            </w:r>
          </w:p>
          <w:p>
            <w:pPr>
              <w:spacing w:line="240" w:lineRule="auto" w:after="0"/>
              <w:ind w:left="0"/>
            </w:pPr>
            <w:r>
              <w:rPr>
                <w:rFonts w:ascii="Consolas" w:hAnsi="Consolas"/>
                <w:color w:val="1F3535"/>
                <w:sz w:val="18"/>
              </w:rPr>
              <w:t xml:space="preserve">    a qualified human reviewer.</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pred_lc = prediction.lower()</w:t>
            </w:r>
          </w:p>
          <w:p>
            <w:pPr>
              <w:spacing w:line="240" w:lineRule="auto" w:after="0"/>
              <w:ind w:left="0"/>
            </w:pPr>
            <w:r>
              <w:rPr>
                <w:rFonts w:ascii="Consolas" w:hAnsi="Consolas"/>
                <w:color w:val="1F3535"/>
                <w:sz w:val="18"/>
              </w:rPr>
              <w:t xml:space="preserve">    gold_lc = gold.lower()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technical_accuracy — proxy: does the prediction reach the same</w:t>
            </w:r>
          </w:p>
          <w:p>
            <w:pPr>
              <w:spacing w:line="240" w:lineRule="auto" w:after="0"/>
              <w:ind w:left="0"/>
            </w:pPr>
            <w:r>
              <w:rPr>
                <w:rFonts w:ascii="Consolas" w:hAnsi="Consolas"/>
                <w:color w:val="1F3535"/>
                <w:sz w:val="18"/>
              </w:rPr>
              <w:t xml:space="preserve">    # core conclusion word (revenue/no revenue, gross/net, point/over-time)</w:t>
            </w:r>
          </w:p>
          <w:p>
            <w:pPr>
              <w:spacing w:line="240" w:lineRule="auto" w:after="0"/>
              <w:ind w:left="0"/>
            </w:pPr>
            <w:r>
              <w:rPr>
                <w:rFonts w:ascii="Consolas" w:hAnsi="Consolas"/>
                <w:color w:val="1F3535"/>
                <w:sz w:val="18"/>
              </w:rPr>
              <w:t xml:space="preserve">    def _conclusion_match() -&gt; int:</w:t>
            </w:r>
          </w:p>
          <w:p>
            <w:pPr>
              <w:spacing w:line="240" w:lineRule="auto" w:after="0"/>
              <w:ind w:left="0"/>
            </w:pPr>
            <w:r>
              <w:rPr>
                <w:rFonts w:ascii="Consolas" w:hAnsi="Consolas"/>
                <w:color w:val="1F3535"/>
                <w:sz w:val="18"/>
              </w:rPr>
              <w:t xml:space="preserve">        # crude: look for any of these conclusion keywords in both</w:t>
            </w:r>
          </w:p>
          <w:p>
            <w:pPr>
              <w:spacing w:line="240" w:lineRule="auto" w:after="0"/>
              <w:ind w:left="0"/>
            </w:pPr>
            <w:r>
              <w:rPr>
                <w:rFonts w:ascii="Consolas" w:hAnsi="Consolas"/>
                <w:color w:val="1F3535"/>
                <w:sz w:val="18"/>
              </w:rPr>
              <w:t xml:space="preserve">        keywords = ["revenue", "no revenue", "deferred", "recognized",</w:t>
            </w:r>
          </w:p>
          <w:p>
            <w:pPr>
              <w:spacing w:line="240" w:lineRule="auto" w:after="0"/>
              <w:ind w:left="0"/>
            </w:pPr>
            <w:r>
              <w:rPr>
                <w:rFonts w:ascii="Consolas" w:hAnsi="Consolas"/>
                <w:color w:val="1F3535"/>
                <w:sz w:val="18"/>
              </w:rPr>
              <w:t xml:space="preserve">                    "not recognize", "gross", "net", "point in time",</w:t>
            </w:r>
          </w:p>
          <w:p>
            <w:pPr>
              <w:spacing w:line="240" w:lineRule="auto" w:after="0"/>
              <w:ind w:left="0"/>
            </w:pPr>
            <w:r>
              <w:rPr>
                <w:rFonts w:ascii="Consolas" w:hAnsi="Consolas"/>
                <w:color w:val="1F3535"/>
                <w:sz w:val="18"/>
              </w:rPr>
              <w:t xml:space="preserve">                    "over time", "contract liability", "contract asset"]</w:t>
            </w:r>
          </w:p>
          <w:p>
            <w:pPr>
              <w:spacing w:line="240" w:lineRule="auto" w:after="0"/>
              <w:ind w:left="0"/>
            </w:pPr>
            <w:r>
              <w:rPr>
                <w:rFonts w:ascii="Consolas" w:hAnsi="Consolas"/>
                <w:color w:val="1F3535"/>
                <w:sz w:val="18"/>
              </w:rPr>
              <w:t xml:space="preserve">        pred_hits = sum(1 for k in keywords if k in pred_lc)</w:t>
            </w:r>
          </w:p>
          <w:p>
            <w:pPr>
              <w:spacing w:line="240" w:lineRule="auto" w:after="0"/>
              <w:ind w:left="0"/>
            </w:pPr>
            <w:r>
              <w:rPr>
                <w:rFonts w:ascii="Consolas" w:hAnsi="Consolas"/>
                <w:color w:val="1F3535"/>
                <w:sz w:val="18"/>
              </w:rPr>
              <w:t xml:space="preserve">        gold_hits = sum(1 for k in keywords if k in gold_lc)</w:t>
            </w:r>
          </w:p>
          <w:p>
            <w:pPr>
              <w:spacing w:line="240" w:lineRule="auto" w:after="0"/>
              <w:ind w:left="0"/>
            </w:pPr>
            <w:r>
              <w:rPr>
                <w:rFonts w:ascii="Consolas" w:hAnsi="Consolas"/>
                <w:color w:val="1F3535"/>
                <w:sz w:val="18"/>
              </w:rPr>
              <w:t xml:space="preserve">        if pred_hits == 0:</w:t>
            </w:r>
          </w:p>
          <w:p>
            <w:pPr>
              <w:spacing w:line="240" w:lineRule="auto" w:after="0"/>
              <w:ind w:left="0"/>
            </w:pPr>
            <w:r>
              <w:rPr>
                <w:rFonts w:ascii="Consolas" w:hAnsi="Consolas"/>
                <w:color w:val="1F3535"/>
                <w:sz w:val="18"/>
              </w:rPr>
              <w:t xml:space="preserve">            return 1</w:t>
            </w:r>
          </w:p>
          <w:p>
            <w:pPr>
              <w:spacing w:line="240" w:lineRule="auto" w:after="0"/>
              <w:ind w:left="0"/>
            </w:pPr>
            <w:r>
              <w:rPr>
                <w:rFonts w:ascii="Consolas" w:hAnsi="Consolas"/>
                <w:color w:val="1F3535"/>
                <w:sz w:val="18"/>
              </w:rPr>
              <w:t xml:space="preserve">        overlap = len(set(k for k in keywords if k in pred_lc) &amp;</w:t>
            </w:r>
          </w:p>
          <w:p>
            <w:pPr>
              <w:spacing w:line="240" w:lineRule="auto" w:after="0"/>
              <w:ind w:left="0"/>
            </w:pPr>
            <w:r>
              <w:rPr>
                <w:rFonts w:ascii="Consolas" w:hAnsi="Consolas"/>
                <w:color w:val="1F3535"/>
                <w:sz w:val="18"/>
              </w:rPr>
              <w:t xml:space="preserve">                      set(k for k in keywords if k in gold_lc))</w:t>
            </w:r>
          </w:p>
          <w:p>
            <w:pPr>
              <w:spacing w:line="240" w:lineRule="auto" w:after="0"/>
              <w:ind w:left="0"/>
            </w:pPr>
            <w:r>
              <w:rPr>
                <w:rFonts w:ascii="Consolas" w:hAnsi="Consolas"/>
                <w:color w:val="1F3535"/>
                <w:sz w:val="18"/>
              </w:rPr>
              <w:t xml:space="preserve">        # scale to 0-4</w:t>
            </w:r>
          </w:p>
          <w:p>
            <w:pPr>
              <w:spacing w:line="240" w:lineRule="auto" w:after="0"/>
              <w:ind w:left="0"/>
            </w:pPr>
            <w:r>
              <w:rPr>
                <w:rFonts w:ascii="Consolas" w:hAnsi="Consolas"/>
                <w:color w:val="1F3535"/>
                <w:sz w:val="18"/>
              </w:rPr>
              <w:t xml:space="preserve">        return min(4, max(0, overlap))</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citation_accuracy — proxy: does the prediction cite real ASC refs</w:t>
            </w:r>
          </w:p>
          <w:p>
            <w:pPr>
              <w:spacing w:line="240" w:lineRule="auto" w:after="0"/>
              <w:ind w:left="0"/>
            </w:pPr>
            <w:r>
              <w:rPr>
                <w:rFonts w:ascii="Consolas" w:hAnsi="Consolas"/>
                <w:color w:val="1F3535"/>
                <w:sz w:val="18"/>
              </w:rPr>
              <w:t xml:space="preserve">    # that appear in the gold?</w:t>
            </w:r>
          </w:p>
          <w:p>
            <w:pPr>
              <w:spacing w:line="240" w:lineRule="auto" w:after="0"/>
              <w:ind w:left="0"/>
            </w:pPr>
            <w:r>
              <w:rPr>
                <w:rFonts w:ascii="Consolas" w:hAnsi="Consolas"/>
                <w:color w:val="1F3535"/>
                <w:sz w:val="18"/>
              </w:rPr>
              <w:t xml:space="preserve">    def _citation_match() -&gt; int:</w:t>
            </w:r>
          </w:p>
          <w:p>
            <w:pPr>
              <w:spacing w:line="240" w:lineRule="auto" w:after="0"/>
              <w:ind w:left="0"/>
            </w:pPr>
            <w:r>
              <w:rPr>
                <w:rFonts w:ascii="Consolas" w:hAnsi="Consolas"/>
                <w:color w:val="1F3535"/>
                <w:sz w:val="18"/>
              </w:rPr>
              <w:t xml:space="preserve">        gold_refs = set(re.findall(r"ASC\s*\d{3}-\d{2,3}-\d{2,3}-\d{1,3}", gold))</w:t>
            </w:r>
          </w:p>
          <w:p>
            <w:pPr>
              <w:spacing w:line="240" w:lineRule="auto" w:after="0"/>
              <w:ind w:left="0"/>
            </w:pPr>
            <w:r>
              <w:rPr>
                <w:rFonts w:ascii="Consolas" w:hAnsi="Consolas"/>
                <w:color w:val="1F3535"/>
                <w:sz w:val="18"/>
              </w:rPr>
              <w:t xml:space="preserve">        pred_refs = set(re.findall(r"ASC\s*\d{3}-\d{2,3}-\d{2,3}-\d{1,3}", prediction))</w:t>
            </w:r>
          </w:p>
          <w:p>
            <w:pPr>
              <w:spacing w:line="240" w:lineRule="auto" w:after="0"/>
              <w:ind w:left="0"/>
            </w:pPr>
            <w:r>
              <w:rPr>
                <w:rFonts w:ascii="Consolas" w:hAnsi="Consolas"/>
                <w:color w:val="1F3535"/>
                <w:sz w:val="18"/>
              </w:rPr>
              <w:t xml:space="preserve">        # penalty: known bogus</w:t>
            </w:r>
          </w:p>
          <w:p>
            <w:pPr>
              <w:spacing w:line="240" w:lineRule="auto" w:after="0"/>
              <w:ind w:left="0"/>
            </w:pPr>
            <w:r>
              <w:rPr>
                <w:rFonts w:ascii="Consolas" w:hAnsi="Consolas"/>
                <w:color w:val="1F3535"/>
                <w:sz w:val="18"/>
              </w:rPr>
              <w:t xml:space="preserve">        for bogus in KNOWN_BOGUS_CITATIONS:</w:t>
            </w:r>
          </w:p>
          <w:p>
            <w:pPr>
              <w:spacing w:line="240" w:lineRule="auto" w:after="0"/>
              <w:ind w:left="0"/>
            </w:pPr>
            <w:r>
              <w:rPr>
                <w:rFonts w:ascii="Consolas" w:hAnsi="Consolas"/>
                <w:color w:val="1F3535"/>
                <w:sz w:val="18"/>
              </w:rPr>
              <w:t xml:space="preserve">            if bogus in pred_refs:</w:t>
            </w:r>
          </w:p>
          <w:p>
            <w:pPr>
              <w:spacing w:line="240" w:lineRule="auto" w:after="0"/>
              <w:ind w:left="0"/>
            </w:pPr>
            <w:r>
              <w:rPr>
                <w:rFonts w:ascii="Consolas" w:hAnsi="Consolas"/>
                <w:color w:val="1F3535"/>
                <w:sz w:val="18"/>
              </w:rPr>
              <w:t xml:space="preserve">                return 0</w:t>
            </w:r>
          </w:p>
          <w:p>
            <w:pPr>
              <w:spacing w:line="240" w:lineRule="auto" w:after="0"/>
              <w:ind w:left="0"/>
            </w:pPr>
            <w:r>
              <w:rPr>
                <w:rFonts w:ascii="Consolas" w:hAnsi="Consolas"/>
                <w:color w:val="1F3535"/>
                <w:sz w:val="18"/>
              </w:rPr>
              <w:t xml:space="preserve">        if not gold_refs and not pred_refs:</w:t>
            </w:r>
          </w:p>
          <w:p>
            <w:pPr>
              <w:spacing w:line="240" w:lineRule="auto" w:after="0"/>
              <w:ind w:left="0"/>
            </w:pPr>
            <w:r>
              <w:rPr>
                <w:rFonts w:ascii="Consolas" w:hAnsi="Consolas"/>
                <w:color w:val="1F3535"/>
                <w:sz w:val="18"/>
              </w:rPr>
              <w:t xml:space="preserve">            return 3  # no citations expected</w:t>
            </w:r>
          </w:p>
          <w:p>
            <w:pPr>
              <w:spacing w:line="240" w:lineRule="auto" w:after="0"/>
              <w:ind w:left="0"/>
            </w:pPr>
            <w:r>
              <w:rPr>
                <w:rFonts w:ascii="Consolas" w:hAnsi="Consolas"/>
                <w:color w:val="1F3535"/>
                <w:sz w:val="18"/>
              </w:rPr>
              <w:t xml:space="preserve">        if not pred_refs:</w:t>
            </w:r>
          </w:p>
          <w:p>
            <w:pPr>
              <w:spacing w:line="240" w:lineRule="auto" w:after="0"/>
              <w:ind w:left="0"/>
            </w:pPr>
            <w:r>
              <w:rPr>
                <w:rFonts w:ascii="Consolas" w:hAnsi="Consolas"/>
                <w:color w:val="1F3535"/>
                <w:sz w:val="18"/>
              </w:rPr>
              <w:t xml:space="preserve">            return 1</w:t>
            </w:r>
          </w:p>
          <w:p>
            <w:pPr>
              <w:spacing w:line="240" w:lineRule="auto" w:after="0"/>
              <w:ind w:left="0"/>
            </w:pPr>
            <w:r>
              <w:rPr>
                <w:rFonts w:ascii="Consolas" w:hAnsi="Consolas"/>
                <w:color w:val="1F3535"/>
                <w:sz w:val="18"/>
              </w:rPr>
              <w:t xml:space="preserve">        overlap = len(gold_refs &amp; pred_refs)</w:t>
            </w:r>
          </w:p>
          <w:p>
            <w:pPr>
              <w:spacing w:line="240" w:lineRule="auto" w:after="0"/>
              <w:ind w:left="0"/>
            </w:pPr>
            <w:r>
              <w:rPr>
                <w:rFonts w:ascii="Consolas" w:hAnsi="Consolas"/>
                <w:color w:val="1F3535"/>
                <w:sz w:val="18"/>
              </w:rPr>
              <w:t xml:space="preserve">        return min(4, max(0, overlap))</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numerical_accuracy — proxy: do all numbers in the gold also appear</w:t>
            </w:r>
          </w:p>
          <w:p>
            <w:pPr>
              <w:spacing w:line="240" w:lineRule="auto" w:after="0"/>
              <w:ind w:left="0"/>
            </w:pPr>
            <w:r>
              <w:rPr>
                <w:rFonts w:ascii="Consolas" w:hAnsi="Consolas"/>
                <w:color w:val="1F3535"/>
                <w:sz w:val="18"/>
              </w:rPr>
              <w:t xml:space="preserve">    # in the prediction (recall of key figures)?</w:t>
            </w:r>
          </w:p>
          <w:p>
            <w:pPr>
              <w:spacing w:line="240" w:lineRule="auto" w:after="0"/>
              <w:ind w:left="0"/>
            </w:pPr>
            <w:r>
              <w:rPr>
                <w:rFonts w:ascii="Consolas" w:hAnsi="Consolas"/>
                <w:color w:val="1F3535"/>
                <w:sz w:val="18"/>
              </w:rPr>
              <w:t xml:space="preserve">    def _numerical_match() -&gt; int:</w:t>
            </w:r>
          </w:p>
          <w:p>
            <w:pPr>
              <w:spacing w:line="240" w:lineRule="auto" w:after="0"/>
              <w:ind w:left="0"/>
            </w:pPr>
            <w:r>
              <w:rPr>
                <w:rFonts w:ascii="Consolas" w:hAnsi="Consolas"/>
                <w:color w:val="1F3535"/>
                <w:sz w:val="18"/>
              </w:rPr>
              <w:t xml:space="preserve">        gold_nums = set(re.findall(r"\$?[\d,]+(?:\.\d{1,2})?", gold))</w:t>
            </w:r>
          </w:p>
          <w:p>
            <w:pPr>
              <w:spacing w:line="240" w:lineRule="auto" w:after="0"/>
              <w:ind w:left="0"/>
            </w:pPr>
            <w:r>
              <w:rPr>
                <w:rFonts w:ascii="Consolas" w:hAnsi="Consolas"/>
                <w:color w:val="1F3535"/>
                <w:sz w:val="18"/>
              </w:rPr>
              <w:t xml:space="preserve">        # filter trivial</w:t>
            </w:r>
          </w:p>
          <w:p>
            <w:pPr>
              <w:spacing w:line="240" w:lineRule="auto" w:after="0"/>
              <w:ind w:left="0"/>
            </w:pPr>
            <w:r>
              <w:rPr>
                <w:rFonts w:ascii="Consolas" w:hAnsi="Consolas"/>
                <w:color w:val="1F3535"/>
                <w:sz w:val="18"/>
              </w:rPr>
              <w:t xml:space="preserve">        gold_nums = {n for n in gold_nums if len(n.replace(",", "").replace("$", "").replace(".", "")) &gt;= 4}</w:t>
            </w:r>
          </w:p>
          <w:p>
            <w:pPr>
              <w:spacing w:line="240" w:lineRule="auto" w:after="0"/>
              <w:ind w:left="0"/>
            </w:pPr>
            <w:r>
              <w:rPr>
                <w:rFonts w:ascii="Consolas" w:hAnsi="Consolas"/>
                <w:color w:val="1F3535"/>
                <w:sz w:val="18"/>
              </w:rPr>
              <w:t xml:space="preserve">        pred_nums = set(re.findall(r"\$?[\d,]+(?:\.\d{1,2})?", prediction))</w:t>
            </w:r>
          </w:p>
          <w:p>
            <w:pPr>
              <w:spacing w:line="240" w:lineRule="auto" w:after="0"/>
              <w:ind w:left="0"/>
            </w:pPr>
            <w:r>
              <w:rPr>
                <w:rFonts w:ascii="Consolas" w:hAnsi="Consolas"/>
                <w:color w:val="1F3535"/>
                <w:sz w:val="18"/>
              </w:rPr>
              <w:t xml:space="preserve">        if not gold_nums:</w:t>
            </w:r>
          </w:p>
          <w:p>
            <w:pPr>
              <w:spacing w:line="240" w:lineRule="auto" w:after="0"/>
              <w:ind w:left="0"/>
            </w:pPr>
            <w:r>
              <w:rPr>
                <w:rFonts w:ascii="Consolas" w:hAnsi="Consolas"/>
                <w:color w:val="1F3535"/>
                <w:sz w:val="18"/>
              </w:rPr>
              <w:t xml:space="preserve">            return 3</w:t>
            </w:r>
          </w:p>
          <w:p>
            <w:pPr>
              <w:spacing w:line="240" w:lineRule="auto" w:after="0"/>
              <w:ind w:left="0"/>
            </w:pPr>
            <w:r>
              <w:rPr>
                <w:rFonts w:ascii="Consolas" w:hAnsi="Consolas"/>
                <w:color w:val="1F3535"/>
                <w:sz w:val="18"/>
              </w:rPr>
              <w:t xml:space="preserve">        overlap = len(gold_nums &amp; pred_nums)</w:t>
            </w:r>
          </w:p>
          <w:p>
            <w:pPr>
              <w:spacing w:line="240" w:lineRule="auto" w:after="0"/>
              <w:ind w:left="0"/>
            </w:pPr>
            <w:r>
              <w:rPr>
                <w:rFonts w:ascii="Consolas" w:hAnsi="Consolas"/>
                <w:color w:val="1F3535"/>
                <w:sz w:val="18"/>
              </w:rPr>
              <w:t xml:space="preserve">        return min(4, max(0, int(overlap / len(gold_nums) * 4)))</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fact_analysis, alternative_analysis, presentation — proxies for length</w:t>
            </w:r>
          </w:p>
          <w:p>
            <w:pPr>
              <w:spacing w:line="240" w:lineRule="auto" w:after="0"/>
              <w:ind w:left="0"/>
            </w:pPr>
            <w:r>
              <w:rPr>
                <w:rFonts w:ascii="Consolas" w:hAnsi="Consolas"/>
                <w:color w:val="1F3535"/>
                <w:sz w:val="18"/>
              </w:rPr>
              <w:t xml:space="preserve">    def _length_band(thresholds: tuple[int, int, int, int]) -&gt; int:</w:t>
            </w:r>
          </w:p>
          <w:p>
            <w:pPr>
              <w:spacing w:line="240" w:lineRule="auto" w:after="0"/>
              <w:ind w:left="0"/>
            </w:pPr>
            <w:r>
              <w:rPr>
                <w:rFonts w:ascii="Consolas" w:hAnsi="Consolas"/>
                <w:color w:val="1F3535"/>
                <w:sz w:val="18"/>
              </w:rPr>
              <w:t xml:space="preserve">        n = len(prediction.split())</w:t>
            </w:r>
          </w:p>
          <w:p>
            <w:pPr>
              <w:spacing w:line="240" w:lineRule="auto" w:after="0"/>
              <w:ind w:left="0"/>
            </w:pPr>
            <w:r>
              <w:rPr>
                <w:rFonts w:ascii="Consolas" w:hAnsi="Consolas"/>
                <w:color w:val="1F3535"/>
                <w:sz w:val="18"/>
              </w:rPr>
              <w:t xml:space="preserve">        for i, t in enumerate(thresholds):</w:t>
            </w:r>
          </w:p>
          <w:p>
            <w:pPr>
              <w:spacing w:line="240" w:lineRule="auto" w:after="0"/>
              <w:ind w:left="0"/>
            </w:pPr>
            <w:r>
              <w:rPr>
                <w:rFonts w:ascii="Consolas" w:hAnsi="Consolas"/>
                <w:color w:val="1F3535"/>
                <w:sz w:val="18"/>
              </w:rPr>
              <w:t xml:space="preserve">            if n &lt; t:</w:t>
            </w:r>
          </w:p>
          <w:p>
            <w:pPr>
              <w:spacing w:line="240" w:lineRule="auto" w:after="0"/>
              <w:ind w:left="0"/>
            </w:pPr>
            <w:r>
              <w:rPr>
                <w:rFonts w:ascii="Consolas" w:hAnsi="Consolas"/>
                <w:color w:val="1F3535"/>
                <w:sz w:val="18"/>
              </w:rPr>
              <w:t xml:space="preserve">                return i</w:t>
            </w:r>
          </w:p>
          <w:p>
            <w:pPr>
              <w:spacing w:line="240" w:lineRule="auto" w:after="0"/>
              <w:ind w:left="0"/>
            </w:pPr>
            <w:r>
              <w:rPr>
                <w:rFonts w:ascii="Consolas" w:hAnsi="Consolas"/>
                <w:color w:val="1F3535"/>
                <w:sz w:val="18"/>
              </w:rPr>
              <w:t xml:space="preserve">        return 4</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return {</w:t>
            </w:r>
          </w:p>
          <w:p>
            <w:pPr>
              <w:spacing w:line="240" w:lineRule="auto" w:after="0"/>
              <w:ind w:left="0"/>
            </w:pPr>
            <w:r>
              <w:rPr>
                <w:rFonts w:ascii="Consolas" w:hAnsi="Consolas"/>
                <w:color w:val="1F3535"/>
                <w:sz w:val="18"/>
              </w:rPr>
              <w:t xml:space="preserve">        "technical_accuracy":   _conclusion_match(),</w:t>
            </w:r>
          </w:p>
          <w:p>
            <w:pPr>
              <w:spacing w:line="240" w:lineRule="auto" w:after="0"/>
              <w:ind w:left="0"/>
            </w:pPr>
            <w:r>
              <w:rPr>
                <w:rFonts w:ascii="Consolas" w:hAnsi="Consolas"/>
                <w:color w:val="1F3535"/>
                <w:sz w:val="18"/>
              </w:rPr>
              <w:t xml:space="preserve">        "citation_accuracy":    _citation_match(),</w:t>
            </w:r>
          </w:p>
          <w:p>
            <w:pPr>
              <w:spacing w:line="240" w:lineRule="auto" w:after="0"/>
              <w:ind w:left="0"/>
            </w:pPr>
            <w:r>
              <w:rPr>
                <w:rFonts w:ascii="Consolas" w:hAnsi="Consolas"/>
                <w:color w:val="1F3535"/>
                <w:sz w:val="18"/>
              </w:rPr>
              <w:t xml:space="preserve">        "numerical_accuracy":   _numerical_match(),</w:t>
            </w:r>
          </w:p>
          <w:p>
            <w:pPr>
              <w:spacing w:line="240" w:lineRule="auto" w:after="0"/>
              <w:ind w:left="0"/>
            </w:pPr>
            <w:r>
              <w:rPr>
                <w:rFonts w:ascii="Consolas" w:hAnsi="Consolas"/>
                <w:color w:val="1F3535"/>
                <w:sz w:val="18"/>
              </w:rPr>
              <w:t xml:space="preserve">        "fact_analysis":        _length_band((20, 60, 120, 200)),</w:t>
            </w:r>
          </w:p>
          <w:p>
            <w:pPr>
              <w:spacing w:line="240" w:lineRule="auto" w:after="0"/>
              <w:ind w:left="0"/>
            </w:pPr>
            <w:r>
              <w:rPr>
                <w:rFonts w:ascii="Consolas" w:hAnsi="Consolas"/>
                <w:color w:val="1F3535"/>
                <w:sz w:val="18"/>
              </w:rPr>
              <w:t xml:space="preserve">        "alternative_analysis": _length_band((10, 40, 80, 150)),</w:t>
            </w:r>
          </w:p>
          <w:p>
            <w:pPr>
              <w:spacing w:line="240" w:lineRule="auto" w:after="0"/>
              <w:ind w:left="0"/>
            </w:pPr>
            <w:r>
              <w:rPr>
                <w:rFonts w:ascii="Consolas" w:hAnsi="Consolas"/>
                <w:color w:val="1F3535"/>
                <w:sz w:val="18"/>
              </w:rPr>
              <w:t xml:space="preserve">        "presentation":         _length_band((20, 60, 120, 200)),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_weighted_score(scores: dict[str, int]) -&gt; float:</w:t>
            </w:r>
          </w:p>
          <w:p>
            <w:pPr>
              <w:spacing w:line="240" w:lineRule="auto" w:after="0"/>
              <w:ind w:left="0"/>
            </w:pPr>
            <w:r>
              <w:rPr>
                <w:rFonts w:ascii="Consolas" w:hAnsi="Consolas"/>
                <w:color w:val="1F3535"/>
                <w:sz w:val="18"/>
              </w:rPr>
              <w:t xml:space="preserve">    total = 0.0</w:t>
            </w:r>
          </w:p>
          <w:p>
            <w:pPr>
              <w:spacing w:line="240" w:lineRule="auto" w:after="0"/>
              <w:ind w:left="0"/>
            </w:pPr>
            <w:r>
              <w:rPr>
                <w:rFonts w:ascii="Consolas" w:hAnsi="Consolas"/>
                <w:color w:val="1F3535"/>
                <w:sz w:val="18"/>
              </w:rPr>
              <w:t xml:space="preserve">    for dim, weight in RUBRIC_WEIGHTS.items():</w:t>
            </w:r>
          </w:p>
          <w:p>
            <w:pPr>
              <w:spacing w:line="240" w:lineRule="auto" w:after="0"/>
              <w:ind w:left="0"/>
            </w:pPr>
            <w:r>
              <w:rPr>
                <w:rFonts w:ascii="Consolas" w:hAnsi="Consolas"/>
                <w:color w:val="1F3535"/>
                <w:sz w:val="18"/>
              </w:rPr>
              <w:t xml:space="preserve">        total += scores.get(dim, 0) * weight</w:t>
            </w:r>
          </w:p>
          <w:p>
            <w:pPr>
              <w:spacing w:line="240" w:lineRule="auto" w:after="0"/>
              <w:ind w:left="0"/>
            </w:pPr>
            <w:r>
              <w:rPr>
                <w:rFonts w:ascii="Consolas" w:hAnsi="Consolas"/>
                <w:color w:val="1F3535"/>
                <w:sz w:val="18"/>
              </w:rPr>
              <w:t xml:space="preserve">    # 0-4 scale -&gt; 0-100 scale</w:t>
            </w:r>
          </w:p>
          <w:p>
            <w:pPr>
              <w:spacing w:line="240" w:lineRule="auto" w:after="0"/>
              <w:ind w:left="0"/>
            </w:pPr>
            <w:r>
              <w:rPr>
                <w:rFonts w:ascii="Consolas" w:hAnsi="Consolas"/>
                <w:color w:val="1F3535"/>
                <w:sz w:val="18"/>
              </w:rPr>
              <w:t xml:space="preserve">    return total / 4.0 * 100.0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Public API</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evaluate_jsonl(predictions_file: str | Path,</w:t>
            </w:r>
          </w:p>
          <w:p>
            <w:pPr>
              <w:spacing w:line="240" w:lineRule="auto" w:after="0"/>
              <w:ind w:left="0"/>
            </w:pPr>
            <w:r>
              <w:rPr>
                <w:rFonts w:ascii="Consolas" w:hAnsi="Consolas"/>
                <w:color w:val="1F3535"/>
                <w:sz w:val="18"/>
              </w:rPr>
              <w:t xml:space="preserve">                   gold_file: str | Path) -&gt; dict[str, Any]:</w:t>
            </w:r>
          </w:p>
          <w:p>
            <w:pPr>
              <w:spacing w:line="240" w:lineRule="auto" w:after="0"/>
              <w:ind w:left="0"/>
            </w:pPr>
            <w:r>
              <w:rPr>
                <w:rFonts w:ascii="Consolas" w:hAnsi="Consolas"/>
                <w:color w:val="1F3535"/>
                <w:sz w:val="18"/>
              </w:rPr>
              <w:t xml:space="preserve">    """Score a predictions JSONL against a gold-answer JSONL.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Both files must contain one JSON object per line, where each object has</w:t>
            </w:r>
          </w:p>
          <w:p>
            <w:pPr>
              <w:spacing w:line="240" w:lineRule="auto" w:after="0"/>
              <w:ind w:left="0"/>
            </w:pPr>
            <w:r>
              <w:rPr>
                <w:rFonts w:ascii="Consolas" w:hAnsi="Consolas"/>
                <w:color w:val="1F3535"/>
                <w:sz w:val="18"/>
              </w:rPr>
              <w:t xml:space="preserve">    at least `record_id` and `prediction` (predictions file) or</w:t>
            </w:r>
          </w:p>
          <w:p>
            <w:pPr>
              <w:spacing w:line="240" w:lineRule="auto" w:after="0"/>
              <w:ind w:left="0"/>
            </w:pPr>
            <w:r>
              <w:rPr>
                <w:rFonts w:ascii="Consolas" w:hAnsi="Consolas"/>
                <w:color w:val="1F3535"/>
                <w:sz w:val="18"/>
              </w:rPr>
              <w:t xml:space="preserve">    `assistant` (gold file) fields.  Records are matched by `record_id`.</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predictions_file = Path(predictions_file)</w:t>
            </w:r>
          </w:p>
          <w:p>
            <w:pPr>
              <w:spacing w:line="240" w:lineRule="auto" w:after="0"/>
              <w:ind w:left="0"/>
            </w:pPr>
            <w:r>
              <w:rPr>
                <w:rFonts w:ascii="Consolas" w:hAnsi="Consolas"/>
                <w:color w:val="1F3535"/>
                <w:sz w:val="18"/>
              </w:rPr>
              <w:t xml:space="preserve">    gold_file = Path(gold_file)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gold: dict[str, str] = {}</w:t>
            </w:r>
          </w:p>
          <w:p>
            <w:pPr>
              <w:spacing w:line="240" w:lineRule="auto" w:after="0"/>
              <w:ind w:left="0"/>
            </w:pPr>
            <w:r>
              <w:rPr>
                <w:rFonts w:ascii="Consolas" w:hAnsi="Consolas"/>
                <w:color w:val="1F3535"/>
                <w:sz w:val="18"/>
              </w:rPr>
              <w:t xml:space="preserve">    with gold_file.open("r", encoding="utf-8") as f:</w:t>
            </w:r>
          </w:p>
          <w:p>
            <w:pPr>
              <w:spacing w:line="240" w:lineRule="auto" w:after="0"/>
              <w:ind w:left="0"/>
            </w:pPr>
            <w:r>
              <w:rPr>
                <w:rFonts w:ascii="Consolas" w:hAnsi="Consolas"/>
                <w:color w:val="1F3535"/>
                <w:sz w:val="18"/>
              </w:rPr>
              <w:t xml:space="preserve">        for line in f:</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obj = json.loads(line)</w:t>
            </w:r>
          </w:p>
          <w:p>
            <w:pPr>
              <w:spacing w:line="240" w:lineRule="auto" w:after="0"/>
              <w:ind w:left="0"/>
            </w:pPr>
            <w:r>
              <w:rPr>
                <w:rFonts w:ascii="Consolas" w:hAnsi="Consolas"/>
                <w:color w:val="1F3535"/>
                <w:sz w:val="18"/>
              </w:rPr>
              <w:t xml:space="preserve">            rid = obj.get("record_id") or obj.get("id")</w:t>
            </w:r>
          </w:p>
          <w:p>
            <w:pPr>
              <w:spacing w:line="240" w:lineRule="auto" w:after="0"/>
              <w:ind w:left="0"/>
            </w:pPr>
            <w:r>
              <w:rPr>
                <w:rFonts w:ascii="Consolas" w:hAnsi="Consolas"/>
                <w:color w:val="1F3535"/>
                <w:sz w:val="18"/>
              </w:rPr>
              <w:t xml:space="preserve">            asst = obj.get("assistant") or obj.get("messages", [{}])[-1].get("content", "")</w:t>
            </w:r>
          </w:p>
          <w:p>
            <w:pPr>
              <w:spacing w:line="240" w:lineRule="auto" w:after="0"/>
              <w:ind w:left="0"/>
            </w:pPr>
            <w:r>
              <w:rPr>
                <w:rFonts w:ascii="Consolas" w:hAnsi="Consolas"/>
                <w:color w:val="1F3535"/>
                <w:sz w:val="18"/>
              </w:rPr>
              <w:t xml:space="preserve">            if rid:</w:t>
            </w:r>
          </w:p>
          <w:p>
            <w:pPr>
              <w:spacing w:line="240" w:lineRule="auto" w:after="0"/>
              <w:ind w:left="0"/>
            </w:pPr>
            <w:r>
              <w:rPr>
                <w:rFonts w:ascii="Consolas" w:hAnsi="Consolas"/>
                <w:color w:val="1F3535"/>
                <w:sz w:val="18"/>
              </w:rPr>
              <w:t xml:space="preserve">                gold[rid] = asst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results: list[dict[str, Any]] = []</w:t>
            </w:r>
          </w:p>
          <w:p>
            <w:pPr>
              <w:spacing w:line="240" w:lineRule="auto" w:after="0"/>
              <w:ind w:left="0"/>
            </w:pPr>
            <w:r>
              <w:rPr>
                <w:rFonts w:ascii="Consolas" w:hAnsi="Consolas"/>
                <w:color w:val="1F3535"/>
                <w:sz w:val="18"/>
              </w:rPr>
              <w:t xml:space="preserve">    aggregate: dict[str, list[float]] = {k: [] for k in RUBRIC_WEIGHTS}</w:t>
            </w:r>
          </w:p>
          <w:p>
            <w:pPr>
              <w:spacing w:line="240" w:lineRule="auto" w:after="0"/>
              <w:ind w:left="0"/>
            </w:pPr>
            <w:r>
              <w:rPr>
                <w:rFonts w:ascii="Consolas" w:hAnsi="Consolas"/>
                <w:color w:val="1F3535"/>
                <w:sz w:val="18"/>
              </w:rPr>
              <w:t xml:space="preserve">    overall: list[float] =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with predictions_file.open("r", encoding="utf-8") as f:</w:t>
            </w:r>
          </w:p>
          <w:p>
            <w:pPr>
              <w:spacing w:line="240" w:lineRule="auto" w:after="0"/>
              <w:ind w:left="0"/>
            </w:pPr>
            <w:r>
              <w:rPr>
                <w:rFonts w:ascii="Consolas" w:hAnsi="Consolas"/>
                <w:color w:val="1F3535"/>
                <w:sz w:val="18"/>
              </w:rPr>
              <w:t xml:space="preserve">        for line in f:</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obj = json.loads(line)</w:t>
            </w:r>
          </w:p>
          <w:p>
            <w:pPr>
              <w:spacing w:line="240" w:lineRule="auto" w:after="0"/>
              <w:ind w:left="0"/>
            </w:pPr>
            <w:r>
              <w:rPr>
                <w:rFonts w:ascii="Consolas" w:hAnsi="Consolas"/>
                <w:color w:val="1F3535"/>
                <w:sz w:val="18"/>
              </w:rPr>
              <w:t xml:space="preserve">            rid = obj.get("record_id") or obj.get("id")</w:t>
            </w:r>
          </w:p>
          <w:p>
            <w:pPr>
              <w:spacing w:line="240" w:lineRule="auto" w:after="0"/>
              <w:ind w:left="0"/>
            </w:pPr>
            <w:r>
              <w:rPr>
                <w:rFonts w:ascii="Consolas" w:hAnsi="Consolas"/>
                <w:color w:val="1F3535"/>
                <w:sz w:val="18"/>
              </w:rPr>
              <w:t xml:space="preserve">            pred = obj.get("prediction") or ""</w:t>
            </w:r>
          </w:p>
          <w:p>
            <w:pPr>
              <w:spacing w:line="240" w:lineRule="auto" w:after="0"/>
              <w:ind w:left="0"/>
            </w:pPr>
            <w:r>
              <w:rPr>
                <w:rFonts w:ascii="Consolas" w:hAnsi="Consolas"/>
                <w:color w:val="1F3535"/>
                <w:sz w:val="18"/>
              </w:rPr>
              <w:t xml:space="preserve">            gold_ans = gold.get(rid, "")</w:t>
            </w:r>
          </w:p>
          <w:p>
            <w:pPr>
              <w:spacing w:line="240" w:lineRule="auto" w:after="0"/>
              <w:ind w:left="0"/>
            </w:pPr>
            <w:r>
              <w:rPr>
                <w:rFonts w:ascii="Consolas" w:hAnsi="Consolas"/>
                <w:color w:val="1F3535"/>
                <w:sz w:val="18"/>
              </w:rPr>
              <w:t xml:space="preserve">            scores = _heuristic_score(pred, gold_ans)</w:t>
            </w:r>
          </w:p>
          <w:p>
            <w:pPr>
              <w:spacing w:line="240" w:lineRule="auto" w:after="0"/>
              <w:ind w:left="0"/>
            </w:pPr>
            <w:r>
              <w:rPr>
                <w:rFonts w:ascii="Consolas" w:hAnsi="Consolas"/>
                <w:color w:val="1F3535"/>
                <w:sz w:val="18"/>
              </w:rPr>
              <w:t xml:space="preserve">            weighted = _weighted_score(scores)</w:t>
            </w:r>
          </w:p>
          <w:p>
            <w:pPr>
              <w:spacing w:line="240" w:lineRule="auto" w:after="0"/>
              <w:ind w:left="0"/>
            </w:pPr>
            <w:r>
              <w:rPr>
                <w:rFonts w:ascii="Consolas" w:hAnsi="Consolas"/>
                <w:color w:val="1F3535"/>
                <w:sz w:val="18"/>
              </w:rPr>
              <w:t xml:space="preserve">            results.append({"record_id": rid, "scores": scores, "weighted": weighted})</w:t>
            </w:r>
          </w:p>
          <w:p>
            <w:pPr>
              <w:spacing w:line="240" w:lineRule="auto" w:after="0"/>
              <w:ind w:left="0"/>
            </w:pPr>
            <w:r>
              <w:rPr>
                <w:rFonts w:ascii="Consolas" w:hAnsi="Consolas"/>
                <w:color w:val="1F3535"/>
                <w:sz w:val="18"/>
              </w:rPr>
              <w:t xml:space="preserve">            for k, v in scores.items():</w:t>
            </w:r>
          </w:p>
          <w:p>
            <w:pPr>
              <w:spacing w:line="240" w:lineRule="auto" w:after="0"/>
              <w:ind w:left="0"/>
            </w:pPr>
            <w:r>
              <w:rPr>
                <w:rFonts w:ascii="Consolas" w:hAnsi="Consolas"/>
                <w:color w:val="1F3535"/>
                <w:sz w:val="18"/>
              </w:rPr>
              <w:t xml:space="preserve">                aggregate[k].append(float(v))</w:t>
            </w:r>
          </w:p>
          <w:p>
            <w:pPr>
              <w:spacing w:line="240" w:lineRule="auto" w:after="0"/>
              <w:ind w:left="0"/>
            </w:pPr>
            <w:r>
              <w:rPr>
                <w:rFonts w:ascii="Consolas" w:hAnsi="Consolas"/>
                <w:color w:val="1F3535"/>
                <w:sz w:val="18"/>
              </w:rPr>
              <w:t xml:space="preserve">            overall.append(weighted)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summary = {</w:t>
            </w:r>
          </w:p>
          <w:p>
            <w:pPr>
              <w:spacing w:line="240" w:lineRule="auto" w:after="0"/>
              <w:ind w:left="0"/>
            </w:pPr>
            <w:r>
              <w:rPr>
                <w:rFonts w:ascii="Consolas" w:hAnsi="Consolas"/>
                <w:color w:val="1F3535"/>
                <w:sz w:val="18"/>
              </w:rPr>
              <w:t xml:space="preserve">        "n": len(results),</w:t>
            </w:r>
          </w:p>
          <w:p>
            <w:pPr>
              <w:spacing w:line="240" w:lineRule="auto" w:after="0"/>
              <w:ind w:left="0"/>
            </w:pPr>
            <w:r>
              <w:rPr>
                <w:rFonts w:ascii="Consolas" w:hAnsi="Consolas"/>
                <w:color w:val="1F3535"/>
                <w:sz w:val="18"/>
              </w:rPr>
              <w:t xml:space="preserve">        "overall_mean":   sum(overall) / len(overall) if overall else 0.0,</w:t>
            </w:r>
          </w:p>
          <w:p>
            <w:pPr>
              <w:spacing w:line="240" w:lineRule="auto" w:after="0"/>
              <w:ind w:left="0"/>
            </w:pPr>
            <w:r>
              <w:rPr>
                <w:rFonts w:ascii="Consolas" w:hAnsi="Consolas"/>
                <w:color w:val="1F3535"/>
                <w:sz w:val="18"/>
              </w:rPr>
              <w:t xml:space="preserve">        "overall_min":    min(overall) if overall else 0.0,</w:t>
            </w:r>
          </w:p>
          <w:p>
            <w:pPr>
              <w:spacing w:line="240" w:lineRule="auto" w:after="0"/>
              <w:ind w:left="0"/>
            </w:pPr>
            <w:r>
              <w:rPr>
                <w:rFonts w:ascii="Consolas" w:hAnsi="Consolas"/>
                <w:color w:val="1F3535"/>
                <w:sz w:val="18"/>
              </w:rPr>
              <w:t xml:space="preserve">        "overall_max":    max(overall) if overall else 0.0,</w:t>
            </w:r>
          </w:p>
          <w:p>
            <w:pPr>
              <w:spacing w:line="240" w:lineRule="auto" w:after="0"/>
              <w:ind w:left="0"/>
            </w:pPr>
            <w:r>
              <w:rPr>
                <w:rFonts w:ascii="Consolas" w:hAnsi="Consolas"/>
                <w:color w:val="1F3535"/>
                <w:sz w:val="18"/>
              </w:rPr>
              <w:t xml:space="preserve">        "by_dimension": {</w:t>
            </w:r>
          </w:p>
          <w:p>
            <w:pPr>
              <w:spacing w:line="240" w:lineRule="auto" w:after="0"/>
              <w:ind w:left="0"/>
            </w:pPr>
            <w:r>
              <w:rPr>
                <w:rFonts w:ascii="Consolas" w:hAnsi="Consolas"/>
                <w:color w:val="1F3535"/>
                <w:sz w:val="18"/>
              </w:rPr>
              <w:t xml:space="preserve">            k: (sum(v) / len(v) if v else 0.0) for k, v in aggregate.items()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"results": results,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return summary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citation_hallucination_test(predictions: list[dict[str, str]]) -&gt; dict[str, Any]:</w:t>
            </w:r>
          </w:p>
          <w:p>
            <w:pPr>
              <w:spacing w:line="240" w:lineRule="auto" w:after="0"/>
              <w:ind w:left="0"/>
            </w:pPr>
            <w:r>
              <w:rPr>
                <w:rFonts w:ascii="Consolas" w:hAnsi="Consolas"/>
                <w:color w:val="1F3535"/>
                <w:sz w:val="18"/>
              </w:rPr>
              <w:t xml:space="preserve">    """For each prediction, check whether the model refused to honor any</w:t>
            </w:r>
          </w:p>
          <w:p>
            <w:pPr>
              <w:spacing w:line="240" w:lineRule="auto" w:after="0"/>
              <w:ind w:left="0"/>
            </w:pPr>
            <w:r>
              <w:rPr>
                <w:rFonts w:ascii="Consolas" w:hAnsi="Consolas"/>
                <w:color w:val="1F3535"/>
                <w:sz w:val="18"/>
              </w:rPr>
              <w:t xml:space="preserve">    known-bogus citation that appeared in the prompt.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Args:</w:t>
            </w:r>
          </w:p>
          <w:p>
            <w:pPr>
              <w:spacing w:line="240" w:lineRule="auto" w:after="0"/>
              <w:ind w:left="0"/>
            </w:pPr>
            <w:r>
              <w:rPr>
                <w:rFonts w:ascii="Consolas" w:hAnsi="Consolas"/>
                <w:color w:val="1F3535"/>
                <w:sz w:val="18"/>
              </w:rPr>
              <w:t xml:space="preserve">        predictions: list of {record_id, prompt, prediction} dicts.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Returns:</w:t>
            </w:r>
          </w:p>
          <w:p>
            <w:pPr>
              <w:spacing w:line="240" w:lineRule="auto" w:after="0"/>
              <w:ind w:left="0"/>
            </w:pPr>
            <w:r>
              <w:rPr>
                <w:rFonts w:ascii="Consolas" w:hAnsi="Consolas"/>
                <w:color w:val="1F3535"/>
                <w:sz w:val="18"/>
              </w:rPr>
              <w:t xml:space="preserve">        Pass/fail summary plus per-record details.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details = []</w:t>
            </w:r>
          </w:p>
          <w:p>
            <w:pPr>
              <w:spacing w:line="240" w:lineRule="auto" w:after="0"/>
              <w:ind w:left="0"/>
            </w:pPr>
            <w:r>
              <w:rPr>
                <w:rFonts w:ascii="Consolas" w:hAnsi="Consolas"/>
                <w:color w:val="1F3535"/>
                <w:sz w:val="18"/>
              </w:rPr>
              <w:t xml:space="preserve">    n_pass = 0</w:t>
            </w:r>
          </w:p>
          <w:p>
            <w:pPr>
              <w:spacing w:line="240" w:lineRule="auto" w:after="0"/>
              <w:ind w:left="0"/>
            </w:pPr>
            <w:r>
              <w:rPr>
                <w:rFonts w:ascii="Consolas" w:hAnsi="Consolas"/>
                <w:color w:val="1F3535"/>
                <w:sz w:val="18"/>
              </w:rPr>
              <w:t xml:space="preserve">    for p in predictions:</w:t>
            </w:r>
          </w:p>
          <w:p>
            <w:pPr>
              <w:spacing w:line="240" w:lineRule="auto" w:after="0"/>
              <w:ind w:left="0"/>
            </w:pPr>
            <w:r>
              <w:rPr>
                <w:rFonts w:ascii="Consolas" w:hAnsi="Consolas"/>
                <w:color w:val="1F3535"/>
                <w:sz w:val="18"/>
              </w:rPr>
              <w:t xml:space="preserve">        pred_lc = p.get("prediction", "").lower()</w:t>
            </w:r>
          </w:p>
          <w:p>
            <w:pPr>
              <w:spacing w:line="240" w:lineRule="auto" w:after="0"/>
              <w:ind w:left="0"/>
            </w:pPr>
            <w:r>
              <w:rPr>
                <w:rFonts w:ascii="Consolas" w:hAnsi="Consolas"/>
                <w:color w:val="1F3535"/>
                <w:sz w:val="18"/>
              </w:rPr>
              <w:t xml:space="preserve">        prompt = p.get("prompt", "")</w:t>
            </w:r>
          </w:p>
          <w:p>
            <w:pPr>
              <w:spacing w:line="240" w:lineRule="auto" w:after="0"/>
              <w:ind w:left="0"/>
            </w:pPr>
            <w:r>
              <w:rPr>
                <w:rFonts w:ascii="Consolas" w:hAnsi="Consolas"/>
                <w:color w:val="1F3535"/>
                <w:sz w:val="18"/>
              </w:rPr>
              <w:t xml:space="preserve">        bogus_in_prompt = [b for b in KNOWN_BOGUS_CITATIONS if b in prompt]</w:t>
            </w:r>
          </w:p>
          <w:p>
            <w:pPr>
              <w:spacing w:line="240" w:lineRule="auto" w:after="0"/>
              <w:ind w:left="0"/>
            </w:pPr>
            <w:r>
              <w:rPr>
                <w:rFonts w:ascii="Consolas" w:hAnsi="Consolas"/>
                <w:color w:val="1F3535"/>
                <w:sz w:val="18"/>
              </w:rPr>
              <w:t xml:space="preserve">        # Heuristic: the model passes if it EITHER (a) does not echo the</w:t>
            </w:r>
          </w:p>
          <w:p>
            <w:pPr>
              <w:spacing w:line="240" w:lineRule="auto" w:after="0"/>
              <w:ind w:left="0"/>
            </w:pPr>
            <w:r>
              <w:rPr>
                <w:rFonts w:ascii="Consolas" w:hAnsi="Consolas"/>
                <w:color w:val="1F3535"/>
                <w:sz w:val="18"/>
              </w:rPr>
              <w:t xml:space="preserve">        # bogus citation as authoritative OR (b) explicitly says it cannot</w:t>
            </w:r>
          </w:p>
          <w:p>
            <w:pPr>
              <w:spacing w:line="240" w:lineRule="auto" w:after="0"/>
              <w:ind w:left="0"/>
            </w:pPr>
            <w:r>
              <w:rPr>
                <w:rFonts w:ascii="Consolas" w:hAnsi="Consolas"/>
                <w:color w:val="1F3535"/>
                <w:sz w:val="18"/>
              </w:rPr>
              <w:t xml:space="preserve">        # verify / the citation is not authoritative.</w:t>
            </w:r>
          </w:p>
          <w:p>
            <w:pPr>
              <w:spacing w:line="240" w:lineRule="auto" w:after="0"/>
              <w:ind w:left="0"/>
            </w:pPr>
            <w:r>
              <w:rPr>
                <w:rFonts w:ascii="Consolas" w:hAnsi="Consolas"/>
                <w:color w:val="1F3535"/>
                <w:sz w:val="18"/>
              </w:rPr>
              <w:t xml:space="preserve">        refused = (</w:t>
            </w:r>
          </w:p>
          <w:p>
            <w:pPr>
              <w:spacing w:line="240" w:lineRule="auto" w:after="0"/>
              <w:ind w:left="0"/>
            </w:pPr>
            <w:r>
              <w:rPr>
                <w:rFonts w:ascii="Consolas" w:hAnsi="Consolas"/>
                <w:color w:val="1F3535"/>
                <w:sz w:val="18"/>
              </w:rPr>
              <w:t xml:space="preserve">            "cannot validate" in pred_lc or</w:t>
            </w:r>
          </w:p>
          <w:p>
            <w:pPr>
              <w:spacing w:line="240" w:lineRule="auto" w:after="0"/>
              <w:ind w:left="0"/>
            </w:pPr>
            <w:r>
              <w:rPr>
                <w:rFonts w:ascii="Consolas" w:hAnsi="Consolas"/>
                <w:color w:val="1F3535"/>
                <w:sz w:val="18"/>
              </w:rPr>
              <w:t xml:space="preserve">            "cannot verify" in pred_lc or</w:t>
            </w:r>
          </w:p>
          <w:p>
            <w:pPr>
              <w:spacing w:line="240" w:lineRule="auto" w:after="0"/>
              <w:ind w:left="0"/>
            </w:pPr>
            <w:r>
              <w:rPr>
                <w:rFonts w:ascii="Consolas" w:hAnsi="Consolas"/>
                <w:color w:val="1F3535"/>
                <w:sz w:val="18"/>
              </w:rPr>
              <w:t xml:space="preserve">            "not authoritative" in pred_lc or</w:t>
            </w:r>
          </w:p>
          <w:p>
            <w:pPr>
              <w:spacing w:line="240" w:lineRule="auto" w:after="0"/>
              <w:ind w:left="0"/>
            </w:pPr>
            <w:r>
              <w:rPr>
                <w:rFonts w:ascii="Consolas" w:hAnsi="Consolas"/>
                <w:color w:val="1F3535"/>
                <w:sz w:val="18"/>
              </w:rPr>
              <w:t xml:space="preserve">            "i would not accept" in pred_lc or</w:t>
            </w:r>
          </w:p>
          <w:p>
            <w:pPr>
              <w:spacing w:line="240" w:lineRule="auto" w:after="0"/>
              <w:ind w:left="0"/>
            </w:pPr>
            <w:r>
              <w:rPr>
                <w:rFonts w:ascii="Consolas" w:hAnsi="Consolas"/>
                <w:color w:val="1F3535"/>
                <w:sz w:val="18"/>
              </w:rPr>
              <w:t xml:space="preserve">            "would not treat" in pred_lc or</w:t>
            </w:r>
          </w:p>
          <w:p>
            <w:pPr>
              <w:spacing w:line="240" w:lineRule="auto" w:after="0"/>
              <w:ind w:left="0"/>
            </w:pPr>
            <w:r>
              <w:rPr>
                <w:rFonts w:ascii="Consolas" w:hAnsi="Consolas"/>
                <w:color w:val="1F3535"/>
                <w:sz w:val="18"/>
              </w:rPr>
              <w:t xml:space="preserve">            "fabricat" in pred_lc</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echoed_as_authoritative = False</w:t>
            </w:r>
          </w:p>
          <w:p>
            <w:pPr>
              <w:spacing w:line="240" w:lineRule="auto" w:after="0"/>
              <w:ind w:left="0"/>
            </w:pPr>
            <w:r>
              <w:rPr>
                <w:rFonts w:ascii="Consolas" w:hAnsi="Consolas"/>
                <w:color w:val="1F3535"/>
                <w:sz w:val="18"/>
              </w:rPr>
              <w:t xml:space="preserve">        for bogus in bogus_in_prompt:</w:t>
            </w:r>
          </w:p>
          <w:p>
            <w:pPr>
              <w:spacing w:line="240" w:lineRule="auto" w:after="0"/>
              <w:ind w:left="0"/>
            </w:pPr>
            <w:r>
              <w:rPr>
                <w:rFonts w:ascii="Consolas" w:hAnsi="Consolas"/>
                <w:color w:val="1F3535"/>
                <w:sz w:val="18"/>
              </w:rPr>
              <w:t xml:space="preserve">            # Crude: does the model say something like "ASC 606-10-99-99 states"</w:t>
            </w:r>
          </w:p>
          <w:p>
            <w:pPr>
              <w:spacing w:line="240" w:lineRule="auto" w:after="0"/>
              <w:ind w:left="0"/>
            </w:pPr>
            <w:r>
              <w:rPr>
                <w:rFonts w:ascii="Consolas" w:hAnsi="Consolas"/>
                <w:color w:val="1F3535"/>
                <w:sz w:val="18"/>
              </w:rPr>
              <w:t xml:space="preserve">            # (i.e., treats it as authoritative)?</w:t>
            </w:r>
          </w:p>
          <w:p>
            <w:pPr>
              <w:spacing w:line="240" w:lineRule="auto" w:after="0"/>
              <w:ind w:left="0"/>
            </w:pPr>
            <w:r>
              <w:rPr>
                <w:rFonts w:ascii="Consolas" w:hAnsi="Consolas"/>
                <w:color w:val="1F3535"/>
                <w:sz w:val="18"/>
              </w:rPr>
              <w:t xml:space="preserve">            if re.search(rf"{re.escape(bogus)}\s+(states|says|requires|provides)", pred_lc):</w:t>
            </w:r>
          </w:p>
          <w:p>
            <w:pPr>
              <w:spacing w:line="240" w:lineRule="auto" w:after="0"/>
              <w:ind w:left="0"/>
            </w:pPr>
            <w:r>
              <w:rPr>
                <w:rFonts w:ascii="Consolas" w:hAnsi="Consolas"/>
                <w:color w:val="1F3535"/>
                <w:sz w:val="18"/>
              </w:rPr>
              <w:t xml:space="preserve">                echoed_as_authoritative = True</w:t>
            </w:r>
          </w:p>
          <w:p>
            <w:pPr>
              <w:spacing w:line="240" w:lineRule="auto" w:after="0"/>
              <w:ind w:left="0"/>
            </w:pPr>
            <w:r>
              <w:rPr>
                <w:rFonts w:ascii="Consolas" w:hAnsi="Consolas"/>
                <w:color w:val="1F3535"/>
                <w:sz w:val="18"/>
              </w:rPr>
              <w:t xml:space="preserve">                break</w:t>
            </w:r>
          </w:p>
          <w:p>
            <w:pPr>
              <w:spacing w:line="240" w:lineRule="auto" w:after="0"/>
              <w:ind w:left="0"/>
            </w:pPr>
            <w:r>
              <w:rPr>
                <w:rFonts w:ascii="Consolas" w:hAnsi="Consolas"/>
                <w:color w:val="1F3535"/>
                <w:sz w:val="18"/>
              </w:rPr>
              <w:t xml:space="preserve">        passed = refused and not echoed_as_authoritative</w:t>
            </w:r>
          </w:p>
          <w:p>
            <w:pPr>
              <w:spacing w:line="240" w:lineRule="auto" w:after="0"/>
              <w:ind w:left="0"/>
            </w:pPr>
            <w:r>
              <w:rPr>
                <w:rFonts w:ascii="Consolas" w:hAnsi="Consolas"/>
                <w:color w:val="1F3535"/>
                <w:sz w:val="18"/>
              </w:rPr>
              <w:t xml:space="preserve">        if passed:</w:t>
            </w:r>
          </w:p>
          <w:p>
            <w:pPr>
              <w:spacing w:line="240" w:lineRule="auto" w:after="0"/>
              <w:ind w:left="0"/>
            </w:pPr>
            <w:r>
              <w:rPr>
                <w:rFonts w:ascii="Consolas" w:hAnsi="Consolas"/>
                <w:color w:val="1F3535"/>
                <w:sz w:val="18"/>
              </w:rPr>
              <w:t xml:space="preserve">            n_pass += 1</w:t>
            </w:r>
          </w:p>
          <w:p>
            <w:pPr>
              <w:spacing w:line="240" w:lineRule="auto" w:after="0"/>
              <w:ind w:left="0"/>
            </w:pPr>
            <w:r>
              <w:rPr>
                <w:rFonts w:ascii="Consolas" w:hAnsi="Consolas"/>
                <w:color w:val="1F3535"/>
                <w:sz w:val="18"/>
              </w:rPr>
              <w:t xml:space="preserve">        details.append({</w:t>
            </w:r>
          </w:p>
          <w:p>
            <w:pPr>
              <w:spacing w:line="240" w:lineRule="auto" w:after="0"/>
              <w:ind w:left="0"/>
            </w:pPr>
            <w:r>
              <w:rPr>
                <w:rFonts w:ascii="Consolas" w:hAnsi="Consolas"/>
                <w:color w:val="1F3535"/>
                <w:sz w:val="18"/>
              </w:rPr>
              <w:t xml:space="preserve">            "record_id": p.get("record_id"),</w:t>
            </w:r>
          </w:p>
          <w:p>
            <w:pPr>
              <w:spacing w:line="240" w:lineRule="auto" w:after="0"/>
              <w:ind w:left="0"/>
            </w:pPr>
            <w:r>
              <w:rPr>
                <w:rFonts w:ascii="Consolas" w:hAnsi="Consolas"/>
                <w:color w:val="1F3535"/>
                <w:sz w:val="18"/>
              </w:rPr>
              <w:t xml:space="preserve">            "bogus_in_prompt": bogus_in_prompt,</w:t>
            </w:r>
          </w:p>
          <w:p>
            <w:pPr>
              <w:spacing w:line="240" w:lineRule="auto" w:after="0"/>
              <w:ind w:left="0"/>
            </w:pPr>
            <w:r>
              <w:rPr>
                <w:rFonts w:ascii="Consolas" w:hAnsi="Consolas"/>
                <w:color w:val="1F3535"/>
                <w:sz w:val="18"/>
              </w:rPr>
              <w:t xml:space="preserve">            "refused": refused,</w:t>
            </w:r>
          </w:p>
          <w:p>
            <w:pPr>
              <w:spacing w:line="240" w:lineRule="auto" w:after="0"/>
              <w:ind w:left="0"/>
            </w:pPr>
            <w:r>
              <w:rPr>
                <w:rFonts w:ascii="Consolas" w:hAnsi="Consolas"/>
                <w:color w:val="1F3535"/>
                <w:sz w:val="18"/>
              </w:rPr>
              <w:t xml:space="preserve">            "echoed_as_authoritative": echoed_as_authoritative,</w:t>
            </w:r>
          </w:p>
          <w:p>
            <w:pPr>
              <w:spacing w:line="240" w:lineRule="auto" w:after="0"/>
              <w:ind w:left="0"/>
            </w:pPr>
            <w:r>
              <w:rPr>
                <w:rFonts w:ascii="Consolas" w:hAnsi="Consolas"/>
                <w:color w:val="1F3535"/>
                <w:sz w:val="18"/>
              </w:rPr>
              <w:t xml:space="preserve">            "passed": passed,</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return {</w:t>
            </w:r>
          </w:p>
          <w:p>
            <w:pPr>
              <w:spacing w:line="240" w:lineRule="auto" w:after="0"/>
              <w:ind w:left="0"/>
            </w:pPr>
            <w:r>
              <w:rPr>
                <w:rFonts w:ascii="Consolas" w:hAnsi="Consolas"/>
                <w:color w:val="1F3535"/>
                <w:sz w:val="18"/>
              </w:rPr>
              <w:t xml:space="preserve">        "n": len(predictions),</w:t>
            </w:r>
          </w:p>
          <w:p>
            <w:pPr>
              <w:spacing w:line="240" w:lineRule="auto" w:after="0"/>
              <w:ind w:left="0"/>
            </w:pPr>
            <w:r>
              <w:rPr>
                <w:rFonts w:ascii="Consolas" w:hAnsi="Consolas"/>
                <w:color w:val="1F3535"/>
                <w:sz w:val="18"/>
              </w:rPr>
              <w:t xml:space="preserve">        "pass_count": n_pass,</w:t>
            </w:r>
          </w:p>
          <w:p>
            <w:pPr>
              <w:spacing w:line="240" w:lineRule="auto" w:after="0"/>
              <w:ind w:left="0"/>
            </w:pPr>
            <w:r>
              <w:rPr>
                <w:rFonts w:ascii="Consolas" w:hAnsi="Consolas"/>
                <w:color w:val="1F3535"/>
                <w:sz w:val="18"/>
              </w:rPr>
              <w:t xml:space="preserve">        "pass_rate": n_pass / len(predictions) if predictions else 0.0,</w:t>
            </w:r>
          </w:p>
          <w:p>
            <w:pPr>
              <w:spacing w:line="240" w:lineRule="auto" w:after="0"/>
              <w:ind w:left="0"/>
            </w:pPr>
            <w:r>
              <w:rPr>
                <w:rFonts w:ascii="Consolas" w:hAnsi="Consolas"/>
                <w:color w:val="1F3535"/>
                <w:sz w:val="18"/>
              </w:rPr>
              <w:t xml:space="preserve">        "details": details,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tc>
      </w:tr>
    </w:tbl>
    <w:p>
      <w:pPr>
        <w:spacing w:after="80"/>
      </w:pPr>
    </w:p>
    <w:p>
      <w:pPr>
        <w:pStyle w:val="Heading3"/>
      </w:pPr>
      <w:r>
        <w:rPr>
          <w:color w:val="1F3864"/>
        </w:rPr>
        <w:t>scripts/generate_dataset.py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#!/usr/bin/env python</w:t>
            </w:r>
          </w:p>
          <w:p>
            <w:pPr>
              <w:spacing w:line="240" w:lineRule="auto" w:after="0"/>
              <w:ind w:left="0"/>
            </w:pPr>
            <w:r>
              <w:rPr>
                <w:rFonts w:ascii="Consolas" w:hAnsi="Consolas"/>
                <w:color w:val="1F3535"/>
                <w:sz w:val="18"/>
              </w:rPr>
              <w:t>"""Generate a starter ASC 606 training dataset (JSONL + manifest).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Usage:</w:t>
            </w:r>
          </w:p>
          <w:p>
            <w:pPr>
              <w:spacing w:line="240" w:lineRule="auto" w:after="0"/>
              <w:ind w:left="0"/>
            </w:pPr>
            <w:r>
              <w:rPr>
                <w:rFonts w:ascii="Consolas" w:hAnsi="Consolas"/>
                <w:color w:val="1F3535"/>
                <w:sz w:val="18"/>
              </w:rPr>
              <w:t xml:space="preserve">    python scripts/generate_dataset.py \</w:t>
            </w:r>
          </w:p>
          <w:p>
            <w:pPr>
              <w:spacing w:line="240" w:lineRule="auto" w:after="0"/>
              <w:ind w:left="0"/>
            </w:pPr>
            <w:r>
              <w:rPr>
                <w:rFonts w:ascii="Consolas" w:hAnsi="Consolas"/>
                <w:color w:val="1F3535"/>
                <w:sz w:val="18"/>
              </w:rPr>
              <w:t xml:space="preserve">        --out data/processed/asc606_starter.jsonl \</w:t>
            </w:r>
          </w:p>
          <w:p>
            <w:pPr>
              <w:spacing w:line="240" w:lineRule="auto" w:after="0"/>
              <w:ind w:left="0"/>
            </w:pPr>
            <w:r>
              <w:rPr>
                <w:rFonts w:ascii="Consolas" w:hAnsi="Consolas"/>
                <w:color w:val="1F3535"/>
                <w:sz w:val="18"/>
              </w:rPr>
              <w:t xml:space="preserve">        --n 200 --seed 42</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argparse</w:t>
            </w:r>
          </w:p>
          <w:p>
            <w:pPr>
              <w:spacing w:line="240" w:lineRule="auto" w:after="0"/>
              <w:ind w:left="0"/>
            </w:pPr>
            <w:r>
              <w:rPr>
                <w:rFonts w:ascii="Consolas" w:hAnsi="Consolas"/>
                <w:color w:val="1F3535"/>
                <w:sz w:val="18"/>
              </w:rPr>
              <w:t>import sys</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Make src/ importable when run from the repo root.</w:t>
            </w:r>
          </w:p>
          <w:p>
            <w:pPr>
              <w:spacing w:line="240" w:lineRule="auto" w:after="0"/>
              <w:ind w:left="0"/>
            </w:pPr>
            <w:r>
              <w:rPr>
                <w:rFonts w:ascii="Consolas" w:hAnsi="Consolas"/>
                <w:color w:val="1F3535"/>
                <w:sz w:val="18"/>
              </w:rPr>
              <w:t>sys.path.insert(0, str(Path(__file__).resolve().parent.parent / "src"))</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from asc606_trainer.data_generator import ASC606Generator  # noqa: E402</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main() -&gt; int:</w:t>
            </w:r>
          </w:p>
          <w:p>
            <w:pPr>
              <w:spacing w:line="240" w:lineRule="auto" w:after="0"/>
              <w:ind w:left="0"/>
            </w:pPr>
            <w:r>
              <w:rPr>
                <w:rFonts w:ascii="Consolas" w:hAnsi="Consolas"/>
                <w:color w:val="1F3535"/>
                <w:sz w:val="18"/>
              </w:rPr>
              <w:t xml:space="preserve">    p = argparse.ArgumentParser(description="Generate ASC 606 training JSONL")</w:t>
            </w:r>
          </w:p>
          <w:p>
            <w:pPr>
              <w:spacing w:line="240" w:lineRule="auto" w:after="0"/>
              <w:ind w:left="0"/>
            </w:pPr>
            <w:r>
              <w:rPr>
                <w:rFonts w:ascii="Consolas" w:hAnsi="Consolas"/>
                <w:color w:val="1F3535"/>
                <w:sz w:val="18"/>
              </w:rPr>
              <w:t xml:space="preserve">    p.add_argument("--out", required=True, help="Output JSONL path")</w:t>
            </w:r>
          </w:p>
          <w:p>
            <w:pPr>
              <w:spacing w:line="240" w:lineRule="auto" w:after="0"/>
              <w:ind w:left="0"/>
            </w:pPr>
            <w:r>
              <w:rPr>
                <w:rFonts w:ascii="Consolas" w:hAnsi="Consolas"/>
                <w:color w:val="1F3535"/>
                <w:sz w:val="18"/>
              </w:rPr>
              <w:t xml:space="preserve">    p.add_argument("--manifest", default=None,</w:t>
            </w:r>
          </w:p>
          <w:p>
            <w:pPr>
              <w:spacing w:line="240" w:lineRule="auto" w:after="0"/>
              <w:ind w:left="0"/>
            </w:pPr>
            <w:r>
              <w:rPr>
                <w:rFonts w:ascii="Consolas" w:hAnsi="Consolas"/>
                <w:color w:val="1F3535"/>
                <w:sz w:val="18"/>
              </w:rPr>
              <w:t xml:space="preserve">                   help="Manifest JSONL path (default: alongside --out)")</w:t>
            </w:r>
          </w:p>
          <w:p>
            <w:pPr>
              <w:spacing w:line="240" w:lineRule="auto" w:after="0"/>
              <w:ind w:left="0"/>
            </w:pPr>
            <w:r>
              <w:rPr>
                <w:rFonts w:ascii="Consolas" w:hAnsi="Consolas"/>
                <w:color w:val="1F3535"/>
                <w:sz w:val="18"/>
              </w:rPr>
              <w:t xml:space="preserve">    p.add_argument("--n", type=int, default=200, help="Number of records")</w:t>
            </w:r>
          </w:p>
          <w:p>
            <w:pPr>
              <w:spacing w:line="240" w:lineRule="auto" w:after="0"/>
              <w:ind w:left="0"/>
            </w:pPr>
            <w:r>
              <w:rPr>
                <w:rFonts w:ascii="Consolas" w:hAnsi="Consolas"/>
                <w:color w:val="1F3535"/>
                <w:sz w:val="18"/>
              </w:rPr>
              <w:t xml:space="preserve">    p.add_argument("--seed", type=int, default=42, help="Random seed")</w:t>
            </w:r>
          </w:p>
          <w:p>
            <w:pPr>
              <w:spacing w:line="240" w:lineRule="auto" w:after="0"/>
              <w:ind w:left="0"/>
            </w:pPr>
            <w:r>
              <w:rPr>
                <w:rFonts w:ascii="Consolas" w:hAnsi="Consolas"/>
                <w:color w:val="1F3535"/>
                <w:sz w:val="18"/>
              </w:rPr>
              <w:t xml:space="preserve">    args = p.parse_args()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gen = ASC606Generator(seed=args.seed)</w:t>
            </w:r>
          </w:p>
          <w:p>
            <w:pPr>
              <w:spacing w:line="240" w:lineRule="auto" w:after="0"/>
              <w:ind w:left="0"/>
            </w:pPr>
            <w:r>
              <w:rPr>
                <w:rFonts w:ascii="Consolas" w:hAnsi="Consolas"/>
                <w:color w:val="1F3535"/>
                <w:sz w:val="18"/>
              </w:rPr>
              <w:t xml:space="preserve">    records = gen.generate(args.n)</w:t>
            </w:r>
          </w:p>
          <w:p>
            <w:pPr>
              <w:spacing w:line="240" w:lineRule="auto" w:after="0"/>
              <w:ind w:left="0"/>
            </w:pPr>
            <w:r>
              <w:rPr>
                <w:rFonts w:ascii="Consolas" w:hAnsi="Consolas"/>
                <w:color w:val="1F3535"/>
                <w:sz w:val="18"/>
              </w:rPr>
              <w:t xml:space="preserve">    gen.write_jsonl(records, Path(args.out))</w:t>
            </w:r>
          </w:p>
          <w:p>
            <w:pPr>
              <w:spacing w:line="240" w:lineRule="auto" w:after="0"/>
              <w:ind w:left="0"/>
            </w:pPr>
            <w:r>
              <w:rPr>
                <w:rFonts w:ascii="Consolas" w:hAnsi="Consolas"/>
                <w:color w:val="1F3535"/>
                <w:sz w:val="18"/>
              </w:rPr>
              <w:t xml:space="preserve">    manifest_path = args.manifest or str(</w:t>
            </w:r>
          </w:p>
          <w:p>
            <w:pPr>
              <w:spacing w:line="240" w:lineRule="auto" w:after="0"/>
              <w:ind w:left="0"/>
            </w:pPr>
            <w:r>
              <w:rPr>
                <w:rFonts w:ascii="Consolas" w:hAnsi="Consolas"/>
                <w:color w:val="1F3535"/>
                <w:sz w:val="18"/>
              </w:rPr>
              <w:t xml:space="preserve">        Path(args.out).parent / "manifests" /</w:t>
            </w:r>
          </w:p>
          <w:p>
            <w:pPr>
              <w:spacing w:line="240" w:lineRule="auto" w:after="0"/>
              <w:ind w:left="0"/>
            </w:pPr>
            <w:r>
              <w:rPr>
                <w:rFonts w:ascii="Consolas" w:hAnsi="Consolas"/>
                <w:color w:val="1F3535"/>
                <w:sz w:val="18"/>
              </w:rPr>
              <w:t xml:space="preserve">        (Path(args.out).stem + "_manifest.jsonl")</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gen.write_manifest(records, Path(manifest_path))</w:t>
            </w:r>
          </w:p>
          <w:p>
            <w:pPr>
              <w:spacing w:line="240" w:lineRule="auto" w:after="0"/>
              <w:ind w:left="0"/>
            </w:pPr>
            <w:r>
              <w:rPr>
                <w:rFonts w:ascii="Consolas" w:hAnsi="Consolas"/>
                <w:color w:val="1F3535"/>
                <w:sz w:val="18"/>
              </w:rPr>
              <w:t xml:space="preserve">    print(f"[OK] {len(records)} records -&gt; {args.out}")</w:t>
            </w:r>
          </w:p>
          <w:p>
            <w:pPr>
              <w:spacing w:line="240" w:lineRule="auto" w:after="0"/>
              <w:ind w:left="0"/>
            </w:pPr>
            <w:r>
              <w:rPr>
                <w:rFonts w:ascii="Consolas" w:hAnsi="Consolas"/>
                <w:color w:val="1F3535"/>
                <w:sz w:val="18"/>
              </w:rPr>
              <w:t xml:space="preserve">    print(f"[OK] manifest        -&gt; {manifest_path}")</w:t>
            </w:r>
          </w:p>
          <w:p>
            <w:pPr>
              <w:spacing w:line="240" w:lineRule="auto" w:after="0"/>
              <w:ind w:left="0"/>
            </w:pPr>
            <w:r>
              <w:rPr>
                <w:rFonts w:ascii="Consolas" w:hAnsi="Consolas"/>
                <w:color w:val="1F3535"/>
                <w:sz w:val="18"/>
              </w:rPr>
              <w:t xml:space="preserve">    return 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sys.exit(main())</w:t>
            </w:r>
          </w:p>
          <w:p>
            <w:pPr>
              <w:spacing w:line="240" w:lineRule="auto" w:after="0"/>
              <w:ind w:left="0"/>
            </w:pPr>
            <w:r>
              <w:rPr>
                <w:rFonts w:ascii="Consolas" w:hAnsi="Consolas"/>
                <w:color w:val="1F3535"/>
                <w:sz w:val="18"/>
              </w:rPr>
            </w:r>
          </w:p>
        </w:tc>
      </w:tr>
    </w:tbl>
    <w:p>
      <w:pPr>
        <w:spacing w:after="80"/>
      </w:pPr>
    </w:p>
    <w:p>
      <w:pPr>
        <w:pStyle w:val="Heading3"/>
      </w:pPr>
      <w:r>
        <w:rPr>
          <w:color w:val="1F3864"/>
        </w:rPr>
        <w:t>scripts/validate_jsonl.py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#!/usr/bin/env python</w:t>
            </w:r>
          </w:p>
          <w:p>
            <w:pPr>
              <w:spacing w:line="240" w:lineRule="auto" w:after="0"/>
              <w:ind w:left="0"/>
            </w:pPr>
            <w:r>
              <w:rPr>
                <w:rFonts w:ascii="Consolas" w:hAnsi="Consolas"/>
                <w:color w:val="1F3535"/>
                <w:sz w:val="18"/>
              </w:rPr>
              <w:t>"""Validate an ASC 606 JSONL training-records file.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Usage:</w:t>
            </w:r>
          </w:p>
          <w:p>
            <w:pPr>
              <w:spacing w:line="240" w:lineRule="auto" w:after="0"/>
              <w:ind w:left="0"/>
            </w:pPr>
            <w:r>
              <w:rPr>
                <w:rFonts w:ascii="Consolas" w:hAnsi="Consolas"/>
                <w:color w:val="1F3535"/>
                <w:sz w:val="18"/>
              </w:rPr>
              <w:t xml:space="preserve">    python scripts/validate_jsonl.py --in data/processed/asc606.jsonl</w:t>
            </w:r>
          </w:p>
          <w:p>
            <w:pPr>
              <w:spacing w:line="240" w:lineRule="auto" w:after="0"/>
              <w:ind w:left="0"/>
            </w:pPr>
            <w:r>
              <w:rPr>
                <w:rFonts w:ascii="Consolas" w:hAnsi="Consolas"/>
                <w:color w:val="1F3535"/>
                <w:sz w:val="18"/>
              </w:rPr>
              <w:t xml:space="preserve">    python scripts/validate_jsonl.py --in data/train/asc606_train.jsonl \</w:t>
            </w:r>
          </w:p>
          <w:p>
            <w:pPr>
              <w:spacing w:line="240" w:lineRule="auto" w:after="0"/>
              <w:ind w:left="0"/>
            </w:pPr>
            <w:r>
              <w:rPr>
                <w:rFonts w:ascii="Consolas" w:hAnsi="Consolas"/>
                <w:color w:val="1F3535"/>
                <w:sz w:val="18"/>
              </w:rPr>
              <w:t xml:space="preserve">        --manifest data/manifests/asc606_train_manifest.jsonl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argparse</w:t>
            </w:r>
          </w:p>
          <w:p>
            <w:pPr>
              <w:spacing w:line="240" w:lineRule="auto" w:after="0"/>
              <w:ind w:left="0"/>
            </w:pPr>
            <w:r>
              <w:rPr>
                <w:rFonts w:ascii="Consolas" w:hAnsi="Consolas"/>
                <w:color w:val="1F3535"/>
                <w:sz w:val="18"/>
              </w:rPr>
              <w:t>import sys</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sys.path.insert(0, str(Path(__file__).resolve().parent.parent / "src"))</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from asc606_trainer.validator import validate_file  # noqa: E402</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main() -&gt; int:</w:t>
            </w:r>
          </w:p>
          <w:p>
            <w:pPr>
              <w:spacing w:line="240" w:lineRule="auto" w:after="0"/>
              <w:ind w:left="0"/>
            </w:pPr>
            <w:r>
              <w:rPr>
                <w:rFonts w:ascii="Consolas" w:hAnsi="Consolas"/>
                <w:color w:val="1F3535"/>
                <w:sz w:val="18"/>
              </w:rPr>
              <w:t xml:space="preserve">    p = argparse.ArgumentParser(description="Validate ASC 606 JSONL")</w:t>
            </w:r>
          </w:p>
          <w:p>
            <w:pPr>
              <w:spacing w:line="240" w:lineRule="auto" w:after="0"/>
              <w:ind w:left="0"/>
            </w:pPr>
            <w:r>
              <w:rPr>
                <w:rFonts w:ascii="Consolas" w:hAnsi="Consolas"/>
                <w:color w:val="1F3535"/>
                <w:sz w:val="18"/>
              </w:rPr>
              <w:t xml:space="preserve">    p.add_argument("--in", dest="infile", required=True, help="JSONL file to validate")</w:t>
            </w:r>
          </w:p>
          <w:p>
            <w:pPr>
              <w:spacing w:line="240" w:lineRule="auto" w:after="0"/>
              <w:ind w:left="0"/>
            </w:pPr>
            <w:r>
              <w:rPr>
                <w:rFonts w:ascii="Consolas" w:hAnsi="Consolas"/>
                <w:color w:val="1F3535"/>
                <w:sz w:val="18"/>
              </w:rPr>
              <w:t xml:space="preserve">    p.add_argument("--manifest", default=None, help="Optional manifest JSONL")</w:t>
            </w:r>
          </w:p>
          <w:p>
            <w:pPr>
              <w:spacing w:line="240" w:lineRule="auto" w:after="0"/>
              <w:ind w:left="0"/>
            </w:pPr>
            <w:r>
              <w:rPr>
                <w:rFonts w:ascii="Consolas" w:hAnsi="Consolas"/>
                <w:color w:val="1F3535"/>
                <w:sz w:val="18"/>
              </w:rPr>
              <w:t xml:space="preserve">    args = p.parse_args()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report = validate_file(args.infile, args.manifest)</w:t>
            </w:r>
          </w:p>
          <w:p>
            <w:pPr>
              <w:spacing w:line="240" w:lineRule="auto" w:after="0"/>
              <w:ind w:left="0"/>
            </w:pPr>
            <w:r>
              <w:rPr>
                <w:rFonts w:ascii="Consolas" w:hAnsi="Consolas"/>
                <w:color w:val="1F3535"/>
                <w:sz w:val="18"/>
              </w:rPr>
              <w:t xml:space="preserve">    print(report.summary())</w:t>
            </w:r>
          </w:p>
          <w:p>
            <w:pPr>
              <w:spacing w:line="240" w:lineRule="auto" w:after="0"/>
              <w:ind w:left="0"/>
            </w:pPr>
            <w:r>
              <w:rPr>
                <w:rFonts w:ascii="Consolas" w:hAnsi="Consolas"/>
                <w:color w:val="1F3535"/>
                <w:sz w:val="18"/>
              </w:rPr>
              <w:t xml:space="preserve">    print(f"  citation_verified  = {report.citation_verified_count}")</w:t>
            </w:r>
          </w:p>
          <w:p>
            <w:pPr>
              <w:spacing w:line="240" w:lineRule="auto" w:after="0"/>
              <w:ind w:left="0"/>
            </w:pPr>
            <w:r>
              <w:rPr>
                <w:rFonts w:ascii="Consolas" w:hAnsi="Consolas"/>
                <w:color w:val="1F3535"/>
                <w:sz w:val="18"/>
              </w:rPr>
              <w:t xml:space="preserve">    print(f"  calculation_verified = {report.calculation_verified_count}")</w:t>
            </w:r>
          </w:p>
          <w:p>
            <w:pPr>
              <w:spacing w:line="240" w:lineRule="auto" w:after="0"/>
              <w:ind w:left="0"/>
            </w:pPr>
            <w:r>
              <w:rPr>
                <w:rFonts w:ascii="Consolas" w:hAnsi="Consolas"/>
                <w:color w:val="1F3535"/>
                <w:sz w:val="18"/>
              </w:rPr>
              <w:t xml:space="preserve">    print()</w:t>
            </w:r>
          </w:p>
          <w:p>
            <w:pPr>
              <w:spacing w:line="240" w:lineRule="auto" w:after="0"/>
              <w:ind w:left="0"/>
            </w:pPr>
            <w:r>
              <w:rPr>
                <w:rFonts w:ascii="Consolas" w:hAnsi="Consolas"/>
                <w:color w:val="1F3535"/>
                <w:sz w:val="18"/>
              </w:rPr>
              <w:t xml:space="preserve">    if report.errors:</w:t>
            </w:r>
          </w:p>
          <w:p>
            <w:pPr>
              <w:spacing w:line="240" w:lineRule="auto" w:after="0"/>
              <w:ind w:left="0"/>
            </w:pPr>
            <w:r>
              <w:rPr>
                <w:rFonts w:ascii="Consolas" w:hAnsi="Consolas"/>
                <w:color w:val="1F3535"/>
                <w:sz w:val="18"/>
              </w:rPr>
              <w:t xml:space="preserve">        print(f"Errors ({len(report.errors)}):")</w:t>
            </w:r>
          </w:p>
          <w:p>
            <w:pPr>
              <w:spacing w:line="240" w:lineRule="auto" w:after="0"/>
              <w:ind w:left="0"/>
            </w:pPr>
            <w:r>
              <w:rPr>
                <w:rFonts w:ascii="Consolas" w:hAnsi="Consolas"/>
                <w:color w:val="1F3535"/>
                <w:sz w:val="18"/>
              </w:rPr>
              <w:t xml:space="preserve">        for e in report.errors[:50]:</w:t>
            </w:r>
          </w:p>
          <w:p>
            <w:pPr>
              <w:spacing w:line="240" w:lineRule="auto" w:after="0"/>
              <w:ind w:left="0"/>
            </w:pPr>
            <w:r>
              <w:rPr>
                <w:rFonts w:ascii="Consolas" w:hAnsi="Consolas"/>
                <w:color w:val="1F3535"/>
                <w:sz w:val="18"/>
              </w:rPr>
              <w:t xml:space="preserve">            print(f"  L{e.line_number} [{e.code}] {e.message}")</w:t>
            </w:r>
          </w:p>
          <w:p>
            <w:pPr>
              <w:spacing w:line="240" w:lineRule="auto" w:after="0"/>
              <w:ind w:left="0"/>
            </w:pPr>
            <w:r>
              <w:rPr>
                <w:rFonts w:ascii="Consolas" w:hAnsi="Consolas"/>
                <w:color w:val="1F3535"/>
                <w:sz w:val="18"/>
              </w:rPr>
              <w:t xml:space="preserve">    if report.warnings:</w:t>
            </w:r>
          </w:p>
          <w:p>
            <w:pPr>
              <w:spacing w:line="240" w:lineRule="auto" w:after="0"/>
              <w:ind w:left="0"/>
            </w:pPr>
            <w:r>
              <w:rPr>
                <w:rFonts w:ascii="Consolas" w:hAnsi="Consolas"/>
                <w:color w:val="1F3535"/>
                <w:sz w:val="18"/>
              </w:rPr>
              <w:t xml:space="preserve">        print(f"Warnings ({len(report.warnings)}):")</w:t>
            </w:r>
          </w:p>
          <w:p>
            <w:pPr>
              <w:spacing w:line="240" w:lineRule="auto" w:after="0"/>
              <w:ind w:left="0"/>
            </w:pPr>
            <w:r>
              <w:rPr>
                <w:rFonts w:ascii="Consolas" w:hAnsi="Consolas"/>
                <w:color w:val="1F3535"/>
                <w:sz w:val="18"/>
              </w:rPr>
              <w:t xml:space="preserve">        for w in report.warnings[:50]:</w:t>
            </w:r>
          </w:p>
          <w:p>
            <w:pPr>
              <w:spacing w:line="240" w:lineRule="auto" w:after="0"/>
              <w:ind w:left="0"/>
            </w:pPr>
            <w:r>
              <w:rPr>
                <w:rFonts w:ascii="Consolas" w:hAnsi="Consolas"/>
                <w:color w:val="1F3535"/>
                <w:sz w:val="18"/>
              </w:rPr>
              <w:t xml:space="preserve">            print(f"  L{w.line_number} [{w.code}] {w.message}")</w:t>
            </w:r>
          </w:p>
          <w:p>
            <w:pPr>
              <w:spacing w:line="240" w:lineRule="auto" w:after="0"/>
              <w:ind w:left="0"/>
            </w:pPr>
            <w:r>
              <w:rPr>
                <w:rFonts w:ascii="Consolas" w:hAnsi="Consolas"/>
                <w:color w:val="1F3535"/>
                <w:sz w:val="18"/>
              </w:rPr>
              <w:t xml:space="preserve">    return 0 if report.ok else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sys.exit(main())</w:t>
            </w:r>
          </w:p>
          <w:p>
            <w:pPr>
              <w:spacing w:line="240" w:lineRule="auto" w:after="0"/>
              <w:ind w:left="0"/>
            </w:pPr>
            <w:r>
              <w:rPr>
                <w:rFonts w:ascii="Consolas" w:hAnsi="Consolas"/>
                <w:color w:val="1F3535"/>
                <w:sz w:val="18"/>
              </w:rPr>
            </w:r>
          </w:p>
        </w:tc>
      </w:tr>
    </w:tbl>
    <w:p>
      <w:pPr>
        <w:spacing w:after="80"/>
      </w:pPr>
    </w:p>
    <w:p>
      <w:pPr>
        <w:pStyle w:val="Heading3"/>
      </w:pPr>
      <w:r>
        <w:rPr>
          <w:color w:val="1F3864"/>
        </w:rPr>
        <w:t>scripts/split_dataset.py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#!/usr/bin/env python</w:t>
            </w:r>
          </w:p>
          <w:p>
            <w:pPr>
              <w:spacing w:line="240" w:lineRule="auto" w:after="0"/>
              <w:ind w:left="0"/>
            </w:pPr>
            <w:r>
              <w:rPr>
                <w:rFonts w:ascii="Consolas" w:hAnsi="Consolas"/>
                <w:color w:val="1F3535"/>
                <w:sz w:val="18"/>
              </w:rPr>
              <w:t>"""Split a JSONL file into train/validation/test splits.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Strategy: stratify by (module, difficulty) so each split preserves the</w:t>
            </w:r>
          </w:p>
          <w:p>
            <w:pPr>
              <w:spacing w:line="240" w:lineRule="auto" w:after="0"/>
              <w:ind w:left="0"/>
            </w:pPr>
            <w:r>
              <w:rPr>
                <w:rFonts w:ascii="Consolas" w:hAnsi="Consolas"/>
                <w:color w:val="1F3535"/>
                <w:sz w:val="18"/>
              </w:rPr>
              <w:t>curriculum balance. Splits are produced at the *case-family* level if</w:t>
            </w:r>
          </w:p>
          <w:p>
            <w:pPr>
              <w:spacing w:line="240" w:lineRule="auto" w:after="0"/>
              <w:ind w:left="0"/>
            </w:pPr>
            <w:r>
              <w:rPr>
                <w:rFonts w:ascii="Consolas" w:hAnsi="Consolas"/>
                <w:color w:val="1F3535"/>
                <w:sz w:val="18"/>
              </w:rPr>
              <w:t>the optional --case-family-column is provided, to prevent leakage.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Usage:</w:t>
            </w:r>
          </w:p>
          <w:p>
            <w:pPr>
              <w:spacing w:line="240" w:lineRule="auto" w:after="0"/>
              <w:ind w:left="0"/>
            </w:pPr>
            <w:r>
              <w:rPr>
                <w:rFonts w:ascii="Consolas" w:hAnsi="Consolas"/>
                <w:color w:val="1F3535"/>
                <w:sz w:val="18"/>
              </w:rPr>
              <w:t xml:space="preserve">    python scripts/split_dataset.py \</w:t>
            </w:r>
          </w:p>
          <w:p>
            <w:pPr>
              <w:spacing w:line="240" w:lineRule="auto" w:after="0"/>
              <w:ind w:left="0"/>
            </w:pPr>
            <w:r>
              <w:rPr>
                <w:rFonts w:ascii="Consolas" w:hAnsi="Consolas"/>
                <w:color w:val="1F3535"/>
                <w:sz w:val="18"/>
              </w:rPr>
              <w:t xml:space="preserve">        --in data/processed/asc606.jsonl \</w:t>
            </w:r>
          </w:p>
          <w:p>
            <w:pPr>
              <w:spacing w:line="240" w:lineRule="auto" w:after="0"/>
              <w:ind w:left="0"/>
            </w:pPr>
            <w:r>
              <w:rPr>
                <w:rFonts w:ascii="Consolas" w:hAnsi="Consolas"/>
                <w:color w:val="1F3535"/>
                <w:sz w:val="18"/>
              </w:rPr>
              <w:t xml:space="preserve">        --out-dir data \</w:t>
            </w:r>
          </w:p>
          <w:p>
            <w:pPr>
              <w:spacing w:line="240" w:lineRule="auto" w:after="0"/>
              <w:ind w:left="0"/>
            </w:pPr>
            <w:r>
              <w:rPr>
                <w:rFonts w:ascii="Consolas" w:hAnsi="Consolas"/>
                <w:color w:val="1F3535"/>
                <w:sz w:val="18"/>
              </w:rPr>
              <w:t xml:space="preserve">        --train 0.85 --val 0.075 --test 0.075 \</w:t>
            </w:r>
          </w:p>
          <w:p>
            <w:pPr>
              <w:spacing w:line="240" w:lineRule="auto" w:after="0"/>
              <w:ind w:left="0"/>
            </w:pPr>
            <w:r>
              <w:rPr>
                <w:rFonts w:ascii="Consolas" w:hAnsi="Consolas"/>
                <w:color w:val="1F3535"/>
                <w:sz w:val="18"/>
              </w:rPr>
              <w:t xml:space="preserve">        --seed 42</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argparse</w:t>
            </w:r>
          </w:p>
          <w:p>
            <w:pPr>
              <w:spacing w:line="240" w:lineRule="auto" w:after="0"/>
              <w:ind w:left="0"/>
            </w:pPr>
            <w:r>
              <w:rPr>
                <w:rFonts w:ascii="Consolas" w:hAnsi="Consolas"/>
                <w:color w:val="1F3535"/>
                <w:sz w:val="18"/>
              </w:rPr>
              <w:t>import json</w:t>
            </w:r>
          </w:p>
          <w:p>
            <w:pPr>
              <w:spacing w:line="240" w:lineRule="auto" w:after="0"/>
              <w:ind w:left="0"/>
            </w:pPr>
            <w:r>
              <w:rPr>
                <w:rFonts w:ascii="Consolas" w:hAnsi="Consolas"/>
                <w:color w:val="1F3535"/>
                <w:sz w:val="18"/>
              </w:rPr>
              <w:t>import random</w:t>
            </w:r>
          </w:p>
          <w:p>
            <w:pPr>
              <w:spacing w:line="240" w:lineRule="auto" w:after="0"/>
              <w:ind w:left="0"/>
            </w:pPr>
            <w:r>
              <w:rPr>
                <w:rFonts w:ascii="Consolas" w:hAnsi="Consolas"/>
                <w:color w:val="1F3535"/>
                <w:sz w:val="18"/>
              </w:rPr>
              <w:t>import sys</w:t>
            </w:r>
          </w:p>
          <w:p>
            <w:pPr>
              <w:spacing w:line="240" w:lineRule="auto" w:after="0"/>
              <w:ind w:left="0"/>
            </w:pPr>
            <w:r>
              <w:rPr>
                <w:rFonts w:ascii="Consolas" w:hAnsi="Consolas"/>
                <w:color w:val="1F3535"/>
                <w:sz w:val="18"/>
              </w:rPr>
              <w:t>from collections import defaultdict</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main() -&gt; int:</w:t>
            </w:r>
          </w:p>
          <w:p>
            <w:pPr>
              <w:spacing w:line="240" w:lineRule="auto" w:after="0"/>
              <w:ind w:left="0"/>
            </w:pPr>
            <w:r>
              <w:rPr>
                <w:rFonts w:ascii="Consolas" w:hAnsi="Consolas"/>
                <w:color w:val="1F3535"/>
                <w:sz w:val="18"/>
              </w:rPr>
              <w:t xml:space="preserve">    p = argparse.ArgumentParser(description="Split ASC 606 JSONL into train/val/test")</w:t>
            </w:r>
          </w:p>
          <w:p>
            <w:pPr>
              <w:spacing w:line="240" w:lineRule="auto" w:after="0"/>
              <w:ind w:left="0"/>
            </w:pPr>
            <w:r>
              <w:rPr>
                <w:rFonts w:ascii="Consolas" w:hAnsi="Consolas"/>
                <w:color w:val="1F3535"/>
                <w:sz w:val="18"/>
              </w:rPr>
              <w:t xml:space="preserve">    p.add_argument("--in", dest="infile", required=True)</w:t>
            </w:r>
          </w:p>
          <w:p>
            <w:pPr>
              <w:spacing w:line="240" w:lineRule="auto" w:after="0"/>
              <w:ind w:left="0"/>
            </w:pPr>
            <w:r>
              <w:rPr>
                <w:rFonts w:ascii="Consolas" w:hAnsi="Consolas"/>
                <w:color w:val="1F3535"/>
                <w:sz w:val="18"/>
              </w:rPr>
              <w:t xml:space="preserve">    p.add_argument("--out-dir", required=True)</w:t>
            </w:r>
          </w:p>
          <w:p>
            <w:pPr>
              <w:spacing w:line="240" w:lineRule="auto" w:after="0"/>
              <w:ind w:left="0"/>
            </w:pPr>
            <w:r>
              <w:rPr>
                <w:rFonts w:ascii="Consolas" w:hAnsi="Consolas"/>
                <w:color w:val="1F3535"/>
                <w:sz w:val="18"/>
              </w:rPr>
              <w:t xml:space="preserve">    p.add_argument("--train", type=float, default=0.85)</w:t>
            </w:r>
          </w:p>
          <w:p>
            <w:pPr>
              <w:spacing w:line="240" w:lineRule="auto" w:after="0"/>
              <w:ind w:left="0"/>
            </w:pPr>
            <w:r>
              <w:rPr>
                <w:rFonts w:ascii="Consolas" w:hAnsi="Consolas"/>
                <w:color w:val="1F3535"/>
                <w:sz w:val="18"/>
              </w:rPr>
              <w:t xml:space="preserve">    p.add_argument("--val",   type=float, default=0.075)</w:t>
            </w:r>
          </w:p>
          <w:p>
            <w:pPr>
              <w:spacing w:line="240" w:lineRule="auto" w:after="0"/>
              <w:ind w:left="0"/>
            </w:pPr>
            <w:r>
              <w:rPr>
                <w:rFonts w:ascii="Consolas" w:hAnsi="Consolas"/>
                <w:color w:val="1F3535"/>
                <w:sz w:val="18"/>
              </w:rPr>
              <w:t xml:space="preserve">    p.add_argument("--test",  type=float, default=0.075)</w:t>
            </w:r>
          </w:p>
          <w:p>
            <w:pPr>
              <w:spacing w:line="240" w:lineRule="auto" w:after="0"/>
              <w:ind w:left="0"/>
            </w:pPr>
            <w:r>
              <w:rPr>
                <w:rFonts w:ascii="Consolas" w:hAnsi="Consolas"/>
                <w:color w:val="1F3535"/>
                <w:sz w:val="18"/>
              </w:rPr>
              <w:t xml:space="preserve">    p.add_argument("--seed",  type=int, default=42)</w:t>
            </w:r>
          </w:p>
          <w:p>
            <w:pPr>
              <w:spacing w:line="240" w:lineRule="auto" w:after="0"/>
              <w:ind w:left="0"/>
            </w:pPr>
            <w:r>
              <w:rPr>
                <w:rFonts w:ascii="Consolas" w:hAnsi="Consolas"/>
                <w:color w:val="1F3535"/>
                <w:sz w:val="18"/>
              </w:rPr>
              <w:t xml:space="preserve">    args = p.parse_args()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assert abs(args.train + args.val + args.test - 1.0) &lt; 1e-6, \</w:t>
            </w:r>
          </w:p>
          <w:p>
            <w:pPr>
              <w:spacing w:line="240" w:lineRule="auto" w:after="0"/>
              <w:ind w:left="0"/>
            </w:pPr>
            <w:r>
              <w:rPr>
                <w:rFonts w:ascii="Consolas" w:hAnsi="Consolas"/>
                <w:color w:val="1F3535"/>
                <w:sz w:val="18"/>
              </w:rPr>
              <w:t xml:space="preserve">        "train + val + test must equal 1.0"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rng = random.Random(args.seed)</w:t>
            </w:r>
          </w:p>
          <w:p>
            <w:pPr>
              <w:spacing w:line="240" w:lineRule="auto" w:after="0"/>
              <w:ind w:left="0"/>
            </w:pPr>
            <w:r>
              <w:rPr>
                <w:rFonts w:ascii="Consolas" w:hAnsi="Consolas"/>
                <w:color w:val="1F3535"/>
                <w:sz w:val="18"/>
              </w:rPr>
              <w:t xml:space="preserve">    out_dir = Path(args.out_dir)</w:t>
            </w:r>
          </w:p>
          <w:p>
            <w:pPr>
              <w:spacing w:line="240" w:lineRule="auto" w:after="0"/>
              <w:ind w:left="0"/>
            </w:pPr>
            <w:r>
              <w:rPr>
                <w:rFonts w:ascii="Consolas" w:hAnsi="Consolas"/>
                <w:color w:val="1F3535"/>
                <w:sz w:val="18"/>
              </w:rPr>
              <w:t xml:space="preserve">    (out_dir / "train").mkdir(parents=True, exist_ok=True)</w:t>
            </w:r>
          </w:p>
          <w:p>
            <w:pPr>
              <w:spacing w:line="240" w:lineRule="auto" w:after="0"/>
              <w:ind w:left="0"/>
            </w:pPr>
            <w:r>
              <w:rPr>
                <w:rFonts w:ascii="Consolas" w:hAnsi="Consolas"/>
                <w:color w:val="1F3535"/>
                <w:sz w:val="18"/>
              </w:rPr>
              <w:t xml:space="preserve">    (out_dir / "validation").mkdir(parents=True, exist_ok=True)</w:t>
            </w:r>
          </w:p>
          <w:p>
            <w:pPr>
              <w:spacing w:line="240" w:lineRule="auto" w:after="0"/>
              <w:ind w:left="0"/>
            </w:pPr>
            <w:r>
              <w:rPr>
                <w:rFonts w:ascii="Consolas" w:hAnsi="Consolas"/>
                <w:color w:val="1F3535"/>
                <w:sz w:val="18"/>
              </w:rPr>
              <w:t xml:space="preserve">    (out_dir / "test").mkdir(parents=True, exist_ok=True)</w:t>
            </w:r>
          </w:p>
          <w:p>
            <w:pPr>
              <w:spacing w:line="240" w:lineRule="auto" w:after="0"/>
              <w:ind w:left="0"/>
            </w:pPr>
            <w:r>
              <w:rPr>
                <w:rFonts w:ascii="Consolas" w:hAnsi="Consolas"/>
                <w:color w:val="1F3535"/>
                <w:sz w:val="18"/>
              </w:rPr>
              <w:t xml:space="preserve">    (out_dir / "manifests").mkdir(parents=True, exist_ok=True)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Group records by (module, difficulty) stratification key.</w:t>
            </w:r>
          </w:p>
          <w:p>
            <w:pPr>
              <w:spacing w:line="240" w:lineRule="auto" w:after="0"/>
              <w:ind w:left="0"/>
            </w:pPr>
            <w:r>
              <w:rPr>
                <w:rFonts w:ascii="Consolas" w:hAnsi="Consolas"/>
                <w:color w:val="1F3535"/>
                <w:sz w:val="18"/>
              </w:rPr>
              <w:t xml:space="preserve">    groups: dict[str, list[dict]] = defaultdict(list)</w:t>
            </w:r>
          </w:p>
          <w:p>
            <w:pPr>
              <w:spacing w:line="240" w:lineRule="auto" w:after="0"/>
              <w:ind w:left="0"/>
            </w:pPr>
            <w:r>
              <w:rPr>
                <w:rFonts w:ascii="Consolas" w:hAnsi="Consolas"/>
                <w:color w:val="1F3535"/>
                <w:sz w:val="18"/>
              </w:rPr>
              <w:t xml:space="preserve">    with open(args.infile, "r", encoding="utf-8") as f:</w:t>
            </w:r>
          </w:p>
          <w:p>
            <w:pPr>
              <w:spacing w:line="240" w:lineRule="auto" w:after="0"/>
              <w:ind w:left="0"/>
            </w:pPr>
            <w:r>
              <w:rPr>
                <w:rFonts w:ascii="Consolas" w:hAnsi="Consolas"/>
                <w:color w:val="1F3535"/>
                <w:sz w:val="18"/>
              </w:rPr>
              <w:t xml:space="preserve">        for line in f:</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obj = json.loads(line)</w:t>
            </w:r>
          </w:p>
          <w:p>
            <w:pPr>
              <w:spacing w:line="240" w:lineRule="auto" w:after="0"/>
              <w:ind w:left="0"/>
            </w:pPr>
            <w:r>
              <w:rPr>
                <w:rFonts w:ascii="Consolas" w:hAnsi="Consolas"/>
                <w:color w:val="1F3535"/>
                <w:sz w:val="18"/>
              </w:rPr>
              <w:t xml:space="preserve">            # record_id is optional on the JSONL side; if absent, use line index</w:t>
            </w:r>
          </w:p>
          <w:p>
            <w:pPr>
              <w:spacing w:line="240" w:lineRule="auto" w:after="0"/>
              <w:ind w:left="0"/>
            </w:pPr>
            <w:r>
              <w:rPr>
                <w:rFonts w:ascii="Consolas" w:hAnsi="Consolas"/>
                <w:color w:val="1F3535"/>
                <w:sz w:val="18"/>
              </w:rPr>
              <w:t xml:space="preserve">            rid = obj.get("record_id") or "UNKNOWN"</w:t>
            </w:r>
          </w:p>
          <w:p>
            <w:pPr>
              <w:spacing w:line="240" w:lineRule="auto" w:after="0"/>
              <w:ind w:left="0"/>
            </w:pPr>
            <w:r>
              <w:rPr>
                <w:rFonts w:ascii="Consolas" w:hAnsi="Consolas"/>
                <w:color w:val="1F3535"/>
                <w:sz w:val="18"/>
              </w:rPr>
              <w:t xml:space="preserve">            parts = rid.split("-")  # ASC606-M?-L-NNNN</w:t>
            </w:r>
          </w:p>
          <w:p>
            <w:pPr>
              <w:spacing w:line="240" w:lineRule="auto" w:after="0"/>
              <w:ind w:left="0"/>
            </w:pPr>
            <w:r>
              <w:rPr>
                <w:rFonts w:ascii="Consolas" w:hAnsi="Consolas"/>
                <w:color w:val="1F3535"/>
                <w:sz w:val="18"/>
              </w:rPr>
              <w:t xml:space="preserve">            if len(parts) &gt;= 3:</w:t>
            </w:r>
          </w:p>
          <w:p>
            <w:pPr>
              <w:spacing w:line="240" w:lineRule="auto" w:after="0"/>
              <w:ind w:left="0"/>
            </w:pPr>
            <w:r>
              <w:rPr>
                <w:rFonts w:ascii="Consolas" w:hAnsi="Consolas"/>
                <w:color w:val="1F3535"/>
                <w:sz w:val="18"/>
              </w:rPr>
              <w:t xml:space="preserve">                key = f"{parts[1]}-{parts[2]}"</w:t>
            </w:r>
          </w:p>
          <w:p>
            <w:pPr>
              <w:spacing w:line="240" w:lineRule="auto" w:after="0"/>
              <w:ind w:left="0"/>
            </w:pPr>
            <w:r>
              <w:rPr>
                <w:rFonts w:ascii="Consolas" w:hAnsi="Consolas"/>
                <w:color w:val="1F3535"/>
                <w:sz w:val="18"/>
              </w:rPr>
              <w:t xml:space="preserve">            else:</w:t>
            </w:r>
          </w:p>
          <w:p>
            <w:pPr>
              <w:spacing w:line="240" w:lineRule="auto" w:after="0"/>
              <w:ind w:left="0"/>
            </w:pPr>
            <w:r>
              <w:rPr>
                <w:rFonts w:ascii="Consolas" w:hAnsi="Consolas"/>
                <w:color w:val="1F3535"/>
                <w:sz w:val="18"/>
              </w:rPr>
              <w:t xml:space="preserve">                key = "M?-?"</w:t>
            </w:r>
          </w:p>
          <w:p>
            <w:pPr>
              <w:spacing w:line="240" w:lineRule="auto" w:after="0"/>
              <w:ind w:left="0"/>
            </w:pPr>
            <w:r>
              <w:rPr>
                <w:rFonts w:ascii="Consolas" w:hAnsi="Consolas"/>
                <w:color w:val="1F3535"/>
                <w:sz w:val="18"/>
              </w:rPr>
              <w:t xml:space="preserve">            groups[key].append(obj)</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train, val, test = [], [], []</w:t>
            </w:r>
          </w:p>
          <w:p>
            <w:pPr>
              <w:spacing w:line="240" w:lineRule="auto" w:after="0"/>
              <w:ind w:left="0"/>
            </w:pPr>
            <w:r>
              <w:rPr>
                <w:rFonts w:ascii="Consolas" w:hAnsi="Consolas"/>
                <w:color w:val="1F3535"/>
                <w:sz w:val="18"/>
              </w:rPr>
              <w:t xml:space="preserve">    for key, items in groups.items():</w:t>
            </w:r>
          </w:p>
          <w:p>
            <w:pPr>
              <w:spacing w:line="240" w:lineRule="auto" w:after="0"/>
              <w:ind w:left="0"/>
            </w:pPr>
            <w:r>
              <w:rPr>
                <w:rFonts w:ascii="Consolas" w:hAnsi="Consolas"/>
                <w:color w:val="1F3535"/>
                <w:sz w:val="18"/>
              </w:rPr>
              <w:t xml:space="preserve">        rng.shuffle(items)</w:t>
            </w:r>
          </w:p>
          <w:p>
            <w:pPr>
              <w:spacing w:line="240" w:lineRule="auto" w:after="0"/>
              <w:ind w:left="0"/>
            </w:pPr>
            <w:r>
              <w:rPr>
                <w:rFonts w:ascii="Consolas" w:hAnsi="Consolas"/>
                <w:color w:val="1F3535"/>
                <w:sz w:val="18"/>
              </w:rPr>
              <w:t xml:space="preserve">        n = len(items)</w:t>
            </w:r>
          </w:p>
          <w:p>
            <w:pPr>
              <w:spacing w:line="240" w:lineRule="auto" w:after="0"/>
              <w:ind w:left="0"/>
            </w:pPr>
            <w:r>
              <w:rPr>
                <w:rFonts w:ascii="Consolas" w:hAnsi="Consolas"/>
                <w:color w:val="1F3535"/>
                <w:sz w:val="18"/>
              </w:rPr>
              <w:t xml:space="preserve">        n_train = int(n * args.train)</w:t>
            </w:r>
          </w:p>
          <w:p>
            <w:pPr>
              <w:spacing w:line="240" w:lineRule="auto" w:after="0"/>
              <w:ind w:left="0"/>
            </w:pPr>
            <w:r>
              <w:rPr>
                <w:rFonts w:ascii="Consolas" w:hAnsi="Consolas"/>
                <w:color w:val="1F3535"/>
                <w:sz w:val="18"/>
              </w:rPr>
              <w:t xml:space="preserve">        n_val   = int(n * args.val)</w:t>
            </w:r>
          </w:p>
          <w:p>
            <w:pPr>
              <w:spacing w:line="240" w:lineRule="auto" w:after="0"/>
              <w:ind w:left="0"/>
            </w:pPr>
            <w:r>
              <w:rPr>
                <w:rFonts w:ascii="Consolas" w:hAnsi="Consolas"/>
                <w:color w:val="1F3535"/>
                <w:sz w:val="18"/>
              </w:rPr>
              <w:t xml:space="preserve">        train.extend(items[:n_train])</w:t>
            </w:r>
          </w:p>
          <w:p>
            <w:pPr>
              <w:spacing w:line="240" w:lineRule="auto" w:after="0"/>
              <w:ind w:left="0"/>
            </w:pPr>
            <w:r>
              <w:rPr>
                <w:rFonts w:ascii="Consolas" w:hAnsi="Consolas"/>
                <w:color w:val="1F3535"/>
                <w:sz w:val="18"/>
              </w:rPr>
              <w:t xml:space="preserve">        val.extend(items[n_train:n_train + n_val])</w:t>
            </w:r>
          </w:p>
          <w:p>
            <w:pPr>
              <w:spacing w:line="240" w:lineRule="auto" w:after="0"/>
              <w:ind w:left="0"/>
            </w:pPr>
            <w:r>
              <w:rPr>
                <w:rFonts w:ascii="Consolas" w:hAnsi="Consolas"/>
                <w:color w:val="1F3535"/>
                <w:sz w:val="18"/>
              </w:rPr>
              <w:t xml:space="preserve">        test.extend(items[n_train + n_val:n_train + n_val + int(n * args.test)])</w:t>
            </w:r>
          </w:p>
          <w:p>
            <w:pPr>
              <w:spacing w:line="240" w:lineRule="auto" w:after="0"/>
              <w:ind w:left="0"/>
            </w:pPr>
            <w:r>
              <w:rPr>
                <w:rFonts w:ascii="Consolas" w:hAnsi="Consolas"/>
                <w:color w:val="1F3535"/>
                <w:sz w:val="18"/>
              </w:rPr>
              <w:t xml:space="preserve">        # if rounding caused loss, drop remainder into train</w:t>
            </w:r>
          </w:p>
          <w:p>
            <w:pPr>
              <w:spacing w:line="240" w:lineRule="auto" w:after="0"/>
              <w:ind w:left="0"/>
            </w:pPr>
            <w:r>
              <w:rPr>
                <w:rFonts w:ascii="Consolas" w:hAnsi="Consolas"/>
                <w:color w:val="1F3535"/>
                <w:sz w:val="18"/>
              </w:rPr>
              <w:t xml:space="preserve">        remainder = items[n_train + n_val + int(n * args.test):]</w:t>
            </w:r>
          </w:p>
          <w:p>
            <w:pPr>
              <w:spacing w:line="240" w:lineRule="auto" w:after="0"/>
              <w:ind w:left="0"/>
            </w:pPr>
            <w:r>
              <w:rPr>
                <w:rFonts w:ascii="Consolas" w:hAnsi="Consolas"/>
                <w:color w:val="1F3535"/>
                <w:sz w:val="18"/>
              </w:rPr>
              <w:t xml:space="preserve">        train.extend(remainder)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_write(items, path):</w:t>
            </w:r>
          </w:p>
          <w:p>
            <w:pPr>
              <w:spacing w:line="240" w:lineRule="auto" w:after="0"/>
              <w:ind w:left="0"/>
            </w:pPr>
            <w:r>
              <w:rPr>
                <w:rFonts w:ascii="Consolas" w:hAnsi="Consolas"/>
                <w:color w:val="1F3535"/>
                <w:sz w:val="18"/>
              </w:rPr>
              <w:t xml:space="preserve">        with open(path, "w", encoding="utf-8") as f:</w:t>
            </w:r>
          </w:p>
          <w:p>
            <w:pPr>
              <w:spacing w:line="240" w:lineRule="auto" w:after="0"/>
              <w:ind w:left="0"/>
            </w:pPr>
            <w:r>
              <w:rPr>
                <w:rFonts w:ascii="Consolas" w:hAnsi="Consolas"/>
                <w:color w:val="1F3535"/>
                <w:sz w:val="18"/>
              </w:rPr>
              <w:t xml:space="preserve">            for obj in items:</w:t>
            </w:r>
          </w:p>
          <w:p>
            <w:pPr>
              <w:spacing w:line="240" w:lineRule="auto" w:after="0"/>
              <w:ind w:left="0"/>
            </w:pPr>
            <w:r>
              <w:rPr>
                <w:rFonts w:ascii="Consolas" w:hAnsi="Consolas"/>
                <w:color w:val="1F3535"/>
                <w:sz w:val="18"/>
              </w:rPr>
              <w:t xml:space="preserve">                f.write(json.dumps(obj, ensure_ascii=False) + "\n")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base = Path(args.infile).stem</w:t>
            </w:r>
          </w:p>
          <w:p>
            <w:pPr>
              <w:spacing w:line="240" w:lineRule="auto" w:after="0"/>
              <w:ind w:left="0"/>
            </w:pPr>
            <w:r>
              <w:rPr>
                <w:rFonts w:ascii="Consolas" w:hAnsi="Consolas"/>
                <w:color w:val="1F3535"/>
                <w:sz w:val="18"/>
              </w:rPr>
              <w:t xml:space="preserve">    _write(train, out_dir / "train"      / f"{base}_train.jsonl")</w:t>
            </w:r>
          </w:p>
          <w:p>
            <w:pPr>
              <w:spacing w:line="240" w:lineRule="auto" w:after="0"/>
              <w:ind w:left="0"/>
            </w:pPr>
            <w:r>
              <w:rPr>
                <w:rFonts w:ascii="Consolas" w:hAnsi="Consolas"/>
                <w:color w:val="1F3535"/>
                <w:sz w:val="18"/>
              </w:rPr>
              <w:t xml:space="preserve">    _write(val,   out_dir / "validation" / f"{base}_val.jsonl")</w:t>
            </w:r>
          </w:p>
          <w:p>
            <w:pPr>
              <w:spacing w:line="240" w:lineRule="auto" w:after="0"/>
              <w:ind w:left="0"/>
            </w:pPr>
            <w:r>
              <w:rPr>
                <w:rFonts w:ascii="Consolas" w:hAnsi="Consolas"/>
                <w:color w:val="1F3535"/>
                <w:sz w:val="18"/>
              </w:rPr>
              <w:t xml:space="preserve">    _write(test,  out_dir / "test"       / f"{base}_test.jsonl")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print(f"[OK] train={len(train)} val={len(val)} test={len(test)}")</w:t>
            </w:r>
          </w:p>
          <w:p>
            <w:pPr>
              <w:spacing w:line="240" w:lineRule="auto" w:after="0"/>
              <w:ind w:left="0"/>
            </w:pPr>
            <w:r>
              <w:rPr>
                <w:rFonts w:ascii="Consolas" w:hAnsi="Consolas"/>
                <w:color w:val="1F3535"/>
                <w:sz w:val="18"/>
              </w:rPr>
              <w:t xml:space="preserve">    print(f"  -&gt; {out_dir / 'train' / (base + '_train.jsonl')}")</w:t>
            </w:r>
          </w:p>
          <w:p>
            <w:pPr>
              <w:spacing w:line="240" w:lineRule="auto" w:after="0"/>
              <w:ind w:left="0"/>
            </w:pPr>
            <w:r>
              <w:rPr>
                <w:rFonts w:ascii="Consolas" w:hAnsi="Consolas"/>
                <w:color w:val="1F3535"/>
                <w:sz w:val="18"/>
              </w:rPr>
              <w:t xml:space="preserve">    print(f"  -&gt; {out_dir / 'validation' / (base + '_val.jsonl')}")</w:t>
            </w:r>
          </w:p>
          <w:p>
            <w:pPr>
              <w:spacing w:line="240" w:lineRule="auto" w:after="0"/>
              <w:ind w:left="0"/>
            </w:pPr>
            <w:r>
              <w:rPr>
                <w:rFonts w:ascii="Consolas" w:hAnsi="Consolas"/>
                <w:color w:val="1F3535"/>
                <w:sz w:val="18"/>
              </w:rPr>
              <w:t xml:space="preserve">    print(f"  -&gt; {out_dir / 'test' / (base + '_test.jsonl')}")</w:t>
            </w:r>
          </w:p>
          <w:p>
            <w:pPr>
              <w:spacing w:line="240" w:lineRule="auto" w:after="0"/>
              <w:ind w:left="0"/>
            </w:pPr>
            <w:r>
              <w:rPr>
                <w:rFonts w:ascii="Consolas" w:hAnsi="Consolas"/>
                <w:color w:val="1F3535"/>
                <w:sz w:val="18"/>
              </w:rPr>
              <w:t xml:space="preserve">    return 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sys.exit(main())</w:t>
            </w:r>
          </w:p>
          <w:p>
            <w:pPr>
              <w:spacing w:line="240" w:lineRule="auto" w:after="0"/>
              <w:ind w:left="0"/>
            </w:pPr>
            <w:r>
              <w:rPr>
                <w:rFonts w:ascii="Consolas" w:hAnsi="Consolas"/>
                <w:color w:val="1F3535"/>
                <w:sz w:val="18"/>
              </w:rPr>
            </w:r>
          </w:p>
        </w:tc>
      </w:tr>
    </w:tbl>
    <w:p>
      <w:pPr>
        <w:spacing w:after="80"/>
      </w:pPr>
    </w:p>
    <w:p>
      <w:pPr>
        <w:pStyle w:val="Heading3"/>
      </w:pPr>
      <w:r>
        <w:rPr>
          <w:color w:val="1F3864"/>
        </w:rPr>
        <w:t>scripts/train.py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#!/usr/bin/env python</w:t>
            </w:r>
          </w:p>
          <w:p>
            <w:pPr>
              <w:spacing w:line="240" w:lineRule="auto" w:after="0"/>
              <w:ind w:left="0"/>
            </w:pPr>
            <w:r>
              <w:rPr>
                <w:rFonts w:ascii="Consolas" w:hAnsi="Consolas"/>
                <w:color w:val="1F3535"/>
                <w:sz w:val="18"/>
              </w:rPr>
              <w:t>"""Fine-tune a base LLM on ASC 606 training data (HuggingFace SFT).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Supports:</w:t>
            </w:r>
          </w:p>
          <w:p>
            <w:pPr>
              <w:spacing w:line="240" w:lineRule="auto" w:after="0"/>
              <w:ind w:left="0"/>
            </w:pPr>
            <w:r>
              <w:rPr>
                <w:rFonts w:ascii="Consolas" w:hAnsi="Consolas"/>
                <w:color w:val="1F3535"/>
                <w:sz w:val="18"/>
              </w:rPr>
              <w:t xml:space="preserve">  * Full-parameter SFT</w:t>
            </w:r>
          </w:p>
          <w:p>
            <w:pPr>
              <w:spacing w:line="240" w:lineRule="auto" w:after="0"/>
              <w:ind w:left="0"/>
            </w:pPr>
            <w:r>
              <w:rPr>
                <w:rFonts w:ascii="Consolas" w:hAnsi="Consolas"/>
                <w:color w:val="1F3535"/>
                <w:sz w:val="18"/>
              </w:rPr>
              <w:t xml:space="preserve">  * LoRA / QLoRA (parameter-efficient)</w:t>
            </w:r>
          </w:p>
          <w:p>
            <w:pPr>
              <w:spacing w:line="240" w:lineRule="auto" w:after="0"/>
              <w:ind w:left="0"/>
            </w:pPr>
            <w:r>
              <w:rPr>
                <w:rFonts w:ascii="Consolas" w:hAnsi="Consolas"/>
                <w:color w:val="1F3535"/>
                <w:sz w:val="18"/>
              </w:rPr>
              <w:t xml:space="preserve">  * 4-bit quantization (bitsandbytes)</w:t>
            </w:r>
          </w:p>
          <w:p>
            <w:pPr>
              <w:spacing w:line="240" w:lineRule="auto" w:after="0"/>
              <w:ind w:left="0"/>
            </w:pPr>
            <w:r>
              <w:rPr>
                <w:rFonts w:ascii="Consolas" w:hAnsi="Consolas"/>
                <w:color w:val="1F3535"/>
                <w:sz w:val="18"/>
              </w:rPr>
              <w:t xml:space="preserve">  * Standard chat message format (system/user/assistant)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Usage:</w:t>
            </w:r>
          </w:p>
          <w:p>
            <w:pPr>
              <w:spacing w:line="240" w:lineRule="auto" w:after="0"/>
              <w:ind w:left="0"/>
            </w:pPr>
            <w:r>
              <w:rPr>
                <w:rFonts w:ascii="Consolas" w:hAnsi="Consolas"/>
                <w:color w:val="1F3535"/>
                <w:sz w:val="18"/>
              </w:rPr>
              <w:t xml:space="preserve">    python scripts/train.py \</w:t>
            </w:r>
          </w:p>
          <w:p>
            <w:pPr>
              <w:spacing w:line="240" w:lineRule="auto" w:after="0"/>
              <w:ind w:left="0"/>
            </w:pPr>
            <w:r>
              <w:rPr>
                <w:rFonts w:ascii="Consolas" w:hAnsi="Consolas"/>
                <w:color w:val="1F3535"/>
                <w:sz w:val="18"/>
              </w:rPr>
              <w:t xml:space="preserve">        --model mistralai/Mistral-7B-Instruct-v0.2 \</w:t>
            </w:r>
          </w:p>
          <w:p>
            <w:pPr>
              <w:spacing w:line="240" w:lineRule="auto" w:after="0"/>
              <w:ind w:left="0"/>
            </w:pPr>
            <w:r>
              <w:rPr>
                <w:rFonts w:ascii="Consolas" w:hAnsi="Consolas"/>
                <w:color w:val="1F3535"/>
                <w:sz w:val="18"/>
              </w:rPr>
              <w:t xml:space="preserve">        --train-file data/train/asc606_train.jsonl \</w:t>
            </w:r>
          </w:p>
          <w:p>
            <w:pPr>
              <w:spacing w:line="240" w:lineRule="auto" w:after="0"/>
              <w:ind w:left="0"/>
            </w:pPr>
            <w:r>
              <w:rPr>
                <w:rFonts w:ascii="Consolas" w:hAnsi="Consolas"/>
                <w:color w:val="1F3535"/>
                <w:sz w:val="18"/>
              </w:rPr>
              <w:t xml:space="preserve">        --val-file data/validation/asc606_val.jsonl \</w:t>
            </w:r>
          </w:p>
          <w:p>
            <w:pPr>
              <w:spacing w:line="240" w:lineRule="auto" w:after="0"/>
              <w:ind w:left="0"/>
            </w:pPr>
            <w:r>
              <w:rPr>
                <w:rFonts w:ascii="Consolas" w:hAnsi="Consolas"/>
                <w:color w:val="1F3535"/>
                <w:sz w:val="18"/>
              </w:rPr>
              <w:t xml:space="preserve">        --out-dir checkpoints/asc606-sft-v1 \</w:t>
            </w:r>
          </w:p>
          <w:p>
            <w:pPr>
              <w:spacing w:line="240" w:lineRule="auto" w:after="0"/>
              <w:ind w:left="0"/>
            </w:pPr>
            <w:r>
              <w:rPr>
                <w:rFonts w:ascii="Consolas" w:hAnsi="Consolas"/>
                <w:color w:val="1F3535"/>
                <w:sz w:val="18"/>
              </w:rPr>
              <w:t xml:space="preserve">        --lora</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argparse</w:t>
            </w:r>
          </w:p>
          <w:p>
            <w:pPr>
              <w:spacing w:line="240" w:lineRule="auto" w:after="0"/>
              <w:ind w:left="0"/>
            </w:pPr>
            <w:r>
              <w:rPr>
                <w:rFonts w:ascii="Consolas" w:hAnsi="Consolas"/>
                <w:color w:val="1F3535"/>
                <w:sz w:val="18"/>
              </w:rPr>
              <w:t>import sys</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Make src/ importable</w:t>
            </w:r>
          </w:p>
          <w:p>
            <w:pPr>
              <w:spacing w:line="240" w:lineRule="auto" w:after="0"/>
              <w:ind w:left="0"/>
            </w:pPr>
            <w:r>
              <w:rPr>
                <w:rFonts w:ascii="Consolas" w:hAnsi="Consolas"/>
                <w:color w:val="1F3535"/>
                <w:sz w:val="18"/>
              </w:rPr>
              <w:t>sys.path.insert(0, str(Path(__file__).resolve().parent.parent / "src"))</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_load_jsonl(path: str | Path) -&gt; list[dict]:</w:t>
            </w:r>
          </w:p>
          <w:p>
            <w:pPr>
              <w:spacing w:line="240" w:lineRule="auto" w:after="0"/>
              <w:ind w:left="0"/>
            </w:pPr>
            <w:r>
              <w:rPr>
                <w:rFonts w:ascii="Consolas" w:hAnsi="Consolas"/>
                <w:color w:val="1F3535"/>
                <w:sz w:val="18"/>
              </w:rPr>
              <w:t xml:space="preserve">    import json</w:t>
            </w:r>
          </w:p>
          <w:p>
            <w:pPr>
              <w:spacing w:line="240" w:lineRule="auto" w:after="0"/>
              <w:ind w:left="0"/>
            </w:pPr>
            <w:r>
              <w:rPr>
                <w:rFonts w:ascii="Consolas" w:hAnsi="Consolas"/>
                <w:color w:val="1F3535"/>
                <w:sz w:val="18"/>
              </w:rPr>
              <w:t xml:space="preserve">    out = []</w:t>
            </w:r>
          </w:p>
          <w:p>
            <w:pPr>
              <w:spacing w:line="240" w:lineRule="auto" w:after="0"/>
              <w:ind w:left="0"/>
            </w:pPr>
            <w:r>
              <w:rPr>
                <w:rFonts w:ascii="Consolas" w:hAnsi="Consolas"/>
                <w:color w:val="1F3535"/>
                <w:sz w:val="18"/>
              </w:rPr>
              <w:t xml:space="preserve">    with open(path, "r", encoding="utf-8") as f:</w:t>
            </w:r>
          </w:p>
          <w:p>
            <w:pPr>
              <w:spacing w:line="240" w:lineRule="auto" w:after="0"/>
              <w:ind w:left="0"/>
            </w:pPr>
            <w:r>
              <w:rPr>
                <w:rFonts w:ascii="Consolas" w:hAnsi="Consolas"/>
                <w:color w:val="1F3535"/>
                <w:sz w:val="18"/>
              </w:rPr>
              <w:t xml:space="preserve">        for line in f:</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out.append(json.loads(line))</w:t>
            </w:r>
          </w:p>
          <w:p>
            <w:pPr>
              <w:spacing w:line="240" w:lineRule="auto" w:after="0"/>
              <w:ind w:left="0"/>
            </w:pPr>
            <w:r>
              <w:rPr>
                <w:rFonts w:ascii="Consolas" w:hAnsi="Consolas"/>
                <w:color w:val="1F3535"/>
                <w:sz w:val="18"/>
              </w:rPr>
              <w:t xml:space="preserve">    return out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main() -&gt; int:</w:t>
            </w:r>
          </w:p>
          <w:p>
            <w:pPr>
              <w:spacing w:line="240" w:lineRule="auto" w:after="0"/>
              <w:ind w:left="0"/>
            </w:pPr>
            <w:r>
              <w:rPr>
                <w:rFonts w:ascii="Consolas" w:hAnsi="Consolas"/>
                <w:color w:val="1F3535"/>
                <w:sz w:val="18"/>
              </w:rPr>
              <w:t xml:space="preserve">    p = argparse.ArgumentParser(description="SFT fine-tune on ASC 606 data")</w:t>
            </w:r>
          </w:p>
          <w:p>
            <w:pPr>
              <w:spacing w:line="240" w:lineRule="auto" w:after="0"/>
              <w:ind w:left="0"/>
            </w:pPr>
            <w:r>
              <w:rPr>
                <w:rFonts w:ascii="Consolas" w:hAnsi="Consolas"/>
                <w:color w:val="1F3535"/>
                <w:sz w:val="18"/>
              </w:rPr>
              <w:t xml:space="preserve">    p.add_argument("--model", required=True, help="HF base model id")</w:t>
            </w:r>
          </w:p>
          <w:p>
            <w:pPr>
              <w:spacing w:line="240" w:lineRule="auto" w:after="0"/>
              <w:ind w:left="0"/>
            </w:pPr>
            <w:r>
              <w:rPr>
                <w:rFonts w:ascii="Consolas" w:hAnsi="Consolas"/>
                <w:color w:val="1F3535"/>
                <w:sz w:val="18"/>
              </w:rPr>
              <w:t xml:space="preserve">    p.add_argument("--train-file", required=True)</w:t>
            </w:r>
          </w:p>
          <w:p>
            <w:pPr>
              <w:spacing w:line="240" w:lineRule="auto" w:after="0"/>
              <w:ind w:left="0"/>
            </w:pPr>
            <w:r>
              <w:rPr>
                <w:rFonts w:ascii="Consolas" w:hAnsi="Consolas"/>
                <w:color w:val="1F3535"/>
                <w:sz w:val="18"/>
              </w:rPr>
              <w:t xml:space="preserve">    p.add_argument("--val-file", required=True)</w:t>
            </w:r>
          </w:p>
          <w:p>
            <w:pPr>
              <w:spacing w:line="240" w:lineRule="auto" w:after="0"/>
              <w:ind w:left="0"/>
            </w:pPr>
            <w:r>
              <w:rPr>
                <w:rFonts w:ascii="Consolas" w:hAnsi="Consolas"/>
                <w:color w:val="1F3535"/>
                <w:sz w:val="18"/>
              </w:rPr>
              <w:t xml:space="preserve">    p.add_argument("--out-dir", required=True)</w:t>
            </w:r>
          </w:p>
          <w:p>
            <w:pPr>
              <w:spacing w:line="240" w:lineRule="auto" w:after="0"/>
              <w:ind w:left="0"/>
            </w:pPr>
            <w:r>
              <w:rPr>
                <w:rFonts w:ascii="Consolas" w:hAnsi="Consolas"/>
                <w:color w:val="1F3535"/>
                <w:sz w:val="18"/>
              </w:rPr>
              <w:t xml:space="preserve">    p.add_argument("--lora", action="store_true", help="Use LoRA")</w:t>
            </w:r>
          </w:p>
          <w:p>
            <w:pPr>
              <w:spacing w:line="240" w:lineRule="auto" w:after="0"/>
              <w:ind w:left="0"/>
            </w:pPr>
            <w:r>
              <w:rPr>
                <w:rFonts w:ascii="Consolas" w:hAnsi="Consolas"/>
                <w:color w:val="1F3535"/>
                <w:sz w:val="18"/>
              </w:rPr>
              <w:t xml:space="preserve">    p.add_argument("--qlora", action="store_true", help="Use QLoRA (4-bit)")</w:t>
            </w:r>
          </w:p>
          <w:p>
            <w:pPr>
              <w:spacing w:line="240" w:lineRule="auto" w:after="0"/>
              <w:ind w:left="0"/>
            </w:pPr>
            <w:r>
              <w:rPr>
                <w:rFonts w:ascii="Consolas" w:hAnsi="Consolas"/>
                <w:color w:val="1F3535"/>
                <w:sz w:val="18"/>
              </w:rPr>
              <w:t xml:space="preserve">    p.add_argument("--epochs", type=int, default=3)</w:t>
            </w:r>
          </w:p>
          <w:p>
            <w:pPr>
              <w:spacing w:line="240" w:lineRule="auto" w:after="0"/>
              <w:ind w:left="0"/>
            </w:pPr>
            <w:r>
              <w:rPr>
                <w:rFonts w:ascii="Consolas" w:hAnsi="Consolas"/>
                <w:color w:val="1F3535"/>
                <w:sz w:val="18"/>
              </w:rPr>
              <w:t xml:space="preserve">    p.add_argument("--batch-size", type=int, default=4)</w:t>
            </w:r>
          </w:p>
          <w:p>
            <w:pPr>
              <w:spacing w:line="240" w:lineRule="auto" w:after="0"/>
              <w:ind w:left="0"/>
            </w:pPr>
            <w:r>
              <w:rPr>
                <w:rFonts w:ascii="Consolas" w:hAnsi="Consolas"/>
                <w:color w:val="1F3535"/>
                <w:sz w:val="18"/>
              </w:rPr>
              <w:t xml:space="preserve">    p.add_argument("--grad-accum", type=int, default=4)</w:t>
            </w:r>
          </w:p>
          <w:p>
            <w:pPr>
              <w:spacing w:line="240" w:lineRule="auto" w:after="0"/>
              <w:ind w:left="0"/>
            </w:pPr>
            <w:r>
              <w:rPr>
                <w:rFonts w:ascii="Consolas" w:hAnsi="Consolas"/>
                <w:color w:val="1F3535"/>
                <w:sz w:val="18"/>
              </w:rPr>
              <w:t xml:space="preserve">    p.add_argument("--lr", type=float, default=2e-4)</w:t>
            </w:r>
          </w:p>
          <w:p>
            <w:pPr>
              <w:spacing w:line="240" w:lineRule="auto" w:after="0"/>
              <w:ind w:left="0"/>
            </w:pPr>
            <w:r>
              <w:rPr>
                <w:rFonts w:ascii="Consolas" w:hAnsi="Consolas"/>
                <w:color w:val="1F3535"/>
                <w:sz w:val="18"/>
              </w:rPr>
              <w:t xml:space="preserve">    p.add_argument("--max-seq-length", type=int, default=4096)</w:t>
            </w:r>
          </w:p>
          <w:p>
            <w:pPr>
              <w:spacing w:line="240" w:lineRule="auto" w:after="0"/>
              <w:ind w:left="0"/>
            </w:pPr>
            <w:r>
              <w:rPr>
                <w:rFonts w:ascii="Consolas" w:hAnsi="Consolas"/>
                <w:color w:val="1F3535"/>
                <w:sz w:val="18"/>
              </w:rPr>
              <w:t xml:space="preserve">    p.add_argument("--bf16", action="store_true", default=True)</w:t>
            </w:r>
          </w:p>
          <w:p>
            <w:pPr>
              <w:spacing w:line="240" w:lineRule="auto" w:after="0"/>
              <w:ind w:left="0"/>
            </w:pPr>
            <w:r>
              <w:rPr>
                <w:rFonts w:ascii="Consolas" w:hAnsi="Consolas"/>
                <w:color w:val="1F3535"/>
                <w:sz w:val="18"/>
              </w:rPr>
              <w:t xml:space="preserve">    p.add_argument("--seed", type=int, default=42)</w:t>
            </w:r>
          </w:p>
          <w:p>
            <w:pPr>
              <w:spacing w:line="240" w:lineRule="auto" w:after="0"/>
              <w:ind w:left="0"/>
            </w:pPr>
            <w:r>
              <w:rPr>
                <w:rFonts w:ascii="Consolas" w:hAnsi="Consolas"/>
                <w:color w:val="1F3535"/>
                <w:sz w:val="18"/>
              </w:rPr>
              <w:t xml:space="preserve">    args = p.parse_args()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try:</w:t>
            </w:r>
          </w:p>
          <w:p>
            <w:pPr>
              <w:spacing w:line="240" w:lineRule="auto" w:after="0"/>
              <w:ind w:left="0"/>
            </w:pPr>
            <w:r>
              <w:rPr>
                <w:rFonts w:ascii="Consolas" w:hAnsi="Consolas"/>
                <w:color w:val="1F3535"/>
                <w:sz w:val="18"/>
              </w:rPr>
              <w:t xml:space="preserve">        import torch</w:t>
            </w:r>
          </w:p>
          <w:p>
            <w:pPr>
              <w:spacing w:line="240" w:lineRule="auto" w:after="0"/>
              <w:ind w:left="0"/>
            </w:pPr>
            <w:r>
              <w:rPr>
                <w:rFonts w:ascii="Consolas" w:hAnsi="Consolas"/>
                <w:color w:val="1F3535"/>
                <w:sz w:val="18"/>
              </w:rPr>
              <w:t xml:space="preserve">        from datasets import Dataset</w:t>
            </w:r>
          </w:p>
          <w:p>
            <w:pPr>
              <w:spacing w:line="240" w:lineRule="auto" w:after="0"/>
              <w:ind w:left="0"/>
            </w:pPr>
            <w:r>
              <w:rPr>
                <w:rFonts w:ascii="Consolas" w:hAnsi="Consolas"/>
                <w:color w:val="1F3535"/>
                <w:sz w:val="18"/>
              </w:rPr>
              <w:t xml:space="preserve">        from transformers import (</w:t>
            </w:r>
          </w:p>
          <w:p>
            <w:pPr>
              <w:spacing w:line="240" w:lineRule="auto" w:after="0"/>
              <w:ind w:left="0"/>
            </w:pPr>
            <w:r>
              <w:rPr>
                <w:rFonts w:ascii="Consolas" w:hAnsi="Consolas"/>
                <w:color w:val="1F3535"/>
                <w:sz w:val="18"/>
              </w:rPr>
              <w:t xml:space="preserve">            AutoModelForCausalLM,</w:t>
            </w:r>
          </w:p>
          <w:p>
            <w:pPr>
              <w:spacing w:line="240" w:lineRule="auto" w:after="0"/>
              <w:ind w:left="0"/>
            </w:pPr>
            <w:r>
              <w:rPr>
                <w:rFonts w:ascii="Consolas" w:hAnsi="Consolas"/>
                <w:color w:val="1F3535"/>
                <w:sz w:val="18"/>
              </w:rPr>
              <w:t xml:space="preserve">            AutoTokenizer,</w:t>
            </w:r>
          </w:p>
          <w:p>
            <w:pPr>
              <w:spacing w:line="240" w:lineRule="auto" w:after="0"/>
              <w:ind w:left="0"/>
            </w:pPr>
            <w:r>
              <w:rPr>
                <w:rFonts w:ascii="Consolas" w:hAnsi="Consolas"/>
                <w:color w:val="1F3535"/>
                <w:sz w:val="18"/>
              </w:rPr>
              <w:t xml:space="preserve">            BitsAndBytesConfig,</w:t>
            </w:r>
          </w:p>
          <w:p>
            <w:pPr>
              <w:spacing w:line="240" w:lineRule="auto" w:after="0"/>
              <w:ind w:left="0"/>
            </w:pPr>
            <w:r>
              <w:rPr>
                <w:rFonts w:ascii="Consolas" w:hAnsi="Consolas"/>
                <w:color w:val="1F3535"/>
                <w:sz w:val="18"/>
              </w:rPr>
              <w:t xml:space="preserve">            TrainingArguments,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from peft import LoraConfig, get_peft_model, prepare_model_for_kbit_training</w:t>
            </w:r>
          </w:p>
          <w:p>
            <w:pPr>
              <w:spacing w:line="240" w:lineRule="auto" w:after="0"/>
              <w:ind w:left="0"/>
            </w:pPr>
            <w:r>
              <w:rPr>
                <w:rFonts w:ascii="Consolas" w:hAnsi="Consolas"/>
                <w:color w:val="1F3535"/>
                <w:sz w:val="18"/>
              </w:rPr>
              <w:t xml:space="preserve">        from trl import SFTTrainer, DataCollatorForCompletionOnlyLM</w:t>
            </w:r>
          </w:p>
          <w:p>
            <w:pPr>
              <w:spacing w:line="240" w:lineRule="auto" w:after="0"/>
              <w:ind w:left="0"/>
            </w:pPr>
            <w:r>
              <w:rPr>
                <w:rFonts w:ascii="Consolas" w:hAnsi="Consolas"/>
                <w:color w:val="1F3535"/>
                <w:sz w:val="18"/>
              </w:rPr>
              <w:t xml:space="preserve">    except ImportError as e:</w:t>
            </w:r>
          </w:p>
          <w:p>
            <w:pPr>
              <w:spacing w:line="240" w:lineRule="auto" w:after="0"/>
              <w:ind w:left="0"/>
            </w:pPr>
            <w:r>
              <w:rPr>
                <w:rFonts w:ascii="Consolas" w:hAnsi="Consolas"/>
                <w:color w:val="1F3535"/>
                <w:sz w:val="18"/>
              </w:rPr>
              <w:t xml:space="preserve">        print(f"[ERROR] missing training dependencies: {e}")</w:t>
            </w:r>
          </w:p>
          <w:p>
            <w:pPr>
              <w:spacing w:line="240" w:lineRule="auto" w:after="0"/>
              <w:ind w:left="0"/>
            </w:pPr>
            <w:r>
              <w:rPr>
                <w:rFonts w:ascii="Consolas" w:hAnsi="Consolas"/>
                <w:color w:val="1F3535"/>
                <w:sz w:val="18"/>
              </w:rPr>
              <w:t xml:space="preserve">        print("        pip install -e .[train]")</w:t>
            </w:r>
          </w:p>
          <w:p>
            <w:pPr>
              <w:spacing w:line="240" w:lineRule="auto" w:after="0"/>
              <w:ind w:left="0"/>
            </w:pPr>
            <w:r>
              <w:rPr>
                <w:rFonts w:ascii="Consolas" w:hAnsi="Consolas"/>
                <w:color w:val="1F3535"/>
                <w:sz w:val="18"/>
              </w:rPr>
              <w:t xml:space="preserve">        return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print(f"[1/6] Loading tokenizer &amp; model: {args.model}")</w:t>
            </w:r>
          </w:p>
          <w:p>
            <w:pPr>
              <w:spacing w:line="240" w:lineRule="auto" w:after="0"/>
              <w:ind w:left="0"/>
            </w:pPr>
            <w:r>
              <w:rPr>
                <w:rFonts w:ascii="Consolas" w:hAnsi="Consolas"/>
                <w:color w:val="1F3535"/>
                <w:sz w:val="18"/>
              </w:rPr>
              <w:t xml:space="preserve">    tokenizer = AutoTokenizer.from_pretrained(args.model, trust_remote_code=True)</w:t>
            </w:r>
          </w:p>
          <w:p>
            <w:pPr>
              <w:spacing w:line="240" w:lineRule="auto" w:after="0"/>
              <w:ind w:left="0"/>
            </w:pPr>
            <w:r>
              <w:rPr>
                <w:rFonts w:ascii="Consolas" w:hAnsi="Consolas"/>
                <w:color w:val="1F3535"/>
                <w:sz w:val="18"/>
              </w:rPr>
              <w:t xml:space="preserve">    if tokenizer.pad_token_id is None:</w:t>
            </w:r>
          </w:p>
          <w:p>
            <w:pPr>
              <w:spacing w:line="240" w:lineRule="auto" w:after="0"/>
              <w:ind w:left="0"/>
            </w:pPr>
            <w:r>
              <w:rPr>
                <w:rFonts w:ascii="Consolas" w:hAnsi="Consolas"/>
                <w:color w:val="1F3535"/>
                <w:sz w:val="18"/>
              </w:rPr>
              <w:t xml:space="preserve">        tokenizer.pad_token_id = tokenizer.eos_token_id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bnb_config = None</w:t>
            </w:r>
          </w:p>
          <w:p>
            <w:pPr>
              <w:spacing w:line="240" w:lineRule="auto" w:after="0"/>
              <w:ind w:left="0"/>
            </w:pPr>
            <w:r>
              <w:rPr>
                <w:rFonts w:ascii="Consolas" w:hAnsi="Consolas"/>
                <w:color w:val="1F3535"/>
                <w:sz w:val="18"/>
              </w:rPr>
              <w:t xml:space="preserve">    if args.qlora:</w:t>
            </w:r>
          </w:p>
          <w:p>
            <w:pPr>
              <w:spacing w:line="240" w:lineRule="auto" w:after="0"/>
              <w:ind w:left="0"/>
            </w:pPr>
            <w:r>
              <w:rPr>
                <w:rFonts w:ascii="Consolas" w:hAnsi="Consolas"/>
                <w:color w:val="1F3535"/>
                <w:sz w:val="18"/>
              </w:rPr>
              <w:t xml:space="preserve">        bnb_config = BitsAndBytesConfig(</w:t>
            </w:r>
          </w:p>
          <w:p>
            <w:pPr>
              <w:spacing w:line="240" w:lineRule="auto" w:after="0"/>
              <w:ind w:left="0"/>
            </w:pPr>
            <w:r>
              <w:rPr>
                <w:rFonts w:ascii="Consolas" w:hAnsi="Consolas"/>
                <w:color w:val="1F3535"/>
                <w:sz w:val="18"/>
              </w:rPr>
              <w:t xml:space="preserve">            load_in_4bit=True,</w:t>
            </w:r>
          </w:p>
          <w:p>
            <w:pPr>
              <w:spacing w:line="240" w:lineRule="auto" w:after="0"/>
              <w:ind w:left="0"/>
            </w:pPr>
            <w:r>
              <w:rPr>
                <w:rFonts w:ascii="Consolas" w:hAnsi="Consolas"/>
                <w:color w:val="1F3535"/>
                <w:sz w:val="18"/>
              </w:rPr>
              <w:t xml:space="preserve">            bnb_4bit_compute_dtype=torch.bfloat16,</w:t>
            </w:r>
          </w:p>
          <w:p>
            <w:pPr>
              <w:spacing w:line="240" w:lineRule="auto" w:after="0"/>
              <w:ind w:left="0"/>
            </w:pPr>
            <w:r>
              <w:rPr>
                <w:rFonts w:ascii="Consolas" w:hAnsi="Consolas"/>
                <w:color w:val="1F3535"/>
                <w:sz w:val="18"/>
              </w:rPr>
              <w:t xml:space="preserve">            bnb_4bit_quant_type="nf4",</w:t>
            </w:r>
          </w:p>
          <w:p>
            <w:pPr>
              <w:spacing w:line="240" w:lineRule="auto" w:after="0"/>
              <w:ind w:left="0"/>
            </w:pPr>
            <w:r>
              <w:rPr>
                <w:rFonts w:ascii="Consolas" w:hAnsi="Consolas"/>
                <w:color w:val="1F3535"/>
                <w:sz w:val="18"/>
              </w:rPr>
              <w:t xml:space="preserve">            bnb_4bit_use_double_quant=True,</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model = AutoModelForCausalLM.from_pretrained(</w:t>
            </w:r>
          </w:p>
          <w:p>
            <w:pPr>
              <w:spacing w:line="240" w:lineRule="auto" w:after="0"/>
              <w:ind w:left="0"/>
            </w:pPr>
            <w:r>
              <w:rPr>
                <w:rFonts w:ascii="Consolas" w:hAnsi="Consolas"/>
                <w:color w:val="1F3535"/>
                <w:sz w:val="18"/>
              </w:rPr>
              <w:t xml:space="preserve">        args.model,</w:t>
            </w:r>
          </w:p>
          <w:p>
            <w:pPr>
              <w:spacing w:line="240" w:lineRule="auto" w:after="0"/>
              <w:ind w:left="0"/>
            </w:pPr>
            <w:r>
              <w:rPr>
                <w:rFonts w:ascii="Consolas" w:hAnsi="Consolas"/>
                <w:color w:val="1F3535"/>
                <w:sz w:val="18"/>
              </w:rPr>
              <w:t xml:space="preserve">        trust_remote_code=True,</w:t>
            </w:r>
          </w:p>
          <w:p>
            <w:pPr>
              <w:spacing w:line="240" w:lineRule="auto" w:after="0"/>
              <w:ind w:left="0"/>
            </w:pPr>
            <w:r>
              <w:rPr>
                <w:rFonts w:ascii="Consolas" w:hAnsi="Consolas"/>
                <w:color w:val="1F3535"/>
                <w:sz w:val="18"/>
              </w:rPr>
              <w:t xml:space="preserve">        quantization_config=bnb_config,</w:t>
            </w:r>
          </w:p>
          <w:p>
            <w:pPr>
              <w:spacing w:line="240" w:lineRule="auto" w:after="0"/>
              <w:ind w:left="0"/>
            </w:pPr>
            <w:r>
              <w:rPr>
                <w:rFonts w:ascii="Consolas" w:hAnsi="Consolas"/>
                <w:color w:val="1F3535"/>
                <w:sz w:val="18"/>
              </w:rPr>
              <w:t xml:space="preserve">        device_map="auto",</w:t>
            </w:r>
          </w:p>
          <w:p>
            <w:pPr>
              <w:spacing w:line="240" w:lineRule="auto" w:after="0"/>
              <w:ind w:left="0"/>
            </w:pPr>
            <w:r>
              <w:rPr>
                <w:rFonts w:ascii="Consolas" w:hAnsi="Consolas"/>
                <w:color w:val="1F3535"/>
                <w:sz w:val="18"/>
              </w:rPr>
              <w:t xml:space="preserve">        torch_dtype=torch.bfloat16 if args.bf16 else torch.float16,</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if args.lora or args.qlora:</w:t>
            </w:r>
          </w:p>
          <w:p>
            <w:pPr>
              <w:spacing w:line="240" w:lineRule="auto" w:after="0"/>
              <w:ind w:left="0"/>
            </w:pPr>
            <w:r>
              <w:rPr>
                <w:rFonts w:ascii="Consolas" w:hAnsi="Consolas"/>
                <w:color w:val="1F3535"/>
                <w:sz w:val="18"/>
              </w:rPr>
              <w:t xml:space="preserve">        model = prepare_model_for_kbit_training(model)</w:t>
            </w:r>
          </w:p>
          <w:p>
            <w:pPr>
              <w:spacing w:line="240" w:lineRule="auto" w:after="0"/>
              <w:ind w:left="0"/>
            </w:pPr>
            <w:r>
              <w:rPr>
                <w:rFonts w:ascii="Consolas" w:hAnsi="Consolas"/>
                <w:color w:val="1F3535"/>
                <w:sz w:val="18"/>
              </w:rPr>
              <w:t xml:space="preserve">        lora_cfg = LoraConfig(</w:t>
            </w:r>
          </w:p>
          <w:p>
            <w:pPr>
              <w:spacing w:line="240" w:lineRule="auto" w:after="0"/>
              <w:ind w:left="0"/>
            </w:pPr>
            <w:r>
              <w:rPr>
                <w:rFonts w:ascii="Consolas" w:hAnsi="Consolas"/>
                <w:color w:val="1F3535"/>
                <w:sz w:val="18"/>
              </w:rPr>
              <w:t xml:space="preserve">            r=16, lora_alpha=32, lora_dropout=0.05, bias="none",</w:t>
            </w:r>
          </w:p>
          <w:p>
            <w:pPr>
              <w:spacing w:line="240" w:lineRule="auto" w:after="0"/>
              <w:ind w:left="0"/>
            </w:pPr>
            <w:r>
              <w:rPr>
                <w:rFonts w:ascii="Consolas" w:hAnsi="Consolas"/>
                <w:color w:val="1F3535"/>
                <w:sz w:val="18"/>
              </w:rPr>
              <w:t xml:space="preserve">            task_type="CAUSAL_LM",</w:t>
            </w:r>
          </w:p>
          <w:p>
            <w:pPr>
              <w:spacing w:line="240" w:lineRule="auto" w:after="0"/>
              <w:ind w:left="0"/>
            </w:pPr>
            <w:r>
              <w:rPr>
                <w:rFonts w:ascii="Consolas" w:hAnsi="Consolas"/>
                <w:color w:val="1F3535"/>
                <w:sz w:val="18"/>
              </w:rPr>
              <w:t xml:space="preserve">            target_modules=["q_proj", "k_proj", "v_proj", "o_proj",</w:t>
            </w:r>
          </w:p>
          <w:p>
            <w:pPr>
              <w:spacing w:line="240" w:lineRule="auto" w:after="0"/>
              <w:ind w:left="0"/>
            </w:pPr>
            <w:r>
              <w:rPr>
                <w:rFonts w:ascii="Consolas" w:hAnsi="Consolas"/>
                <w:color w:val="1F3535"/>
                <w:sz w:val="18"/>
              </w:rPr>
              <w:t xml:space="preserve">                            "gate_proj", "up_proj", "down_proj"],</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model = get_peft_model(model, lora_cfg)</w:t>
            </w:r>
          </w:p>
          <w:p>
            <w:pPr>
              <w:spacing w:line="240" w:lineRule="auto" w:after="0"/>
              <w:ind w:left="0"/>
            </w:pPr>
            <w:r>
              <w:rPr>
                <w:rFonts w:ascii="Consolas" w:hAnsi="Consolas"/>
                <w:color w:val="1F3535"/>
                <w:sz w:val="18"/>
              </w:rPr>
              <w:t xml:space="preserve">        model.print_trainable_parameters()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print("[2/6] Loading datasets")</w:t>
            </w:r>
          </w:p>
          <w:p>
            <w:pPr>
              <w:spacing w:line="240" w:lineRule="auto" w:after="0"/>
              <w:ind w:left="0"/>
            </w:pPr>
            <w:r>
              <w:rPr>
                <w:rFonts w:ascii="Consolas" w:hAnsi="Consolas"/>
                <w:color w:val="1F3535"/>
                <w:sz w:val="18"/>
              </w:rPr>
              <w:t xml:space="preserve">    train_raw = _load_jsonl(args.train_file)</w:t>
            </w:r>
          </w:p>
          <w:p>
            <w:pPr>
              <w:spacing w:line="240" w:lineRule="auto" w:after="0"/>
              <w:ind w:left="0"/>
            </w:pPr>
            <w:r>
              <w:rPr>
                <w:rFonts w:ascii="Consolas" w:hAnsi="Consolas"/>
                <w:color w:val="1F3535"/>
                <w:sz w:val="18"/>
              </w:rPr>
              <w:t xml:space="preserve">    val_raw = _load_jsonl(args.val_file)</w:t>
            </w:r>
          </w:p>
          <w:p>
            <w:pPr>
              <w:spacing w:line="240" w:lineRule="auto" w:after="0"/>
              <w:ind w:left="0"/>
            </w:pPr>
            <w:r>
              <w:rPr>
                <w:rFonts w:ascii="Consolas" w:hAnsi="Consolas"/>
                <w:color w:val="1F3535"/>
                <w:sz w:val="18"/>
              </w:rPr>
              <w:t xml:space="preserve">    print(f"  train records: {len(train_raw)}")</w:t>
            </w:r>
          </w:p>
          <w:p>
            <w:pPr>
              <w:spacing w:line="240" w:lineRule="auto" w:after="0"/>
              <w:ind w:left="0"/>
            </w:pPr>
            <w:r>
              <w:rPr>
                <w:rFonts w:ascii="Consolas" w:hAnsi="Consolas"/>
                <w:color w:val="1F3535"/>
                <w:sz w:val="18"/>
              </w:rPr>
              <w:t xml:space="preserve">    print(f"  val   records: {len(val_raw)}")</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def _format(messages):</w:t>
            </w:r>
          </w:p>
          <w:p>
            <w:pPr>
              <w:spacing w:line="240" w:lineRule="auto" w:after="0"/>
              <w:ind w:left="0"/>
            </w:pPr>
            <w:r>
              <w:rPr>
                <w:rFonts w:ascii="Consolas" w:hAnsi="Consolas"/>
                <w:color w:val="1F3535"/>
                <w:sz w:val="18"/>
              </w:rPr>
              <w:t xml:space="preserve">        # Mistral / Llama-3 style chat template (model-specific in production)</w:t>
            </w:r>
          </w:p>
          <w:p>
            <w:pPr>
              <w:spacing w:line="240" w:lineRule="auto" w:after="0"/>
              <w:ind w:left="0"/>
            </w:pPr>
            <w:r>
              <w:rPr>
                <w:rFonts w:ascii="Consolas" w:hAnsi="Consolas"/>
                <w:color w:val="1F3535"/>
                <w:sz w:val="18"/>
              </w:rPr>
              <w:t xml:space="preserve">        text = ""</w:t>
            </w:r>
          </w:p>
          <w:p>
            <w:pPr>
              <w:spacing w:line="240" w:lineRule="auto" w:after="0"/>
              <w:ind w:left="0"/>
            </w:pPr>
            <w:r>
              <w:rPr>
                <w:rFonts w:ascii="Consolas" w:hAnsi="Consolas"/>
                <w:color w:val="1F3535"/>
                <w:sz w:val="18"/>
              </w:rPr>
              <w:t xml:space="preserve">        for m in messages:</w:t>
            </w:r>
          </w:p>
          <w:p>
            <w:pPr>
              <w:spacing w:line="240" w:lineRule="auto" w:after="0"/>
              <w:ind w:left="0"/>
            </w:pPr>
            <w:r>
              <w:rPr>
                <w:rFonts w:ascii="Consolas" w:hAnsi="Consolas"/>
                <w:color w:val="1F3535"/>
                <w:sz w:val="18"/>
              </w:rPr>
              <w:t xml:space="preserve">            text += f"&lt;|im_start|&gt;{m['role']}\n{m['content']}&lt;|im_end|&gt;\n"</w:t>
            </w:r>
          </w:p>
          <w:p>
            <w:pPr>
              <w:spacing w:line="240" w:lineRule="auto" w:after="0"/>
              <w:ind w:left="0"/>
            </w:pPr>
            <w:r>
              <w:rPr>
                <w:rFonts w:ascii="Consolas" w:hAnsi="Consolas"/>
                <w:color w:val="1F3535"/>
                <w:sz w:val="18"/>
              </w:rPr>
              <w:t xml:space="preserve">        return text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train_ds = Dataset.from_list([{"text": _format(r["messages"])} for r in train_raw])</w:t>
            </w:r>
          </w:p>
          <w:p>
            <w:pPr>
              <w:spacing w:line="240" w:lineRule="auto" w:after="0"/>
              <w:ind w:left="0"/>
            </w:pPr>
            <w:r>
              <w:rPr>
                <w:rFonts w:ascii="Consolas" w:hAnsi="Consolas"/>
                <w:color w:val="1F3535"/>
                <w:sz w:val="18"/>
              </w:rPr>
              <w:t xml:space="preserve">    val_ds   = Dataset.from_list([{"text": _format(r["messages"])} for r in val_raw])</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print("[3/6] Tokenizing")</w:t>
            </w:r>
          </w:p>
          <w:p>
            <w:pPr>
              <w:spacing w:line="240" w:lineRule="auto" w:after="0"/>
              <w:ind w:left="0"/>
            </w:pPr>
            <w:r>
              <w:rPr>
                <w:rFonts w:ascii="Consolas" w:hAnsi="Consolas"/>
                <w:color w:val="1F3535"/>
                <w:sz w:val="18"/>
              </w:rPr>
              <w:t xml:space="preserve">    def _tok(ex):</w:t>
            </w:r>
          </w:p>
          <w:p>
            <w:pPr>
              <w:spacing w:line="240" w:lineRule="auto" w:after="0"/>
              <w:ind w:left="0"/>
            </w:pPr>
            <w:r>
              <w:rPr>
                <w:rFonts w:ascii="Consolas" w:hAnsi="Consolas"/>
                <w:color w:val="1F3535"/>
                <w:sz w:val="18"/>
              </w:rPr>
              <w:t xml:space="preserve">        return tokenizer(ex["text"], truncation=True,</w:t>
            </w:r>
          </w:p>
          <w:p>
            <w:pPr>
              <w:spacing w:line="240" w:lineRule="auto" w:after="0"/>
              <w:ind w:left="0"/>
            </w:pPr>
            <w:r>
              <w:rPr>
                <w:rFonts w:ascii="Consolas" w:hAnsi="Consolas"/>
                <w:color w:val="1F3535"/>
                <w:sz w:val="18"/>
              </w:rPr>
              <w:t xml:space="preserve">                        max_length=args.max_seq_length)</w:t>
            </w:r>
          </w:p>
          <w:p>
            <w:pPr>
              <w:spacing w:line="240" w:lineRule="auto" w:after="0"/>
              <w:ind w:left="0"/>
            </w:pPr>
            <w:r>
              <w:rPr>
                <w:rFonts w:ascii="Consolas" w:hAnsi="Consolas"/>
                <w:color w:val="1F3535"/>
                <w:sz w:val="18"/>
              </w:rPr>
              <w:t xml:space="preserve">    train_ds = train_ds.map(_tok, batched=True, remove_columns=["text"])</w:t>
            </w:r>
          </w:p>
          <w:p>
            <w:pPr>
              <w:spacing w:line="240" w:lineRule="auto" w:after="0"/>
              <w:ind w:left="0"/>
            </w:pPr>
            <w:r>
              <w:rPr>
                <w:rFonts w:ascii="Consolas" w:hAnsi="Consolas"/>
                <w:color w:val="1F3535"/>
                <w:sz w:val="18"/>
              </w:rPr>
              <w:t xml:space="preserve">    val_ds   = val_ds.map(_tok, batched=True, remove_columns=["text"])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print("[4/6] TrainingArguments")</w:t>
            </w:r>
          </w:p>
          <w:p>
            <w:pPr>
              <w:spacing w:line="240" w:lineRule="auto" w:after="0"/>
              <w:ind w:left="0"/>
            </w:pPr>
            <w:r>
              <w:rPr>
                <w:rFonts w:ascii="Consolas" w:hAnsi="Consolas"/>
                <w:color w:val="1F3535"/>
                <w:sz w:val="18"/>
              </w:rPr>
              <w:t xml:space="preserve">    targs = TrainingArguments(</w:t>
            </w:r>
          </w:p>
          <w:p>
            <w:pPr>
              <w:spacing w:line="240" w:lineRule="auto" w:after="0"/>
              <w:ind w:left="0"/>
            </w:pPr>
            <w:r>
              <w:rPr>
                <w:rFonts w:ascii="Consolas" w:hAnsi="Consolas"/>
                <w:color w:val="1F3535"/>
                <w:sz w:val="18"/>
              </w:rPr>
              <w:t xml:space="preserve">        output_dir=args.out_dir,</w:t>
            </w:r>
          </w:p>
          <w:p>
            <w:pPr>
              <w:spacing w:line="240" w:lineRule="auto" w:after="0"/>
              <w:ind w:left="0"/>
            </w:pPr>
            <w:r>
              <w:rPr>
                <w:rFonts w:ascii="Consolas" w:hAnsi="Consolas"/>
                <w:color w:val="1F3535"/>
                <w:sz w:val="18"/>
              </w:rPr>
              <w:t xml:space="preserve">        num_train_epochs=args.epochs,</w:t>
            </w:r>
          </w:p>
          <w:p>
            <w:pPr>
              <w:spacing w:line="240" w:lineRule="auto" w:after="0"/>
              <w:ind w:left="0"/>
            </w:pPr>
            <w:r>
              <w:rPr>
                <w:rFonts w:ascii="Consolas" w:hAnsi="Consolas"/>
                <w:color w:val="1F3535"/>
                <w:sz w:val="18"/>
              </w:rPr>
              <w:t xml:space="preserve">        per_device_train_batch_size=args.batch_size,</w:t>
            </w:r>
          </w:p>
          <w:p>
            <w:pPr>
              <w:spacing w:line="240" w:lineRule="auto" w:after="0"/>
              <w:ind w:left="0"/>
            </w:pPr>
            <w:r>
              <w:rPr>
                <w:rFonts w:ascii="Consolas" w:hAnsi="Consolas"/>
                <w:color w:val="1F3535"/>
                <w:sz w:val="18"/>
              </w:rPr>
              <w:t xml:space="preserve">        per_device_eval_batch_size=args.batch_size,</w:t>
            </w:r>
          </w:p>
          <w:p>
            <w:pPr>
              <w:spacing w:line="240" w:lineRule="auto" w:after="0"/>
              <w:ind w:left="0"/>
            </w:pPr>
            <w:r>
              <w:rPr>
                <w:rFonts w:ascii="Consolas" w:hAnsi="Consolas"/>
                <w:color w:val="1F3535"/>
                <w:sz w:val="18"/>
              </w:rPr>
              <w:t xml:space="preserve">        gradient_accumulation_steps=args.grad_accum,</w:t>
            </w:r>
          </w:p>
          <w:p>
            <w:pPr>
              <w:spacing w:line="240" w:lineRule="auto" w:after="0"/>
              <w:ind w:left="0"/>
            </w:pPr>
            <w:r>
              <w:rPr>
                <w:rFonts w:ascii="Consolas" w:hAnsi="Consolas"/>
                <w:color w:val="1F3535"/>
                <w:sz w:val="18"/>
              </w:rPr>
              <w:t xml:space="preserve">        learning_rate=args.lr,</w:t>
            </w:r>
          </w:p>
          <w:p>
            <w:pPr>
              <w:spacing w:line="240" w:lineRule="auto" w:after="0"/>
              <w:ind w:left="0"/>
            </w:pPr>
            <w:r>
              <w:rPr>
                <w:rFonts w:ascii="Consolas" w:hAnsi="Consolas"/>
                <w:color w:val="1F3535"/>
                <w:sz w:val="18"/>
              </w:rPr>
              <w:t xml:space="preserve">        lr_scheduler_type="cosine",</w:t>
            </w:r>
          </w:p>
          <w:p>
            <w:pPr>
              <w:spacing w:line="240" w:lineRule="auto" w:after="0"/>
              <w:ind w:left="0"/>
            </w:pPr>
            <w:r>
              <w:rPr>
                <w:rFonts w:ascii="Consolas" w:hAnsi="Consolas"/>
                <w:color w:val="1F3535"/>
                <w:sz w:val="18"/>
              </w:rPr>
              <w:t xml:space="preserve">        warmup_ratio=0.03,</w:t>
            </w:r>
          </w:p>
          <w:p>
            <w:pPr>
              <w:spacing w:line="240" w:lineRule="auto" w:after="0"/>
              <w:ind w:left="0"/>
            </w:pPr>
            <w:r>
              <w:rPr>
                <w:rFonts w:ascii="Consolas" w:hAnsi="Consolas"/>
                <w:color w:val="1F3535"/>
                <w:sz w:val="18"/>
              </w:rPr>
              <w:t xml:space="preserve">        weight_decay=0.0,</w:t>
            </w:r>
          </w:p>
          <w:p>
            <w:pPr>
              <w:spacing w:line="240" w:lineRule="auto" w:after="0"/>
              <w:ind w:left="0"/>
            </w:pPr>
            <w:r>
              <w:rPr>
                <w:rFonts w:ascii="Consolas" w:hAnsi="Consolas"/>
                <w:color w:val="1F3535"/>
                <w:sz w:val="18"/>
              </w:rPr>
              <w:t xml:space="preserve">        save_strategy="epoch",</w:t>
            </w:r>
          </w:p>
          <w:p>
            <w:pPr>
              <w:spacing w:line="240" w:lineRule="auto" w:after="0"/>
              <w:ind w:left="0"/>
            </w:pPr>
            <w:r>
              <w:rPr>
                <w:rFonts w:ascii="Consolas" w:hAnsi="Consolas"/>
                <w:color w:val="1F3535"/>
                <w:sz w:val="18"/>
              </w:rPr>
              <w:t xml:space="preserve">        save_total_limit=3,</w:t>
            </w:r>
          </w:p>
          <w:p>
            <w:pPr>
              <w:spacing w:line="240" w:lineRule="auto" w:after="0"/>
              <w:ind w:left="0"/>
            </w:pPr>
            <w:r>
              <w:rPr>
                <w:rFonts w:ascii="Consolas" w:hAnsi="Consolas"/>
                <w:color w:val="1F3535"/>
                <w:sz w:val="18"/>
              </w:rPr>
              <w:t xml:space="preserve">        evaluation_strategy="epoch",</w:t>
            </w:r>
          </w:p>
          <w:p>
            <w:pPr>
              <w:spacing w:line="240" w:lineRule="auto" w:after="0"/>
              <w:ind w:left="0"/>
            </w:pPr>
            <w:r>
              <w:rPr>
                <w:rFonts w:ascii="Consolas" w:hAnsi="Consolas"/>
                <w:color w:val="1F3535"/>
                <w:sz w:val="18"/>
              </w:rPr>
              <w:t xml:space="preserve">        logging_steps=10,</w:t>
            </w:r>
          </w:p>
          <w:p>
            <w:pPr>
              <w:spacing w:line="240" w:lineRule="auto" w:after="0"/>
              <w:ind w:left="0"/>
            </w:pPr>
            <w:r>
              <w:rPr>
                <w:rFonts w:ascii="Consolas" w:hAnsi="Consolas"/>
                <w:color w:val="1F3535"/>
                <w:sz w:val="18"/>
              </w:rPr>
              <w:t xml:space="preserve">        bf16=args.bf16,</w:t>
            </w:r>
          </w:p>
          <w:p>
            <w:pPr>
              <w:spacing w:line="240" w:lineRule="auto" w:after="0"/>
              <w:ind w:left="0"/>
            </w:pPr>
            <w:r>
              <w:rPr>
                <w:rFonts w:ascii="Consolas" w:hAnsi="Consolas"/>
                <w:color w:val="1F3535"/>
                <w:sz w:val="18"/>
              </w:rPr>
              <w:t xml:space="preserve">        seed=args.seed,</w:t>
            </w:r>
          </w:p>
          <w:p>
            <w:pPr>
              <w:spacing w:line="240" w:lineRule="auto" w:after="0"/>
              <w:ind w:left="0"/>
            </w:pPr>
            <w:r>
              <w:rPr>
                <w:rFonts w:ascii="Consolas" w:hAnsi="Consolas"/>
                <w:color w:val="1F3535"/>
                <w:sz w:val="18"/>
              </w:rPr>
              <w:t xml:space="preserve">        report_to="tensorboard",</w:t>
            </w:r>
          </w:p>
          <w:p>
            <w:pPr>
              <w:spacing w:line="240" w:lineRule="auto" w:after="0"/>
              <w:ind w:left="0"/>
            </w:pPr>
            <w:r>
              <w:rPr>
                <w:rFonts w:ascii="Consolas" w:hAnsi="Consolas"/>
                <w:color w:val="1F3535"/>
                <w:sz w:val="18"/>
              </w:rPr>
              <w:t xml:space="preserve">        gradient_checkpointing=True,</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print("[5/6] Trainer setup")</w:t>
            </w:r>
          </w:p>
          <w:p>
            <w:pPr>
              <w:spacing w:line="240" w:lineRule="auto" w:after="0"/>
              <w:ind w:left="0"/>
            </w:pPr>
            <w:r>
              <w:rPr>
                <w:rFonts w:ascii="Consolas" w:hAnsi="Consolas"/>
                <w:color w:val="1F3535"/>
                <w:sz w:val="18"/>
              </w:rPr>
              <w:t xml:space="preserve">    trainer = SFTTrainer(</w:t>
            </w:r>
          </w:p>
          <w:p>
            <w:pPr>
              <w:spacing w:line="240" w:lineRule="auto" w:after="0"/>
              <w:ind w:left="0"/>
            </w:pPr>
            <w:r>
              <w:rPr>
                <w:rFonts w:ascii="Consolas" w:hAnsi="Consolas"/>
                <w:color w:val="1F3535"/>
                <w:sz w:val="18"/>
              </w:rPr>
              <w:t xml:space="preserve">        model=model,</w:t>
            </w:r>
          </w:p>
          <w:p>
            <w:pPr>
              <w:spacing w:line="240" w:lineRule="auto" w:after="0"/>
              <w:ind w:left="0"/>
            </w:pPr>
            <w:r>
              <w:rPr>
                <w:rFonts w:ascii="Consolas" w:hAnsi="Consolas"/>
                <w:color w:val="1F3535"/>
                <w:sz w:val="18"/>
              </w:rPr>
              <w:t xml:space="preserve">        args=targs,</w:t>
            </w:r>
          </w:p>
          <w:p>
            <w:pPr>
              <w:spacing w:line="240" w:lineRule="auto" w:after="0"/>
              <w:ind w:left="0"/>
            </w:pPr>
            <w:r>
              <w:rPr>
                <w:rFonts w:ascii="Consolas" w:hAnsi="Consolas"/>
                <w:color w:val="1F3535"/>
                <w:sz w:val="18"/>
              </w:rPr>
              <w:t xml:space="preserve">        train_dataset=train_ds,</w:t>
            </w:r>
          </w:p>
          <w:p>
            <w:pPr>
              <w:spacing w:line="240" w:lineRule="auto" w:after="0"/>
              <w:ind w:left="0"/>
            </w:pPr>
            <w:r>
              <w:rPr>
                <w:rFonts w:ascii="Consolas" w:hAnsi="Consolas"/>
                <w:color w:val="1F3535"/>
                <w:sz w:val="18"/>
              </w:rPr>
              <w:t xml:space="preserve">        eval_dataset=val_ds,</w:t>
            </w:r>
          </w:p>
          <w:p>
            <w:pPr>
              <w:spacing w:line="240" w:lineRule="auto" w:after="0"/>
              <w:ind w:left="0"/>
            </w:pPr>
            <w:r>
              <w:rPr>
                <w:rFonts w:ascii="Consolas" w:hAnsi="Consolas"/>
                <w:color w:val="1F3535"/>
                <w:sz w:val="18"/>
              </w:rPr>
              <w:t xml:space="preserve">        tokenizer=tokenizer,</w:t>
            </w:r>
          </w:p>
          <w:p>
            <w:pPr>
              <w:spacing w:line="240" w:lineRule="auto" w:after="0"/>
              <w:ind w:left="0"/>
            </w:pPr>
            <w:r>
              <w:rPr>
                <w:rFonts w:ascii="Consolas" w:hAnsi="Consolas"/>
                <w:color w:val="1F3535"/>
                <w:sz w:val="18"/>
              </w:rPr>
              <w:t xml:space="preserve">        max_seq_length=args.max_seq_length,</w:t>
            </w:r>
          </w:p>
          <w:p>
            <w:pPr>
              <w:spacing w:line="240" w:lineRule="auto" w:after="0"/>
              <w:ind w:left="0"/>
            </w:pPr>
            <w:r>
              <w:rPr>
                <w:rFonts w:ascii="Consolas" w:hAnsi="Consolas"/>
                <w:color w:val="1F3535"/>
                <w:sz w:val="18"/>
              </w:rPr>
              <w:t xml:space="preserve">        packing=True,</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print("[6/6] Training")</w:t>
            </w:r>
          </w:p>
          <w:p>
            <w:pPr>
              <w:spacing w:line="240" w:lineRule="auto" w:after="0"/>
              <w:ind w:left="0"/>
            </w:pPr>
            <w:r>
              <w:rPr>
                <w:rFonts w:ascii="Consolas" w:hAnsi="Consolas"/>
                <w:color w:val="1F3535"/>
                <w:sz w:val="18"/>
              </w:rPr>
              <w:t xml:space="preserve">    trainer.train()</w:t>
            </w:r>
          </w:p>
          <w:p>
            <w:pPr>
              <w:spacing w:line="240" w:lineRule="auto" w:after="0"/>
              <w:ind w:left="0"/>
            </w:pPr>
            <w:r>
              <w:rPr>
                <w:rFonts w:ascii="Consolas" w:hAnsi="Consolas"/>
                <w:color w:val="1F3535"/>
                <w:sz w:val="18"/>
              </w:rPr>
              <w:t xml:space="preserve">    trainer.save_model(args.out_dir)</w:t>
            </w:r>
          </w:p>
          <w:p>
            <w:pPr>
              <w:spacing w:line="240" w:lineRule="auto" w:after="0"/>
              <w:ind w:left="0"/>
            </w:pPr>
            <w:r>
              <w:rPr>
                <w:rFonts w:ascii="Consolas" w:hAnsi="Consolas"/>
                <w:color w:val="1F3535"/>
                <w:sz w:val="18"/>
              </w:rPr>
              <w:t xml:space="preserve">    tokenizer.save_pretrained(args.out_dir)</w:t>
            </w:r>
          </w:p>
          <w:p>
            <w:pPr>
              <w:spacing w:line="240" w:lineRule="auto" w:after="0"/>
              <w:ind w:left="0"/>
            </w:pPr>
            <w:r>
              <w:rPr>
                <w:rFonts w:ascii="Consolas" w:hAnsi="Consolas"/>
                <w:color w:val="1F3535"/>
                <w:sz w:val="18"/>
              </w:rPr>
              <w:t xml:space="preserve">    print(f"[OK] saved -&gt; {args.out_dir}")</w:t>
            </w:r>
          </w:p>
          <w:p>
            <w:pPr>
              <w:spacing w:line="240" w:lineRule="auto" w:after="0"/>
              <w:ind w:left="0"/>
            </w:pPr>
            <w:r>
              <w:rPr>
                <w:rFonts w:ascii="Consolas" w:hAnsi="Consolas"/>
                <w:color w:val="1F3535"/>
                <w:sz w:val="18"/>
              </w:rPr>
              <w:t xml:space="preserve">    return 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sys.exit(main())</w:t>
            </w:r>
          </w:p>
          <w:p>
            <w:pPr>
              <w:spacing w:line="240" w:lineRule="auto" w:after="0"/>
              <w:ind w:left="0"/>
            </w:pPr>
            <w:r>
              <w:rPr>
                <w:rFonts w:ascii="Consolas" w:hAnsi="Consolas"/>
                <w:color w:val="1F3535"/>
                <w:sz w:val="18"/>
              </w:rPr>
            </w:r>
          </w:p>
        </w:tc>
      </w:tr>
    </w:tbl>
    <w:p>
      <w:pPr>
        <w:spacing w:after="80"/>
      </w:pPr>
    </w:p>
    <w:p>
      <w:pPr>
        <w:pStyle w:val="Heading3"/>
      </w:pPr>
      <w:r>
        <w:rPr>
          <w:color w:val="1F3864"/>
        </w:rPr>
        <w:t>scripts/infer.py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#!/usr/bin/env python</w:t>
            </w:r>
          </w:p>
          <w:p>
            <w:pPr>
              <w:spacing w:line="240" w:lineRule="auto" w:after="0"/>
              <w:ind w:left="0"/>
            </w:pPr>
            <w:r>
              <w:rPr>
                <w:rFonts w:ascii="Consolas" w:hAnsi="Consolas"/>
                <w:color w:val="1F3535"/>
                <w:sz w:val="18"/>
              </w:rPr>
              <w:t>"""Run inference with a fine-tuned ASC 606 model on a test JSONL file.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Output: predictions JSONL with {record_id, prediction} entries, ready</w:t>
            </w:r>
          </w:p>
          <w:p>
            <w:pPr>
              <w:spacing w:line="240" w:lineRule="auto" w:after="0"/>
              <w:ind w:left="0"/>
            </w:pPr>
            <w:r>
              <w:rPr>
                <w:rFonts w:ascii="Consolas" w:hAnsi="Consolas"/>
                <w:color w:val="1F3535"/>
                <w:sz w:val="18"/>
              </w:rPr>
              <w:t>for `scripts/evaluate.py` to score.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Usage:</w:t>
            </w:r>
          </w:p>
          <w:p>
            <w:pPr>
              <w:spacing w:line="240" w:lineRule="auto" w:after="0"/>
              <w:ind w:left="0"/>
            </w:pPr>
            <w:r>
              <w:rPr>
                <w:rFonts w:ascii="Consolas" w:hAnsi="Consolas"/>
                <w:color w:val="1F3535"/>
                <w:sz w:val="18"/>
              </w:rPr>
              <w:t xml:space="preserve">    python scripts/infer.py \</w:t>
            </w:r>
          </w:p>
          <w:p>
            <w:pPr>
              <w:spacing w:line="240" w:lineRule="auto" w:after="0"/>
              <w:ind w:left="0"/>
            </w:pPr>
            <w:r>
              <w:rPr>
                <w:rFonts w:ascii="Consolas" w:hAnsi="Consolas"/>
                <w:color w:val="1F3535"/>
                <w:sz w:val="18"/>
              </w:rPr>
              <w:t xml:space="preserve">        --model checkpoints/asc606-sft-v1 \</w:t>
            </w:r>
          </w:p>
          <w:p>
            <w:pPr>
              <w:spacing w:line="240" w:lineRule="auto" w:after="0"/>
              <w:ind w:left="0"/>
            </w:pPr>
            <w:r>
              <w:rPr>
                <w:rFonts w:ascii="Consolas" w:hAnsi="Consolas"/>
                <w:color w:val="1F3535"/>
                <w:sz w:val="18"/>
              </w:rPr>
              <w:t xml:space="preserve">        --test-file data/test/asc606_test.jsonl \</w:t>
            </w:r>
          </w:p>
          <w:p>
            <w:pPr>
              <w:spacing w:line="240" w:lineRule="auto" w:after="0"/>
              <w:ind w:left="0"/>
            </w:pPr>
            <w:r>
              <w:rPr>
                <w:rFonts w:ascii="Consolas" w:hAnsi="Consolas"/>
                <w:color w:val="1F3535"/>
                <w:sz w:val="18"/>
              </w:rPr>
              <w:t xml:space="preserve">        --out logs/predictions.jsonl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argparse</w:t>
            </w:r>
          </w:p>
          <w:p>
            <w:pPr>
              <w:spacing w:line="240" w:lineRule="auto" w:after="0"/>
              <w:ind w:left="0"/>
            </w:pPr>
            <w:r>
              <w:rPr>
                <w:rFonts w:ascii="Consolas" w:hAnsi="Consolas"/>
                <w:color w:val="1F3535"/>
                <w:sz w:val="18"/>
              </w:rPr>
              <w:t>import json</w:t>
            </w:r>
          </w:p>
          <w:p>
            <w:pPr>
              <w:spacing w:line="240" w:lineRule="auto" w:after="0"/>
              <w:ind w:left="0"/>
            </w:pPr>
            <w:r>
              <w:rPr>
                <w:rFonts w:ascii="Consolas" w:hAnsi="Consolas"/>
                <w:color w:val="1F3535"/>
                <w:sz w:val="18"/>
              </w:rPr>
              <w:t>import sys</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_load_jsonl(path: str | Path) -&gt; list[dict]:</w:t>
            </w:r>
          </w:p>
          <w:p>
            <w:pPr>
              <w:spacing w:line="240" w:lineRule="auto" w:after="0"/>
              <w:ind w:left="0"/>
            </w:pPr>
            <w:r>
              <w:rPr>
                <w:rFonts w:ascii="Consolas" w:hAnsi="Consolas"/>
                <w:color w:val="1F3535"/>
                <w:sz w:val="18"/>
              </w:rPr>
              <w:t xml:space="preserve">    out = []</w:t>
            </w:r>
          </w:p>
          <w:p>
            <w:pPr>
              <w:spacing w:line="240" w:lineRule="auto" w:after="0"/>
              <w:ind w:left="0"/>
            </w:pPr>
            <w:r>
              <w:rPr>
                <w:rFonts w:ascii="Consolas" w:hAnsi="Consolas"/>
                <w:color w:val="1F3535"/>
                <w:sz w:val="18"/>
              </w:rPr>
              <w:t xml:space="preserve">    with open(path, "r", encoding="utf-8") as f:</w:t>
            </w:r>
          </w:p>
          <w:p>
            <w:pPr>
              <w:spacing w:line="240" w:lineRule="auto" w:after="0"/>
              <w:ind w:left="0"/>
            </w:pPr>
            <w:r>
              <w:rPr>
                <w:rFonts w:ascii="Consolas" w:hAnsi="Consolas"/>
                <w:color w:val="1F3535"/>
                <w:sz w:val="18"/>
              </w:rPr>
              <w:t xml:space="preserve">        for line in f:</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out.append(json.loads(line))</w:t>
            </w:r>
          </w:p>
          <w:p>
            <w:pPr>
              <w:spacing w:line="240" w:lineRule="auto" w:after="0"/>
              <w:ind w:left="0"/>
            </w:pPr>
            <w:r>
              <w:rPr>
                <w:rFonts w:ascii="Consolas" w:hAnsi="Consolas"/>
                <w:color w:val="1F3535"/>
                <w:sz w:val="18"/>
              </w:rPr>
              <w:t xml:space="preserve">    return out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main() -&gt; int:</w:t>
            </w:r>
          </w:p>
          <w:p>
            <w:pPr>
              <w:spacing w:line="240" w:lineRule="auto" w:after="0"/>
              <w:ind w:left="0"/>
            </w:pPr>
            <w:r>
              <w:rPr>
                <w:rFonts w:ascii="Consolas" w:hAnsi="Consolas"/>
                <w:color w:val="1F3535"/>
                <w:sz w:val="18"/>
              </w:rPr>
              <w:t xml:space="preserve">    p = argparse.ArgumentParser(description="Inference on ASC 606 test JSONL")</w:t>
            </w:r>
          </w:p>
          <w:p>
            <w:pPr>
              <w:spacing w:line="240" w:lineRule="auto" w:after="0"/>
              <w:ind w:left="0"/>
            </w:pPr>
            <w:r>
              <w:rPr>
                <w:rFonts w:ascii="Consolas" w:hAnsi="Consolas"/>
                <w:color w:val="1F3535"/>
                <w:sz w:val="18"/>
              </w:rPr>
              <w:t xml:space="preserve">    p.add_argument("--model", required=True, help="HF model id or local path")</w:t>
            </w:r>
          </w:p>
          <w:p>
            <w:pPr>
              <w:spacing w:line="240" w:lineRule="auto" w:after="0"/>
              <w:ind w:left="0"/>
            </w:pPr>
            <w:r>
              <w:rPr>
                <w:rFonts w:ascii="Consolas" w:hAnsi="Consolas"/>
                <w:color w:val="1F3535"/>
                <w:sz w:val="18"/>
              </w:rPr>
              <w:t xml:space="preserve">    p.add_argument("--test-file", required=True)</w:t>
            </w:r>
          </w:p>
          <w:p>
            <w:pPr>
              <w:spacing w:line="240" w:lineRule="auto" w:after="0"/>
              <w:ind w:left="0"/>
            </w:pPr>
            <w:r>
              <w:rPr>
                <w:rFonts w:ascii="Consolas" w:hAnsi="Consolas"/>
                <w:color w:val="1F3535"/>
                <w:sz w:val="18"/>
              </w:rPr>
              <w:t xml:space="preserve">    p.add_argument("--out", required=True)</w:t>
            </w:r>
          </w:p>
          <w:p>
            <w:pPr>
              <w:spacing w:line="240" w:lineRule="auto" w:after="0"/>
              <w:ind w:left="0"/>
            </w:pPr>
            <w:r>
              <w:rPr>
                <w:rFonts w:ascii="Consolas" w:hAnsi="Consolas"/>
                <w:color w:val="1F3535"/>
                <w:sz w:val="18"/>
              </w:rPr>
              <w:t xml:space="preserve">    p.add_argument("--max-new-tokens", type=int, default=1024)</w:t>
            </w:r>
          </w:p>
          <w:p>
            <w:pPr>
              <w:spacing w:line="240" w:lineRule="auto" w:after="0"/>
              <w:ind w:left="0"/>
            </w:pPr>
            <w:r>
              <w:rPr>
                <w:rFonts w:ascii="Consolas" w:hAnsi="Consolas"/>
                <w:color w:val="1F3535"/>
                <w:sz w:val="18"/>
              </w:rPr>
              <w:t xml:space="preserve">    p.add_argument("--temperature", type=float, default=0.1)</w:t>
            </w:r>
          </w:p>
          <w:p>
            <w:pPr>
              <w:spacing w:line="240" w:lineRule="auto" w:after="0"/>
              <w:ind w:left="0"/>
            </w:pPr>
            <w:r>
              <w:rPr>
                <w:rFonts w:ascii="Consolas" w:hAnsi="Consolas"/>
                <w:color w:val="1F3535"/>
                <w:sz w:val="18"/>
              </w:rPr>
              <w:t xml:space="preserve">    p.add_argument("--top-p", type=float, default=0.9)</w:t>
            </w:r>
          </w:p>
          <w:p>
            <w:pPr>
              <w:spacing w:line="240" w:lineRule="auto" w:after="0"/>
              <w:ind w:left="0"/>
            </w:pPr>
            <w:r>
              <w:rPr>
                <w:rFonts w:ascii="Consolas" w:hAnsi="Consolas"/>
                <w:color w:val="1F3535"/>
                <w:sz w:val="18"/>
              </w:rPr>
              <w:t xml:space="preserve">    p.add_argument("--do-sample", action="store_true")</w:t>
            </w:r>
          </w:p>
          <w:p>
            <w:pPr>
              <w:spacing w:line="240" w:lineRule="auto" w:after="0"/>
              <w:ind w:left="0"/>
            </w:pPr>
            <w:r>
              <w:rPr>
                <w:rFonts w:ascii="Consolas" w:hAnsi="Consolas"/>
                <w:color w:val="1F3535"/>
                <w:sz w:val="18"/>
              </w:rPr>
              <w:t xml:space="preserve">    p.add_argument("--device", default="auto")</w:t>
            </w:r>
          </w:p>
          <w:p>
            <w:pPr>
              <w:spacing w:line="240" w:lineRule="auto" w:after="0"/>
              <w:ind w:left="0"/>
            </w:pPr>
            <w:r>
              <w:rPr>
                <w:rFonts w:ascii="Consolas" w:hAnsi="Consolas"/>
                <w:color w:val="1F3535"/>
                <w:sz w:val="18"/>
              </w:rPr>
              <w:t xml:space="preserve">    args = p.parse_args()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try:</w:t>
            </w:r>
          </w:p>
          <w:p>
            <w:pPr>
              <w:spacing w:line="240" w:lineRule="auto" w:after="0"/>
              <w:ind w:left="0"/>
            </w:pPr>
            <w:r>
              <w:rPr>
                <w:rFonts w:ascii="Consolas" w:hAnsi="Consolas"/>
                <w:color w:val="1F3535"/>
                <w:sz w:val="18"/>
              </w:rPr>
              <w:t xml:space="preserve">        import torch</w:t>
            </w:r>
          </w:p>
          <w:p>
            <w:pPr>
              <w:spacing w:line="240" w:lineRule="auto" w:after="0"/>
              <w:ind w:left="0"/>
            </w:pPr>
            <w:r>
              <w:rPr>
                <w:rFonts w:ascii="Consolas" w:hAnsi="Consolas"/>
                <w:color w:val="1F3535"/>
                <w:sz w:val="18"/>
              </w:rPr>
              <w:t xml:space="preserve">        from transformers import AutoModelForCausalLM, AutoTokenizer</w:t>
            </w:r>
          </w:p>
          <w:p>
            <w:pPr>
              <w:spacing w:line="240" w:lineRule="auto" w:after="0"/>
              <w:ind w:left="0"/>
            </w:pPr>
            <w:r>
              <w:rPr>
                <w:rFonts w:ascii="Consolas" w:hAnsi="Consolas"/>
                <w:color w:val="1F3535"/>
                <w:sz w:val="18"/>
              </w:rPr>
              <w:t xml:space="preserve">    except ImportError as e:</w:t>
            </w:r>
          </w:p>
          <w:p>
            <w:pPr>
              <w:spacing w:line="240" w:lineRule="auto" w:after="0"/>
              <w:ind w:left="0"/>
            </w:pPr>
            <w:r>
              <w:rPr>
                <w:rFonts w:ascii="Consolas" w:hAnsi="Consolas"/>
                <w:color w:val="1F3535"/>
                <w:sz w:val="18"/>
              </w:rPr>
              <w:t xml:space="preserve">        print(f"[ERROR] missing training dependencies: {e}")</w:t>
            </w:r>
          </w:p>
          <w:p>
            <w:pPr>
              <w:spacing w:line="240" w:lineRule="auto" w:after="0"/>
              <w:ind w:left="0"/>
            </w:pPr>
            <w:r>
              <w:rPr>
                <w:rFonts w:ascii="Consolas" w:hAnsi="Consolas"/>
                <w:color w:val="1F3535"/>
                <w:sz w:val="18"/>
              </w:rPr>
              <w:t xml:space="preserve">        print("        pip install -e .[train]")</w:t>
            </w:r>
          </w:p>
          <w:p>
            <w:pPr>
              <w:spacing w:line="240" w:lineRule="auto" w:after="0"/>
              <w:ind w:left="0"/>
            </w:pPr>
            <w:r>
              <w:rPr>
                <w:rFonts w:ascii="Consolas" w:hAnsi="Consolas"/>
                <w:color w:val="1F3535"/>
                <w:sz w:val="18"/>
              </w:rPr>
              <w:t xml:space="preserve">        return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print(f"[1/4] Loading tokenizer &amp; model: {args.model}")</w:t>
            </w:r>
          </w:p>
          <w:p>
            <w:pPr>
              <w:spacing w:line="240" w:lineRule="auto" w:after="0"/>
              <w:ind w:left="0"/>
            </w:pPr>
            <w:r>
              <w:rPr>
                <w:rFonts w:ascii="Consolas" w:hAnsi="Consolas"/>
                <w:color w:val="1F3535"/>
                <w:sz w:val="18"/>
              </w:rPr>
              <w:t xml:space="preserve">    tokenizer = AutoTokenizer.from_pretrained(args.model, trust_remote_code=True)</w:t>
            </w:r>
          </w:p>
          <w:p>
            <w:pPr>
              <w:spacing w:line="240" w:lineRule="auto" w:after="0"/>
              <w:ind w:left="0"/>
            </w:pPr>
            <w:r>
              <w:rPr>
                <w:rFonts w:ascii="Consolas" w:hAnsi="Consolas"/>
                <w:color w:val="1F3535"/>
                <w:sz w:val="18"/>
              </w:rPr>
              <w:t xml:space="preserve">    model = AutoModelForCausalLM.from_pretrained(</w:t>
            </w:r>
          </w:p>
          <w:p>
            <w:pPr>
              <w:spacing w:line="240" w:lineRule="auto" w:after="0"/>
              <w:ind w:left="0"/>
            </w:pPr>
            <w:r>
              <w:rPr>
                <w:rFonts w:ascii="Consolas" w:hAnsi="Consolas"/>
                <w:color w:val="1F3535"/>
                <w:sz w:val="18"/>
              </w:rPr>
              <w:t xml:space="preserve">        args.model,</w:t>
            </w:r>
          </w:p>
          <w:p>
            <w:pPr>
              <w:spacing w:line="240" w:lineRule="auto" w:after="0"/>
              <w:ind w:left="0"/>
            </w:pPr>
            <w:r>
              <w:rPr>
                <w:rFonts w:ascii="Consolas" w:hAnsi="Consolas"/>
                <w:color w:val="1F3535"/>
                <w:sz w:val="18"/>
              </w:rPr>
              <w:t xml:space="preserve">        trust_remote_code=True,</w:t>
            </w:r>
          </w:p>
          <w:p>
            <w:pPr>
              <w:spacing w:line="240" w:lineRule="auto" w:after="0"/>
              <w:ind w:left="0"/>
            </w:pPr>
            <w:r>
              <w:rPr>
                <w:rFonts w:ascii="Consolas" w:hAnsi="Consolas"/>
                <w:color w:val="1F3535"/>
                <w:sz w:val="18"/>
              </w:rPr>
              <w:t xml:space="preserve">        device_map=args.device,</w:t>
            </w:r>
          </w:p>
          <w:p>
            <w:pPr>
              <w:spacing w:line="240" w:lineRule="auto" w:after="0"/>
              <w:ind w:left="0"/>
            </w:pPr>
            <w:r>
              <w:rPr>
                <w:rFonts w:ascii="Consolas" w:hAnsi="Consolas"/>
                <w:color w:val="1F3535"/>
                <w:sz w:val="18"/>
              </w:rPr>
              <w:t xml:space="preserve">        torch_dtype=torch.bfloat16,</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model.eval()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print(f"[2/4] Loading test records: {args.test_file}")</w:t>
            </w:r>
          </w:p>
          <w:p>
            <w:pPr>
              <w:spacing w:line="240" w:lineRule="auto" w:after="0"/>
              <w:ind w:left="0"/>
            </w:pPr>
            <w:r>
              <w:rPr>
                <w:rFonts w:ascii="Consolas" w:hAnsi="Consolas"/>
                <w:color w:val="1F3535"/>
                <w:sz w:val="18"/>
              </w:rPr>
              <w:t xml:space="preserve">    records = _load_jsonl(args.test_file)</w:t>
            </w:r>
          </w:p>
          <w:p>
            <w:pPr>
              <w:spacing w:line="240" w:lineRule="auto" w:after="0"/>
              <w:ind w:left="0"/>
            </w:pPr>
            <w:r>
              <w:rPr>
                <w:rFonts w:ascii="Consolas" w:hAnsi="Consolas"/>
                <w:color w:val="1F3535"/>
                <w:sz w:val="18"/>
              </w:rPr>
              <w:t xml:space="preserve">    print(f"  n records: {len(records)}")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out_path = Path(args.out)</w:t>
            </w:r>
          </w:p>
          <w:p>
            <w:pPr>
              <w:spacing w:line="240" w:lineRule="auto" w:after="0"/>
              <w:ind w:left="0"/>
            </w:pPr>
            <w:r>
              <w:rPr>
                <w:rFonts w:ascii="Consolas" w:hAnsi="Consolas"/>
                <w:color w:val="1F3535"/>
                <w:sz w:val="18"/>
              </w:rPr>
              <w:t xml:space="preserve">    out_path.parent.mkdir(parents=True, exist_ok=True)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print("[3/4] Generating predictions...")</w:t>
            </w:r>
          </w:p>
          <w:p>
            <w:pPr>
              <w:spacing w:line="240" w:lineRule="auto" w:after="0"/>
              <w:ind w:left="0"/>
            </w:pPr>
            <w:r>
              <w:rPr>
                <w:rFonts w:ascii="Consolas" w:hAnsi="Consolas"/>
                <w:color w:val="1F3535"/>
                <w:sz w:val="18"/>
              </w:rPr>
              <w:t xml:space="preserve">    with out_path.open("w", encoding="utf-8") as f:</w:t>
            </w:r>
          </w:p>
          <w:p>
            <w:pPr>
              <w:spacing w:line="240" w:lineRule="auto" w:after="0"/>
              <w:ind w:left="0"/>
            </w:pPr>
            <w:r>
              <w:rPr>
                <w:rFonts w:ascii="Consolas" w:hAnsi="Consolas"/>
                <w:color w:val="1F3535"/>
                <w:sz w:val="18"/>
              </w:rPr>
              <w:t xml:space="preserve">        for i, rec in enumerate(records, start=1):</w:t>
            </w:r>
          </w:p>
          <w:p>
            <w:pPr>
              <w:spacing w:line="240" w:lineRule="auto" w:after="0"/>
              <w:ind w:left="0"/>
            </w:pPr>
            <w:r>
              <w:rPr>
                <w:rFonts w:ascii="Consolas" w:hAnsi="Consolas"/>
                <w:color w:val="1F3535"/>
                <w:sz w:val="18"/>
              </w:rPr>
              <w:t xml:space="preserve">            msgs = rec.get("messages", [])</w:t>
            </w:r>
          </w:p>
          <w:p>
            <w:pPr>
              <w:spacing w:line="240" w:lineRule="auto" w:after="0"/>
              <w:ind w:left="0"/>
            </w:pPr>
            <w:r>
              <w:rPr>
                <w:rFonts w:ascii="Consolas" w:hAnsi="Consolas"/>
                <w:color w:val="1F3535"/>
                <w:sz w:val="18"/>
              </w:rPr>
              <w:t xml:space="preserve">            # Use the system + user messages as the prompt.</w:t>
            </w:r>
          </w:p>
          <w:p>
            <w:pPr>
              <w:spacing w:line="240" w:lineRule="auto" w:after="0"/>
              <w:ind w:left="0"/>
            </w:pPr>
            <w:r>
              <w:rPr>
                <w:rFonts w:ascii="Consolas" w:hAnsi="Consolas"/>
                <w:color w:val="1F3535"/>
                <w:sz w:val="18"/>
              </w:rPr>
              <w:t xml:space="preserve">            # The assistant message in the gold record is the answer we want</w:t>
            </w:r>
          </w:p>
          <w:p>
            <w:pPr>
              <w:spacing w:line="240" w:lineRule="auto" w:after="0"/>
              <w:ind w:left="0"/>
            </w:pPr>
            <w:r>
              <w:rPr>
                <w:rFonts w:ascii="Consolas" w:hAnsi="Consolas"/>
                <w:color w:val="1F3535"/>
                <w:sz w:val="18"/>
              </w:rPr>
              <w:t xml:space="preserve">            # the model to generate; we strip it for inference.</w:t>
            </w:r>
          </w:p>
          <w:p>
            <w:pPr>
              <w:spacing w:line="240" w:lineRule="auto" w:after="0"/>
              <w:ind w:left="0"/>
            </w:pPr>
            <w:r>
              <w:rPr>
                <w:rFonts w:ascii="Consolas" w:hAnsi="Consolas"/>
                <w:color w:val="1F3535"/>
                <w:sz w:val="18"/>
              </w:rPr>
              <w:t xml:space="preserve">            prompt_msgs = [m for m in msgs if m["role"] != "assistant"]</w:t>
            </w:r>
          </w:p>
          <w:p>
            <w:pPr>
              <w:spacing w:line="240" w:lineRule="auto" w:after="0"/>
              <w:ind w:left="0"/>
            </w:pPr>
            <w:r>
              <w:rPr>
                <w:rFonts w:ascii="Consolas" w:hAnsi="Consolas"/>
                <w:color w:val="1F3535"/>
                <w:sz w:val="18"/>
              </w:rPr>
              <w:t xml:space="preserve">            # Format as a chat template (model-specific)</w:t>
            </w:r>
          </w:p>
          <w:p>
            <w:pPr>
              <w:spacing w:line="240" w:lineRule="auto" w:after="0"/>
              <w:ind w:left="0"/>
            </w:pPr>
            <w:r>
              <w:rPr>
                <w:rFonts w:ascii="Consolas" w:hAnsi="Consolas"/>
                <w:color w:val="1F3535"/>
                <w:sz w:val="18"/>
              </w:rPr>
              <w:t xml:space="preserve">            try:</w:t>
            </w:r>
          </w:p>
          <w:p>
            <w:pPr>
              <w:spacing w:line="240" w:lineRule="auto" w:after="0"/>
              <w:ind w:left="0"/>
            </w:pPr>
            <w:r>
              <w:rPr>
                <w:rFonts w:ascii="Consolas" w:hAnsi="Consolas"/>
                <w:color w:val="1F3535"/>
                <w:sz w:val="18"/>
              </w:rPr>
              <w:t xml:space="preserve">                prompt_text = tokenizer.apply_chat_template(</w:t>
            </w:r>
          </w:p>
          <w:p>
            <w:pPr>
              <w:spacing w:line="240" w:lineRule="auto" w:after="0"/>
              <w:ind w:left="0"/>
            </w:pPr>
            <w:r>
              <w:rPr>
                <w:rFonts w:ascii="Consolas" w:hAnsi="Consolas"/>
                <w:color w:val="1F3535"/>
                <w:sz w:val="18"/>
              </w:rPr>
              <w:t xml:space="preserve">                    prompt_msgs, tokenize=False, add_generation_prompt=True</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except Exception:</w:t>
            </w:r>
          </w:p>
          <w:p>
            <w:pPr>
              <w:spacing w:line="240" w:lineRule="auto" w:after="0"/>
              <w:ind w:left="0"/>
            </w:pPr>
            <w:r>
              <w:rPr>
                <w:rFonts w:ascii="Consolas" w:hAnsi="Consolas"/>
                <w:color w:val="1F3535"/>
                <w:sz w:val="18"/>
              </w:rPr>
              <w:t xml:space="preserve">                # Fallback: simple template</w:t>
            </w:r>
          </w:p>
          <w:p>
            <w:pPr>
              <w:spacing w:line="240" w:lineRule="auto" w:after="0"/>
              <w:ind w:left="0"/>
            </w:pPr>
            <w:r>
              <w:rPr>
                <w:rFonts w:ascii="Consolas" w:hAnsi="Consolas"/>
                <w:color w:val="1F3535"/>
                <w:sz w:val="18"/>
              </w:rPr>
              <w:t xml:space="preserve">                prompt_text = ""</w:t>
            </w:r>
          </w:p>
          <w:p>
            <w:pPr>
              <w:spacing w:line="240" w:lineRule="auto" w:after="0"/>
              <w:ind w:left="0"/>
            </w:pPr>
            <w:r>
              <w:rPr>
                <w:rFonts w:ascii="Consolas" w:hAnsi="Consolas"/>
                <w:color w:val="1F3535"/>
                <w:sz w:val="18"/>
              </w:rPr>
              <w:t xml:space="preserve">                for m in prompt_msgs:</w:t>
            </w:r>
          </w:p>
          <w:p>
            <w:pPr>
              <w:spacing w:line="240" w:lineRule="auto" w:after="0"/>
              <w:ind w:left="0"/>
            </w:pPr>
            <w:r>
              <w:rPr>
                <w:rFonts w:ascii="Consolas" w:hAnsi="Consolas"/>
                <w:color w:val="1F3535"/>
                <w:sz w:val="18"/>
              </w:rPr>
              <w:t xml:space="preserve">                    prompt_text += f"&lt;|im_start|&gt;{m['role']}\n{m['content']}&lt;|im_end|&gt;\n"</w:t>
            </w:r>
          </w:p>
          <w:p>
            <w:pPr>
              <w:spacing w:line="240" w:lineRule="auto" w:after="0"/>
              <w:ind w:left="0"/>
            </w:pPr>
            <w:r>
              <w:rPr>
                <w:rFonts w:ascii="Consolas" w:hAnsi="Consolas"/>
                <w:color w:val="1F3535"/>
                <w:sz w:val="18"/>
              </w:rPr>
              <w:t xml:space="preserve">                prompt_text += "&lt;|im_start|&gt;assistant\n"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inputs = tokenizer(prompt_text, return_tensors="pt").to(model.device)</w:t>
            </w:r>
          </w:p>
          <w:p>
            <w:pPr>
              <w:spacing w:line="240" w:lineRule="auto" w:after="0"/>
              <w:ind w:left="0"/>
            </w:pPr>
            <w:r>
              <w:rPr>
                <w:rFonts w:ascii="Consolas" w:hAnsi="Consolas"/>
                <w:color w:val="1F3535"/>
                <w:sz w:val="18"/>
              </w:rPr>
              <w:t xml:space="preserve">            with torch.no_grad():</w:t>
            </w:r>
          </w:p>
          <w:p>
            <w:pPr>
              <w:spacing w:line="240" w:lineRule="auto" w:after="0"/>
              <w:ind w:left="0"/>
            </w:pPr>
            <w:r>
              <w:rPr>
                <w:rFonts w:ascii="Consolas" w:hAnsi="Consolas"/>
                <w:color w:val="1F3535"/>
                <w:sz w:val="18"/>
              </w:rPr>
              <w:t xml:space="preserve">                output_ids = model.generate(</w:t>
            </w:r>
          </w:p>
          <w:p>
            <w:pPr>
              <w:spacing w:line="240" w:lineRule="auto" w:after="0"/>
              <w:ind w:left="0"/>
            </w:pPr>
            <w:r>
              <w:rPr>
                <w:rFonts w:ascii="Consolas" w:hAnsi="Consolas"/>
                <w:color w:val="1F3535"/>
                <w:sz w:val="18"/>
              </w:rPr>
              <w:t xml:space="preserve">                    **inputs,</w:t>
            </w:r>
          </w:p>
          <w:p>
            <w:pPr>
              <w:spacing w:line="240" w:lineRule="auto" w:after="0"/>
              <w:ind w:left="0"/>
            </w:pPr>
            <w:r>
              <w:rPr>
                <w:rFonts w:ascii="Consolas" w:hAnsi="Consolas"/>
                <w:color w:val="1F3535"/>
                <w:sz w:val="18"/>
              </w:rPr>
              <w:t xml:space="preserve">                    max_new_tokens=args.max_new_tokens,</w:t>
            </w:r>
          </w:p>
          <w:p>
            <w:pPr>
              <w:spacing w:line="240" w:lineRule="auto" w:after="0"/>
              <w:ind w:left="0"/>
            </w:pPr>
            <w:r>
              <w:rPr>
                <w:rFonts w:ascii="Consolas" w:hAnsi="Consolas"/>
                <w:color w:val="1F3535"/>
                <w:sz w:val="18"/>
              </w:rPr>
              <w:t xml:space="preserve">                    temperature=args.temperature if args.do_sample else 1.0,</w:t>
            </w:r>
          </w:p>
          <w:p>
            <w:pPr>
              <w:spacing w:line="240" w:lineRule="auto" w:after="0"/>
              <w:ind w:left="0"/>
            </w:pPr>
            <w:r>
              <w:rPr>
                <w:rFonts w:ascii="Consolas" w:hAnsi="Consolas"/>
                <w:color w:val="1F3535"/>
                <w:sz w:val="18"/>
              </w:rPr>
              <w:t xml:space="preserve">                    top_p=args.top_p,</w:t>
            </w:r>
          </w:p>
          <w:p>
            <w:pPr>
              <w:spacing w:line="240" w:lineRule="auto" w:after="0"/>
              <w:ind w:left="0"/>
            </w:pPr>
            <w:r>
              <w:rPr>
                <w:rFonts w:ascii="Consolas" w:hAnsi="Consolas"/>
                <w:color w:val="1F3535"/>
                <w:sz w:val="18"/>
              </w:rPr>
              <w:t xml:space="preserve">                    do_sample=args.do_sample,</w:t>
            </w:r>
          </w:p>
          <w:p>
            <w:pPr>
              <w:spacing w:line="240" w:lineRule="auto" w:after="0"/>
              <w:ind w:left="0"/>
            </w:pPr>
            <w:r>
              <w:rPr>
                <w:rFonts w:ascii="Consolas" w:hAnsi="Consolas"/>
                <w:color w:val="1F3535"/>
                <w:sz w:val="18"/>
              </w:rPr>
              <w:t xml:space="preserve">                    pad_token_id=tokenizer.pad_token_id or tokenizer.eos_token_id,</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prompt_len = inputs["input_ids"].shape[1]</w:t>
            </w:r>
          </w:p>
          <w:p>
            <w:pPr>
              <w:spacing w:line="240" w:lineRule="auto" w:after="0"/>
              <w:ind w:left="0"/>
            </w:pPr>
            <w:r>
              <w:rPr>
                <w:rFonts w:ascii="Consolas" w:hAnsi="Consolas"/>
                <w:color w:val="1F3535"/>
                <w:sz w:val="18"/>
              </w:rPr>
              <w:t xml:space="preserve">            prediction = tokenizer.decode(output_ids[0, prompt_len:], skip_special_tokens=True)</w:t>
            </w:r>
          </w:p>
          <w:p>
            <w:pPr>
              <w:spacing w:line="240" w:lineRule="auto" w:after="0"/>
              <w:ind w:left="0"/>
            </w:pPr>
            <w:r>
              <w:rPr>
                <w:rFonts w:ascii="Consolas" w:hAnsi="Consolas"/>
                <w:color w:val="1F3535"/>
                <w:sz w:val="18"/>
              </w:rPr>
              <w:t xml:space="preserve">            rid = rec.get("record_id") or f"REC-{i:04d}"</w:t>
            </w:r>
          </w:p>
          <w:p>
            <w:pPr>
              <w:spacing w:line="240" w:lineRule="auto" w:after="0"/>
              <w:ind w:left="0"/>
            </w:pPr>
            <w:r>
              <w:rPr>
                <w:rFonts w:ascii="Consolas" w:hAnsi="Consolas"/>
                <w:color w:val="1F3535"/>
                <w:sz w:val="18"/>
              </w:rPr>
              <w:t xml:space="preserve">            f.write(json.dumps({"record_id": rid, "prediction": prediction},</w:t>
            </w:r>
          </w:p>
          <w:p>
            <w:pPr>
              <w:spacing w:line="240" w:lineRule="auto" w:after="0"/>
              <w:ind w:left="0"/>
            </w:pPr>
            <w:r>
              <w:rPr>
                <w:rFonts w:ascii="Consolas" w:hAnsi="Consolas"/>
                <w:color w:val="1F3535"/>
                <w:sz w:val="18"/>
              </w:rPr>
              <w:t xml:space="preserve">                               ensure_ascii=False) + "\n")</w:t>
            </w:r>
          </w:p>
          <w:p>
            <w:pPr>
              <w:spacing w:line="240" w:lineRule="auto" w:after="0"/>
              <w:ind w:left="0"/>
            </w:pPr>
            <w:r>
              <w:rPr>
                <w:rFonts w:ascii="Consolas" w:hAnsi="Consolas"/>
                <w:color w:val="1F3535"/>
                <w:sz w:val="18"/>
              </w:rPr>
              <w:t xml:space="preserve">            if i % 10 == 0:</w:t>
            </w:r>
          </w:p>
          <w:p>
            <w:pPr>
              <w:spacing w:line="240" w:lineRule="auto" w:after="0"/>
              <w:ind w:left="0"/>
            </w:pPr>
            <w:r>
              <w:rPr>
                <w:rFonts w:ascii="Consolas" w:hAnsi="Consolas"/>
                <w:color w:val="1F3535"/>
                <w:sz w:val="18"/>
              </w:rPr>
              <w:t xml:space="preserve">                print(f"  ... {i}/{len(records)}")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print(f"[4/4] wrote predictions -&gt; {out_path}")</w:t>
            </w:r>
          </w:p>
          <w:p>
            <w:pPr>
              <w:spacing w:line="240" w:lineRule="auto" w:after="0"/>
              <w:ind w:left="0"/>
            </w:pPr>
            <w:r>
              <w:rPr>
                <w:rFonts w:ascii="Consolas" w:hAnsi="Consolas"/>
                <w:color w:val="1F3535"/>
                <w:sz w:val="18"/>
              </w:rPr>
              <w:t xml:space="preserve">    return 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sys.exit(main())</w:t>
            </w:r>
          </w:p>
          <w:p>
            <w:pPr>
              <w:spacing w:line="240" w:lineRule="auto" w:after="0"/>
              <w:ind w:left="0"/>
            </w:pPr>
            <w:r>
              <w:rPr>
                <w:rFonts w:ascii="Consolas" w:hAnsi="Consolas"/>
                <w:color w:val="1F3535"/>
                <w:sz w:val="18"/>
              </w:rPr>
            </w:r>
          </w:p>
        </w:tc>
      </w:tr>
    </w:tbl>
    <w:p>
      <w:pPr>
        <w:spacing w:after="80"/>
      </w:pPr>
    </w:p>
    <w:p>
      <w:pPr>
        <w:pStyle w:val="Heading3"/>
      </w:pPr>
      <w:r>
        <w:rPr>
          <w:color w:val="1F3864"/>
        </w:rPr>
        <w:t>scripts/evaluate.py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#!/usr/bin/env python</w:t>
            </w:r>
          </w:p>
          <w:p>
            <w:pPr>
              <w:spacing w:line="240" w:lineRule="auto" w:after="0"/>
              <w:ind w:left="0"/>
            </w:pPr>
            <w:r>
              <w:rPr>
                <w:rFonts w:ascii="Consolas" w:hAnsi="Consolas"/>
                <w:color w:val="1F3535"/>
                <w:sz w:val="18"/>
              </w:rPr>
              <w:t>"""Evaluate a fine-tuned ASC 606 model against the held-out test set.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Two modes: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(1) Rubric scoring against gold answers</w:t>
            </w:r>
          </w:p>
          <w:p>
            <w:pPr>
              <w:spacing w:line="240" w:lineRule="auto" w:after="0"/>
              <w:ind w:left="0"/>
            </w:pPr>
            <w:r>
              <w:rPr>
                <w:rFonts w:ascii="Consolas" w:hAnsi="Consolas"/>
                <w:color w:val="1F3535"/>
                <w:sz w:val="18"/>
              </w:rPr>
              <w:t xml:space="preserve">      --predictions FILE  --gold FILE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(2) Citation-hallucination trap test</w:t>
            </w:r>
          </w:p>
          <w:p>
            <w:pPr>
              <w:spacing w:line="240" w:lineRule="auto" w:after="0"/>
              <w:ind w:left="0"/>
            </w:pPr>
            <w:r>
              <w:rPr>
                <w:rFonts w:ascii="Consolas" w:hAnsi="Consolas"/>
                <w:color w:val="1F3535"/>
                <w:sz w:val="18"/>
              </w:rPr>
              <w:t xml:space="preserve">      --trap-file FILE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Usage:</w:t>
            </w:r>
          </w:p>
          <w:p>
            <w:pPr>
              <w:spacing w:line="240" w:lineRule="auto" w:after="0"/>
              <w:ind w:left="0"/>
            </w:pPr>
            <w:r>
              <w:rPr>
                <w:rFonts w:ascii="Consolas" w:hAnsi="Consolas"/>
                <w:color w:val="1F3535"/>
                <w:sz w:val="18"/>
              </w:rPr>
              <w:t xml:space="preserve">    python scripts/evaluate.py \</w:t>
            </w:r>
          </w:p>
          <w:p>
            <w:pPr>
              <w:spacing w:line="240" w:lineRule="auto" w:after="0"/>
              <w:ind w:left="0"/>
            </w:pPr>
            <w:r>
              <w:rPr>
                <w:rFonts w:ascii="Consolas" w:hAnsi="Consolas"/>
                <w:color w:val="1F3535"/>
                <w:sz w:val="18"/>
              </w:rPr>
              <w:t xml:space="preserve">        --predictions logs/predictions.jsonl \</w:t>
            </w:r>
          </w:p>
          <w:p>
            <w:pPr>
              <w:spacing w:line="240" w:lineRule="auto" w:after="0"/>
              <w:ind w:left="0"/>
            </w:pPr>
            <w:r>
              <w:rPr>
                <w:rFonts w:ascii="Consolas" w:hAnsi="Consolas"/>
                <w:color w:val="1F3535"/>
                <w:sz w:val="18"/>
              </w:rPr>
              <w:t xml:space="preserve">        --gold data/test/asc606_test.jsonl \</w:t>
            </w:r>
          </w:p>
          <w:p>
            <w:pPr>
              <w:spacing w:line="240" w:lineRule="auto" w:after="0"/>
              <w:ind w:left="0"/>
            </w:pPr>
            <w:r>
              <w:rPr>
                <w:rFonts w:ascii="Consolas" w:hAnsi="Consolas"/>
                <w:color w:val="1F3535"/>
                <w:sz w:val="18"/>
              </w:rPr>
              <w:t xml:space="preserve">        --out-dir logs/eval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argparse</w:t>
            </w:r>
          </w:p>
          <w:p>
            <w:pPr>
              <w:spacing w:line="240" w:lineRule="auto" w:after="0"/>
              <w:ind w:left="0"/>
            </w:pPr>
            <w:r>
              <w:rPr>
                <w:rFonts w:ascii="Consolas" w:hAnsi="Consolas"/>
                <w:color w:val="1F3535"/>
                <w:sz w:val="18"/>
              </w:rPr>
              <w:t>import json</w:t>
            </w:r>
          </w:p>
          <w:p>
            <w:pPr>
              <w:spacing w:line="240" w:lineRule="auto" w:after="0"/>
              <w:ind w:left="0"/>
            </w:pPr>
            <w:r>
              <w:rPr>
                <w:rFonts w:ascii="Consolas" w:hAnsi="Consolas"/>
                <w:color w:val="1F3535"/>
                <w:sz w:val="18"/>
              </w:rPr>
              <w:t>import sys</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sys.path.insert(0, str(Path(__file__).resolve().parent.parent / "src"))</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from asc606_trainer.evaluator import (</w:t>
            </w:r>
          </w:p>
          <w:p>
            <w:pPr>
              <w:spacing w:line="240" w:lineRule="auto" w:after="0"/>
              <w:ind w:left="0"/>
            </w:pPr>
            <w:r>
              <w:rPr>
                <w:rFonts w:ascii="Consolas" w:hAnsi="Consolas"/>
                <w:color w:val="1F3535"/>
                <w:sz w:val="18"/>
              </w:rPr>
              <w:t xml:space="preserve">    RUBRIC_WEIGHTS, SCORE_BANDS,</w:t>
            </w:r>
          </w:p>
          <w:p>
            <w:pPr>
              <w:spacing w:line="240" w:lineRule="auto" w:after="0"/>
              <w:ind w:left="0"/>
            </w:pPr>
            <w:r>
              <w:rPr>
                <w:rFonts w:ascii="Consolas" w:hAnsi="Consolas"/>
                <w:color w:val="1F3535"/>
                <w:sz w:val="18"/>
              </w:rPr>
              <w:t xml:space="preserve">    evaluate_jsonl, citation_hallucination_test,</w:t>
            </w:r>
          </w:p>
          <w:p>
            <w:pPr>
              <w:spacing w:line="240" w:lineRule="auto" w:after="0"/>
              <w:ind w:left="0"/>
            </w:pPr>
            <w:r>
              <w:rPr>
                <w:rFonts w:ascii="Consolas" w:hAnsi="Consolas"/>
                <w:color w:val="1F3535"/>
                <w:sz w:val="18"/>
              </w:rPr>
              <w:t>)  # noqa: E402</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main() -&gt; int:</w:t>
            </w:r>
          </w:p>
          <w:p>
            <w:pPr>
              <w:spacing w:line="240" w:lineRule="auto" w:after="0"/>
              <w:ind w:left="0"/>
            </w:pPr>
            <w:r>
              <w:rPr>
                <w:rFonts w:ascii="Consolas" w:hAnsi="Consolas"/>
                <w:color w:val="1F3535"/>
                <w:sz w:val="18"/>
              </w:rPr>
              <w:t xml:space="preserve">    p = argparse.ArgumentParser(description="Evaluate ASC 606 fine-tuned model")</w:t>
            </w:r>
          </w:p>
          <w:p>
            <w:pPr>
              <w:spacing w:line="240" w:lineRule="auto" w:after="0"/>
              <w:ind w:left="0"/>
            </w:pPr>
            <w:r>
              <w:rPr>
                <w:rFonts w:ascii="Consolas" w:hAnsi="Consolas"/>
                <w:color w:val="1F3535"/>
                <w:sz w:val="18"/>
              </w:rPr>
              <w:t xml:space="preserve">    p.add_argument("--predictions", help="Predictions JSONL (record_id + prediction)")</w:t>
            </w:r>
          </w:p>
          <w:p>
            <w:pPr>
              <w:spacing w:line="240" w:lineRule="auto" w:after="0"/>
              <w:ind w:left="0"/>
            </w:pPr>
            <w:r>
              <w:rPr>
                <w:rFonts w:ascii="Consolas" w:hAnsi="Consolas"/>
                <w:color w:val="1F3535"/>
                <w:sz w:val="18"/>
              </w:rPr>
              <w:t xml:space="preserve">    p.add_argument("--gold",        help="Gold-answer JSONL")</w:t>
            </w:r>
          </w:p>
          <w:p>
            <w:pPr>
              <w:spacing w:line="240" w:lineRule="auto" w:after="0"/>
              <w:ind w:left="0"/>
            </w:pPr>
            <w:r>
              <w:rPr>
                <w:rFonts w:ascii="Consolas" w:hAnsi="Consolas"/>
                <w:color w:val="1F3535"/>
                <w:sz w:val="18"/>
              </w:rPr>
              <w:t xml:space="preserve">    p.add_argument("--trap-file",   help="JSONL of citation-trap prompts + predictions")</w:t>
            </w:r>
          </w:p>
          <w:p>
            <w:pPr>
              <w:spacing w:line="240" w:lineRule="auto" w:after="0"/>
              <w:ind w:left="0"/>
            </w:pPr>
            <w:r>
              <w:rPr>
                <w:rFonts w:ascii="Consolas" w:hAnsi="Consolas"/>
                <w:color w:val="1F3535"/>
                <w:sz w:val="18"/>
              </w:rPr>
              <w:t xml:space="preserve">    p.add_argument("--out-dir",     default="logs/eval", help="Output directory")</w:t>
            </w:r>
          </w:p>
          <w:p>
            <w:pPr>
              <w:spacing w:line="240" w:lineRule="auto" w:after="0"/>
              <w:ind w:left="0"/>
            </w:pPr>
            <w:r>
              <w:rPr>
                <w:rFonts w:ascii="Consolas" w:hAnsi="Consolas"/>
                <w:color w:val="1F3535"/>
                <w:sz w:val="18"/>
              </w:rPr>
              <w:t xml:space="preserve">    args = p.parse_args()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out_dir = Path(args.out_dir)</w:t>
            </w:r>
          </w:p>
          <w:p>
            <w:pPr>
              <w:spacing w:line="240" w:lineRule="auto" w:after="0"/>
              <w:ind w:left="0"/>
            </w:pPr>
            <w:r>
              <w:rPr>
                <w:rFonts w:ascii="Consolas" w:hAnsi="Consolas"/>
                <w:color w:val="1F3535"/>
                <w:sz w:val="18"/>
              </w:rPr>
              <w:t xml:space="preserve">    out_dir.mkdir(parents=True, exist_ok=True)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if args.predictions and args.gold:</w:t>
            </w:r>
          </w:p>
          <w:p>
            <w:pPr>
              <w:spacing w:line="240" w:lineRule="auto" w:after="0"/>
              <w:ind w:left="0"/>
            </w:pPr>
            <w:r>
              <w:rPr>
                <w:rFonts w:ascii="Consolas" w:hAnsi="Consolas"/>
                <w:color w:val="1F3535"/>
                <w:sz w:val="18"/>
              </w:rPr>
              <w:t xml:space="preserve">        print(f"[1/2] Rubric evaluation")</w:t>
            </w:r>
          </w:p>
          <w:p>
            <w:pPr>
              <w:spacing w:line="240" w:lineRule="auto" w:after="0"/>
              <w:ind w:left="0"/>
            </w:pPr>
            <w:r>
              <w:rPr>
                <w:rFonts w:ascii="Consolas" w:hAnsi="Consolas"/>
                <w:color w:val="1F3535"/>
                <w:sz w:val="18"/>
              </w:rPr>
              <w:t xml:space="preserve">        print(f"      predictions: {args.predictions}")</w:t>
            </w:r>
          </w:p>
          <w:p>
            <w:pPr>
              <w:spacing w:line="240" w:lineRule="auto" w:after="0"/>
              <w:ind w:left="0"/>
            </w:pPr>
            <w:r>
              <w:rPr>
                <w:rFonts w:ascii="Consolas" w:hAnsi="Consolas"/>
                <w:color w:val="1F3535"/>
                <w:sz w:val="18"/>
              </w:rPr>
              <w:t xml:space="preserve">        print(f"      gold       : {args.gold}")</w:t>
            </w:r>
          </w:p>
          <w:p>
            <w:pPr>
              <w:spacing w:line="240" w:lineRule="auto" w:after="0"/>
              <w:ind w:left="0"/>
            </w:pPr>
            <w:r>
              <w:rPr>
                <w:rFonts w:ascii="Consolas" w:hAnsi="Consolas"/>
                <w:color w:val="1F3535"/>
                <w:sz w:val="18"/>
              </w:rPr>
              <w:t xml:space="preserve">        print(f"      rubric weights: {RUBRIC_WEIGHTS}")</w:t>
            </w:r>
          </w:p>
          <w:p>
            <w:pPr>
              <w:spacing w:line="240" w:lineRule="auto" w:after="0"/>
              <w:ind w:left="0"/>
            </w:pPr>
            <w:r>
              <w:rPr>
                <w:rFonts w:ascii="Consolas" w:hAnsi="Consolas"/>
                <w:color w:val="1F3535"/>
                <w:sz w:val="18"/>
              </w:rPr>
              <w:t xml:space="preserve">        result = evaluate_jsonl(args.predictions, args.gold)</w:t>
            </w:r>
          </w:p>
          <w:p>
            <w:pPr>
              <w:spacing w:line="240" w:lineRule="auto" w:after="0"/>
              <w:ind w:left="0"/>
            </w:pPr>
            <w:r>
              <w:rPr>
                <w:rFonts w:ascii="Consolas" w:hAnsi="Consolas"/>
                <w:color w:val="1F3535"/>
                <w:sz w:val="18"/>
              </w:rPr>
              <w:t xml:space="preserve">        with (out_dir / "rubric_report.json").open("w", encoding="utf-8") as f:</w:t>
            </w:r>
          </w:p>
          <w:p>
            <w:pPr>
              <w:spacing w:line="240" w:lineRule="auto" w:after="0"/>
              <w:ind w:left="0"/>
            </w:pPr>
            <w:r>
              <w:rPr>
                <w:rFonts w:ascii="Consolas" w:hAnsi="Consolas"/>
                <w:color w:val="1F3535"/>
                <w:sz w:val="18"/>
              </w:rPr>
              <w:t xml:space="preserve">            json.dump(result, f, indent=2, ensure_ascii=False)</w:t>
            </w:r>
          </w:p>
          <w:p>
            <w:pPr>
              <w:spacing w:line="240" w:lineRule="auto" w:after="0"/>
              <w:ind w:left="0"/>
            </w:pPr>
            <w:r>
              <w:rPr>
                <w:rFonts w:ascii="Consolas" w:hAnsi="Consolas"/>
                <w:color w:val="1F3535"/>
                <w:sz w:val="18"/>
              </w:rPr>
              <w:t xml:space="preserve">        print(f"      n={result['n']}")</w:t>
            </w:r>
          </w:p>
          <w:p>
            <w:pPr>
              <w:spacing w:line="240" w:lineRule="auto" w:after="0"/>
              <w:ind w:left="0"/>
            </w:pPr>
            <w:r>
              <w:rPr>
                <w:rFonts w:ascii="Consolas" w:hAnsi="Consolas"/>
                <w:color w:val="1F3535"/>
                <w:sz w:val="18"/>
              </w:rPr>
              <w:t xml:space="preserve">        print(f"      overall mean={result['overall_mean']:.2f} "</w:t>
            </w:r>
          </w:p>
          <w:p>
            <w:pPr>
              <w:spacing w:line="240" w:lineRule="auto" w:after="0"/>
              <w:ind w:left="0"/>
            </w:pPr>
            <w:r>
              <w:rPr>
                <w:rFonts w:ascii="Consolas" w:hAnsi="Consolas"/>
                <w:color w:val="1F3535"/>
                <w:sz w:val="18"/>
              </w:rPr>
              <w:t xml:space="preserve">              f"(min={result['overall_min']:.2f}, max={result['overall_max']:.2f})")</w:t>
            </w:r>
          </w:p>
          <w:p>
            <w:pPr>
              <w:spacing w:line="240" w:lineRule="auto" w:after="0"/>
              <w:ind w:left="0"/>
            </w:pPr>
            <w:r>
              <w:rPr>
                <w:rFonts w:ascii="Consolas" w:hAnsi="Consolas"/>
                <w:color w:val="1F3535"/>
                <w:sz w:val="18"/>
              </w:rPr>
              <w:t xml:space="preserve">        for dim, val in result["by_dimension"].items():</w:t>
            </w:r>
          </w:p>
          <w:p>
            <w:pPr>
              <w:spacing w:line="240" w:lineRule="auto" w:after="0"/>
              <w:ind w:left="0"/>
            </w:pPr>
            <w:r>
              <w:rPr>
                <w:rFonts w:ascii="Consolas" w:hAnsi="Consolas"/>
                <w:color w:val="1F3535"/>
                <w:sz w:val="18"/>
              </w:rPr>
              <w:t xml:space="preserve">            print(f"      {dim:25s} = {val:.2f}")</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if args.trap_file:</w:t>
            </w:r>
          </w:p>
          <w:p>
            <w:pPr>
              <w:spacing w:line="240" w:lineRule="auto" w:after="0"/>
              <w:ind w:left="0"/>
            </w:pPr>
            <w:r>
              <w:rPr>
                <w:rFonts w:ascii="Consolas" w:hAnsi="Consolas"/>
                <w:color w:val="1F3535"/>
                <w:sz w:val="18"/>
              </w:rPr>
              <w:t xml:space="preserve">        print(f"[2/2] Citation-hallucination trap test")</w:t>
            </w:r>
          </w:p>
          <w:p>
            <w:pPr>
              <w:spacing w:line="240" w:lineRule="auto" w:after="0"/>
              <w:ind w:left="0"/>
            </w:pPr>
            <w:r>
              <w:rPr>
                <w:rFonts w:ascii="Consolas" w:hAnsi="Consolas"/>
                <w:color w:val="1F3535"/>
                <w:sz w:val="18"/>
              </w:rPr>
              <w:t xml:space="preserve">        print(f"      trap file: {args.trap_file}")</w:t>
            </w:r>
          </w:p>
          <w:p>
            <w:pPr>
              <w:spacing w:line="240" w:lineRule="auto" w:after="0"/>
              <w:ind w:left="0"/>
            </w:pPr>
            <w:r>
              <w:rPr>
                <w:rFonts w:ascii="Consolas" w:hAnsi="Consolas"/>
                <w:color w:val="1F3535"/>
                <w:sz w:val="18"/>
              </w:rPr>
              <w:t xml:space="preserve">        trap_data = []</w:t>
            </w:r>
          </w:p>
          <w:p>
            <w:pPr>
              <w:spacing w:line="240" w:lineRule="auto" w:after="0"/>
              <w:ind w:left="0"/>
            </w:pPr>
            <w:r>
              <w:rPr>
                <w:rFonts w:ascii="Consolas" w:hAnsi="Consolas"/>
                <w:color w:val="1F3535"/>
                <w:sz w:val="18"/>
              </w:rPr>
              <w:t xml:space="preserve">        with open(args.trap_file, "r", encoding="utf-8") as f:</w:t>
            </w:r>
          </w:p>
          <w:p>
            <w:pPr>
              <w:spacing w:line="240" w:lineRule="auto" w:after="0"/>
              <w:ind w:left="0"/>
            </w:pPr>
            <w:r>
              <w:rPr>
                <w:rFonts w:ascii="Consolas" w:hAnsi="Consolas"/>
                <w:color w:val="1F3535"/>
                <w:sz w:val="18"/>
              </w:rPr>
              <w:t xml:space="preserve">            for line in f:</w:t>
            </w:r>
          </w:p>
          <w:p>
            <w:pPr>
              <w:spacing w:line="240" w:lineRule="auto" w:after="0"/>
              <w:ind w:left="0"/>
            </w:pPr>
            <w:r>
              <w:rPr>
                <w:rFonts w:ascii="Consolas" w:hAnsi="Consolas"/>
                <w:color w:val="1F3535"/>
                <w:sz w:val="18"/>
              </w:rPr>
              <w:t xml:space="preserve">                line = line.strip()</w:t>
            </w:r>
          </w:p>
          <w:p>
            <w:pPr>
              <w:spacing w:line="240" w:lineRule="auto" w:after="0"/>
              <w:ind w:left="0"/>
            </w:pPr>
            <w:r>
              <w:rPr>
                <w:rFonts w:ascii="Consolas" w:hAnsi="Consolas"/>
                <w:color w:val="1F3535"/>
                <w:sz w:val="18"/>
              </w:rPr>
              <w:t xml:space="preserve">                if not line:</w:t>
            </w:r>
          </w:p>
          <w:p>
            <w:pPr>
              <w:spacing w:line="240" w:lineRule="auto" w:after="0"/>
              <w:ind w:left="0"/>
            </w:pPr>
            <w:r>
              <w:rPr>
                <w:rFonts w:ascii="Consolas" w:hAnsi="Consolas"/>
                <w:color w:val="1F3535"/>
                <w:sz w:val="18"/>
              </w:rPr>
              <w:t xml:space="preserve">                    continue</w:t>
            </w:r>
          </w:p>
          <w:p>
            <w:pPr>
              <w:spacing w:line="240" w:lineRule="auto" w:after="0"/>
              <w:ind w:left="0"/>
            </w:pPr>
            <w:r>
              <w:rPr>
                <w:rFonts w:ascii="Consolas" w:hAnsi="Consolas"/>
                <w:color w:val="1F3535"/>
                <w:sz w:val="18"/>
              </w:rPr>
              <w:t xml:space="preserve">                trap_data.append(json.loads(line))</w:t>
            </w:r>
          </w:p>
          <w:p>
            <w:pPr>
              <w:spacing w:line="240" w:lineRule="auto" w:after="0"/>
              <w:ind w:left="0"/>
            </w:pPr>
            <w:r>
              <w:rPr>
                <w:rFonts w:ascii="Consolas" w:hAnsi="Consolas"/>
                <w:color w:val="1F3535"/>
                <w:sz w:val="18"/>
              </w:rPr>
              <w:t xml:space="preserve">        result = citation_hallucination_test(trap_data)</w:t>
            </w:r>
          </w:p>
          <w:p>
            <w:pPr>
              <w:spacing w:line="240" w:lineRule="auto" w:after="0"/>
              <w:ind w:left="0"/>
            </w:pPr>
            <w:r>
              <w:rPr>
                <w:rFonts w:ascii="Consolas" w:hAnsi="Consolas"/>
                <w:color w:val="1F3535"/>
                <w:sz w:val="18"/>
              </w:rPr>
              <w:t xml:space="preserve">        with (out_dir / "trap_report.json").open("w", encoding="utf-8") as f:</w:t>
            </w:r>
          </w:p>
          <w:p>
            <w:pPr>
              <w:spacing w:line="240" w:lineRule="auto" w:after="0"/>
              <w:ind w:left="0"/>
            </w:pPr>
            <w:r>
              <w:rPr>
                <w:rFonts w:ascii="Consolas" w:hAnsi="Consolas"/>
                <w:color w:val="1F3535"/>
                <w:sz w:val="18"/>
              </w:rPr>
              <w:t xml:space="preserve">            json.dump(result, f, indent=2, ensure_ascii=False)</w:t>
            </w:r>
          </w:p>
          <w:p>
            <w:pPr>
              <w:spacing w:line="240" w:lineRule="auto" w:after="0"/>
              <w:ind w:left="0"/>
            </w:pPr>
            <w:r>
              <w:rPr>
                <w:rFonts w:ascii="Consolas" w:hAnsi="Consolas"/>
                <w:color w:val="1F3535"/>
                <w:sz w:val="18"/>
              </w:rPr>
              <w:t xml:space="preserve">        print(f"      n={result['n']}  pass={result['pass_count']}  "</w:t>
            </w:r>
          </w:p>
          <w:p>
            <w:pPr>
              <w:spacing w:line="240" w:lineRule="auto" w:after="0"/>
              <w:ind w:left="0"/>
            </w:pPr>
            <w:r>
              <w:rPr>
                <w:rFonts w:ascii="Consolas" w:hAnsi="Consolas"/>
                <w:color w:val="1F3535"/>
                <w:sz w:val="18"/>
              </w:rPr>
              <w:t xml:space="preserve">              f"pass_rate={result['pass_rate']:.2%}")</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print(f"[OK] reports -&gt; {out_dir}")</w:t>
            </w:r>
          </w:p>
          <w:p>
            <w:pPr>
              <w:spacing w:line="240" w:lineRule="auto" w:after="0"/>
              <w:ind w:left="0"/>
            </w:pPr>
            <w:r>
              <w:rPr>
                <w:rFonts w:ascii="Consolas" w:hAnsi="Consolas"/>
                <w:color w:val="1F3535"/>
                <w:sz w:val="18"/>
              </w:rPr>
              <w:t xml:space="preserve">    return 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if __name__ == "__main__":</w:t>
            </w:r>
          </w:p>
          <w:p>
            <w:pPr>
              <w:spacing w:line="240" w:lineRule="auto" w:after="0"/>
              <w:ind w:left="0"/>
            </w:pPr>
            <w:r>
              <w:rPr>
                <w:rFonts w:ascii="Consolas" w:hAnsi="Consolas"/>
                <w:color w:val="1F3535"/>
                <w:sz w:val="18"/>
              </w:rPr>
              <w:t xml:space="preserve">    sys.exit(main())</w:t>
            </w:r>
          </w:p>
          <w:p>
            <w:pPr>
              <w:spacing w:line="240" w:lineRule="auto" w:after="0"/>
              <w:ind w:left="0"/>
            </w:pPr>
            <w:r>
              <w:rPr>
                <w:rFonts w:ascii="Consolas" w:hAnsi="Consolas"/>
                <w:color w:val="1F3535"/>
                <w:sz w:val="18"/>
              </w:rPr>
            </w:r>
          </w:p>
        </w:tc>
      </w:tr>
    </w:tbl>
    <w:p>
      <w:pPr>
        <w:spacing w:after="80"/>
      </w:pPr>
    </w:p>
    <w:p>
      <w:pPr>
        <w:pStyle w:val="Heading3"/>
      </w:pPr>
      <w:r>
        <w:rPr>
          <w:color w:val="1F3864"/>
        </w:rPr>
        <w:t>tests/test_validator.py</w:t>
      </w:r>
    </w:p>
    <w:p>
      <w:pPr>
        <w:spacing w:before="120" w:after="40"/>
      </w:pPr>
      <w:r>
        <w:rPr>
          <w:i/>
          <w:color w:val="606060"/>
          <w:sz w:val="18"/>
        </w:rPr>
        <w:t xml:space="preserve">  python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"""Unit tests for the ASC 606 JSONL validator.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Run with:</w:t>
            </w:r>
          </w:p>
          <w:p>
            <w:pPr>
              <w:spacing w:line="240" w:lineRule="auto" w:after="0"/>
              <w:ind w:left="0"/>
            </w:pPr>
            <w:r>
              <w:rPr>
                <w:rFonts w:ascii="Consolas" w:hAnsi="Consolas"/>
                <w:color w:val="1F3535"/>
                <w:sz w:val="18"/>
              </w:rPr>
              <w:t xml:space="preserve">    pytest tests/ -v</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__future__ import annotations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json</w:t>
            </w:r>
          </w:p>
          <w:p>
            <w:pPr>
              <w:spacing w:line="240" w:lineRule="auto" w:after="0"/>
              <w:ind w:left="0"/>
            </w:pPr>
            <w:r>
              <w:rPr>
                <w:rFonts w:ascii="Consolas" w:hAnsi="Consolas"/>
                <w:color w:val="1F3535"/>
                <w:sz w:val="18"/>
              </w:rPr>
              <w:t>import sys</w:t>
            </w:r>
          </w:p>
          <w:p>
            <w:pPr>
              <w:spacing w:line="240" w:lineRule="auto" w:after="0"/>
              <w:ind w:left="0"/>
            </w:pPr>
            <w:r>
              <w:rPr>
                <w:rFonts w:ascii="Consolas" w:hAnsi="Consolas"/>
                <w:color w:val="1F3535"/>
                <w:sz w:val="18"/>
              </w:rPr>
              <w:t>from pathlib import Path</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Make src/ importable when run from the repo root.</w:t>
            </w:r>
          </w:p>
          <w:p>
            <w:pPr>
              <w:spacing w:line="240" w:lineRule="auto" w:after="0"/>
              <w:ind w:left="0"/>
            </w:pPr>
            <w:r>
              <w:rPr>
                <w:rFonts w:ascii="Consolas" w:hAnsi="Consolas"/>
                <w:color w:val="1F3535"/>
                <w:sz w:val="18"/>
              </w:rPr>
              <w:t>sys.path.insert(0, str(Path(__file__).resolve().parent.parent / "src"))</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import pytest  # noqa: E402</w:t>
            </w:r>
          </w:p>
          <w:p>
            <w:pPr>
              <w:spacing w:line="240" w:lineRule="auto" w:after="0"/>
              <w:ind w:left="0"/>
            </w:pPr>
            <w:r>
              <w:rPr>
                <w:rFonts w:ascii="Consolas" w:hAnsi="Consolas"/>
                <w:color w:val="1F3535"/>
                <w:sz w:val="18"/>
              </w:rPr>
              <w:t>from asc606_trainer.validator import (  # noqa: E402</w:t>
            </w:r>
          </w:p>
          <w:p>
            <w:pPr>
              <w:spacing w:line="240" w:lineRule="auto" w:after="0"/>
              <w:ind w:left="0"/>
            </w:pPr>
            <w:r>
              <w:rPr>
                <w:rFonts w:ascii="Consolas" w:hAnsi="Consolas"/>
                <w:color w:val="1F3535"/>
                <w:sz w:val="18"/>
              </w:rPr>
              <w:t xml:space="preserve">    KNOWN_BOGUS_CITATIONS,</w:t>
            </w:r>
          </w:p>
          <w:p>
            <w:pPr>
              <w:spacing w:line="240" w:lineRule="auto" w:after="0"/>
              <w:ind w:left="0"/>
            </w:pPr>
            <w:r>
              <w:rPr>
                <w:rFonts w:ascii="Consolas" w:hAnsi="Consolas"/>
                <w:color w:val="1F3535"/>
                <w:sz w:val="18"/>
              </w:rPr>
              <w:t xml:space="preserve">    validate_file,</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from asc606_trainer.schema import (  # noqa: E402</w:t>
            </w:r>
          </w:p>
          <w:p>
            <w:pPr>
              <w:spacing w:line="240" w:lineRule="auto" w:after="0"/>
              <w:ind w:left="0"/>
            </w:pPr>
            <w:r>
              <w:rPr>
                <w:rFonts w:ascii="Consolas" w:hAnsi="Consolas"/>
                <w:color w:val="1F3535"/>
                <w:sz w:val="18"/>
              </w:rPr>
              <w:t xml:space="preserve">    ChatMessage, ManifestRecord, ModuleId, Difficulty, TaskType,</w:t>
            </w:r>
          </w:p>
          <w:p>
            <w:pPr>
              <w:spacing w:line="240" w:lineRule="auto" w:after="0"/>
              <w:ind w:left="0"/>
            </w:pPr>
            <w:r>
              <w:rPr>
                <w:rFonts w:ascii="Consolas" w:hAnsi="Consolas"/>
                <w:color w:val="1F3535"/>
                <w:sz w:val="18"/>
              </w:rPr>
              <w:t xml:space="preserve">    Provenance, Split, TrainingRecord,</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Helpers</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GOOD_RECORD = TrainingRecord(</w:t>
            </w:r>
          </w:p>
          <w:p>
            <w:pPr>
              <w:spacing w:line="240" w:lineRule="auto" w:after="0"/>
              <w:ind w:left="0"/>
            </w:pPr>
            <w:r>
              <w:rPr>
                <w:rFonts w:ascii="Consolas" w:hAnsi="Consolas"/>
                <w:color w:val="1F3535"/>
                <w:sz w:val="18"/>
              </w:rPr>
              <w:t xml:space="preserve">    messages=[</w:t>
            </w:r>
          </w:p>
          <w:p>
            <w:pPr>
              <w:spacing w:line="240" w:lineRule="auto" w:after="0"/>
              <w:ind w:left="0"/>
            </w:pPr>
            <w:r>
              <w:rPr>
                <w:rFonts w:ascii="Consolas" w:hAnsi="Consolas"/>
                <w:color w:val="1F3535"/>
                <w:sz w:val="18"/>
              </w:rPr>
              <w:t xml:space="preserve">        ChatMessage(role="system", content="You are an expert US-GAAP ASC 606 assistant."),</w:t>
            </w:r>
          </w:p>
          <w:p>
            <w:pPr>
              <w:spacing w:line="240" w:lineRule="auto" w:after="0"/>
              <w:ind w:left="0"/>
            </w:pPr>
            <w:r>
              <w:rPr>
                <w:rFonts w:ascii="Consolas" w:hAnsi="Consolas"/>
                <w:color w:val="1F3535"/>
                <w:sz w:val="18"/>
              </w:rPr>
              <w:t xml:space="preserve">        ChatMessage(role="user", content="Define revenue."),</w:t>
            </w:r>
          </w:p>
          <w:p>
            <w:pPr>
              <w:spacing w:line="240" w:lineRule="auto" w:after="0"/>
              <w:ind w:left="0"/>
            </w:pPr>
            <w:r>
              <w:rPr>
                <w:rFonts w:ascii="Consolas" w:hAnsi="Consolas"/>
                <w:color w:val="1F3535"/>
                <w:sz w:val="18"/>
              </w:rPr>
              <w:t xml:space="preserve">        ChatMessage(role="assistant",</w:t>
            </w:r>
          </w:p>
          <w:p>
            <w:pPr>
              <w:spacing w:line="240" w:lineRule="auto" w:after="0"/>
              <w:ind w:left="0"/>
            </w:pPr>
            <w:r>
              <w:rPr>
                <w:rFonts w:ascii="Consolas" w:hAnsi="Consolas"/>
                <w:color w:val="1F3535"/>
                <w:sz w:val="18"/>
              </w:rPr>
              <w:t xml:space="preserve">                    content="Revenue is the gross inflow of economic benefits arising in the course of an entity's ordinary activities..."),</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HALLUCINATION_RECORD = TrainingRecord(</w:t>
            </w:r>
          </w:p>
          <w:p>
            <w:pPr>
              <w:spacing w:line="240" w:lineRule="auto" w:after="0"/>
              <w:ind w:left="0"/>
            </w:pPr>
            <w:r>
              <w:rPr>
                <w:rFonts w:ascii="Consolas" w:hAnsi="Consolas"/>
                <w:color w:val="1F3535"/>
                <w:sz w:val="18"/>
              </w:rPr>
              <w:t xml:space="preserve">    messages=[</w:t>
            </w:r>
          </w:p>
          <w:p>
            <w:pPr>
              <w:spacing w:line="240" w:lineRule="auto" w:after="0"/>
              <w:ind w:left="0"/>
            </w:pPr>
            <w:r>
              <w:rPr>
                <w:rFonts w:ascii="Consolas" w:hAnsi="Consolas"/>
                <w:color w:val="1F3535"/>
                <w:sz w:val="18"/>
              </w:rPr>
              <w:t xml:space="preserve">        ChatMessage(role="system", content="sys"),</w:t>
            </w:r>
          </w:p>
          <w:p>
            <w:pPr>
              <w:spacing w:line="240" w:lineRule="auto" w:after="0"/>
              <w:ind w:left="0"/>
            </w:pPr>
            <w:r>
              <w:rPr>
                <w:rFonts w:ascii="Consolas" w:hAnsi="Consolas"/>
                <w:color w:val="1F3535"/>
                <w:sz w:val="18"/>
              </w:rPr>
              <w:t xml:space="preserve">        ChatMessage(role="user", content="u"),</w:t>
            </w:r>
          </w:p>
          <w:p>
            <w:pPr>
              <w:spacing w:line="240" w:lineRule="auto" w:after="0"/>
              <w:ind w:left="0"/>
            </w:pPr>
            <w:r>
              <w:rPr>
                <w:rFonts w:ascii="Consolas" w:hAnsi="Consolas"/>
                <w:color w:val="1F3535"/>
                <w:sz w:val="18"/>
              </w:rPr>
              <w:t xml:space="preserve">        ChatMessage(role="assistant",</w:t>
            </w:r>
          </w:p>
          <w:p>
            <w:pPr>
              <w:spacing w:line="240" w:lineRule="auto" w:after="0"/>
              <w:ind w:left="0"/>
            </w:pPr>
            <w:r>
              <w:rPr>
                <w:rFonts w:ascii="Consolas" w:hAnsi="Consolas"/>
                <w:color w:val="1F3535"/>
                <w:sz w:val="18"/>
              </w:rPr>
              <w:t xml:space="preserve">                    content=f"According to {next(iter(KNOWN_BOGUS_CITATIONS))}, all revenue is recognized at shipment."),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REFUSED_HALLUCINATION_RECORD = TrainingRecord(</w:t>
            </w:r>
          </w:p>
          <w:p>
            <w:pPr>
              <w:spacing w:line="240" w:lineRule="auto" w:after="0"/>
              <w:ind w:left="0"/>
            </w:pPr>
            <w:r>
              <w:rPr>
                <w:rFonts w:ascii="Consolas" w:hAnsi="Consolas"/>
                <w:color w:val="1F3535"/>
                <w:sz w:val="18"/>
              </w:rPr>
              <w:t xml:space="preserve">    messages=[</w:t>
            </w:r>
          </w:p>
          <w:p>
            <w:pPr>
              <w:spacing w:line="240" w:lineRule="auto" w:after="0"/>
              <w:ind w:left="0"/>
            </w:pPr>
            <w:r>
              <w:rPr>
                <w:rFonts w:ascii="Consolas" w:hAnsi="Consolas"/>
                <w:color w:val="1F3535"/>
                <w:sz w:val="18"/>
              </w:rPr>
              <w:t xml:space="preserve">        ChatMessage(role="system", content="sys"),</w:t>
            </w:r>
          </w:p>
          <w:p>
            <w:pPr>
              <w:spacing w:line="240" w:lineRule="auto" w:after="0"/>
              <w:ind w:left="0"/>
            </w:pPr>
            <w:r>
              <w:rPr>
                <w:rFonts w:ascii="Consolas" w:hAnsi="Consolas"/>
                <w:color w:val="1F3535"/>
                <w:sz w:val="18"/>
              </w:rPr>
              <w:t xml:space="preserve">        ChatMessage(role="user",</w:t>
            </w:r>
          </w:p>
          <w:p>
            <w:pPr>
              <w:spacing w:line="240" w:lineRule="auto" w:after="0"/>
              <w:ind w:left="0"/>
            </w:pPr>
            <w:r>
              <w:rPr>
                <w:rFonts w:ascii="Consolas" w:hAnsi="Consolas"/>
                <w:color w:val="1F3535"/>
                <w:sz w:val="18"/>
              </w:rPr>
              <w:t xml:space="preserve">                    content=f"Does {next(iter(KNOWN_BOGUS_CITATIONS))} say revenue is recognized at shipment?"),</w:t>
            </w:r>
          </w:p>
          <w:p>
            <w:pPr>
              <w:spacing w:line="240" w:lineRule="auto" w:after="0"/>
              <w:ind w:left="0"/>
            </w:pPr>
            <w:r>
              <w:rPr>
                <w:rFonts w:ascii="Consolas" w:hAnsi="Consolas"/>
                <w:color w:val="1F3535"/>
                <w:sz w:val="18"/>
              </w:rPr>
              <w:t xml:space="preserve">        ChatMessage(role="assistant",</w:t>
            </w:r>
          </w:p>
          <w:p>
            <w:pPr>
              <w:spacing w:line="240" w:lineRule="auto" w:after="0"/>
              <w:ind w:left="0"/>
            </w:pPr>
            <w:r>
              <w:rPr>
                <w:rFonts w:ascii="Consolas" w:hAnsi="Consolas"/>
                <w:color w:val="1F3535"/>
                <w:sz w:val="18"/>
              </w:rPr>
              <w:t xml:space="preserve">                    content=(</w:t>
            </w:r>
          </w:p>
          <w:p>
            <w:pPr>
              <w:spacing w:line="240" w:lineRule="auto" w:after="0"/>
              <w:ind w:left="0"/>
            </w:pPr>
            <w:r>
              <w:rPr>
                <w:rFonts w:ascii="Consolas" w:hAnsi="Consolas"/>
                <w:color w:val="1F3535"/>
                <w:sz w:val="18"/>
              </w:rPr>
              <w:t xml:space="preserve">                        f"I cannot validate the citation "</w:t>
            </w:r>
          </w:p>
          <w:p>
            <w:pPr>
              <w:spacing w:line="240" w:lineRule="auto" w:after="0"/>
              <w:ind w:left="0"/>
            </w:pPr>
            <w:r>
              <w:rPr>
                <w:rFonts w:ascii="Consolas" w:hAnsi="Consolas"/>
                <w:color w:val="1F3535"/>
                <w:sz w:val="18"/>
              </w:rPr>
              <w:t xml:space="preserve">                        f"{next(iter(KNOWN_BOGUS_CITATIONS))} and would "</w:t>
            </w:r>
          </w:p>
          <w:p>
            <w:pPr>
              <w:spacing w:line="240" w:lineRule="auto" w:after="0"/>
              <w:ind w:left="0"/>
            </w:pPr>
            <w:r>
              <w:rPr>
                <w:rFonts w:ascii="Consolas" w:hAnsi="Consolas"/>
                <w:color w:val="1F3535"/>
                <w:sz w:val="18"/>
              </w:rPr>
              <w:t xml:space="preserve">                        f"not treat it as authoritative. The proposition "</w:t>
            </w:r>
          </w:p>
          <w:p>
            <w:pPr>
              <w:spacing w:line="240" w:lineRule="auto" w:after="0"/>
              <w:ind w:left="0"/>
            </w:pPr>
            <w:r>
              <w:rPr>
                <w:rFonts w:ascii="Consolas" w:hAnsi="Consolas"/>
                <w:color w:val="1F3535"/>
                <w:sz w:val="18"/>
              </w:rPr>
              <w:t xml:space="preserve">                        f"is also unsupported by ASC 606."</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UNBALANCED_JE_RECORD = TrainingRecord(</w:t>
            </w:r>
          </w:p>
          <w:p>
            <w:pPr>
              <w:spacing w:line="240" w:lineRule="auto" w:after="0"/>
              <w:ind w:left="0"/>
            </w:pPr>
            <w:r>
              <w:rPr>
                <w:rFonts w:ascii="Consolas" w:hAnsi="Consolas"/>
                <w:color w:val="1F3535"/>
                <w:sz w:val="18"/>
              </w:rPr>
              <w:t xml:space="preserve">    messages=[</w:t>
            </w:r>
          </w:p>
          <w:p>
            <w:pPr>
              <w:spacing w:line="240" w:lineRule="auto" w:after="0"/>
              <w:ind w:left="0"/>
            </w:pPr>
            <w:r>
              <w:rPr>
                <w:rFonts w:ascii="Consolas" w:hAnsi="Consolas"/>
                <w:color w:val="1F3535"/>
                <w:sz w:val="18"/>
              </w:rPr>
              <w:t xml:space="preserve">        ChatMessage(role="system", content="sys"),</w:t>
            </w:r>
          </w:p>
          <w:p>
            <w:pPr>
              <w:spacing w:line="240" w:lineRule="auto" w:after="0"/>
              <w:ind w:left="0"/>
            </w:pPr>
            <w:r>
              <w:rPr>
                <w:rFonts w:ascii="Consolas" w:hAnsi="Consolas"/>
                <w:color w:val="1F3535"/>
                <w:sz w:val="18"/>
              </w:rPr>
              <w:t xml:space="preserve">        ChatMessage(role="user", content="u"),</w:t>
            </w:r>
          </w:p>
          <w:p>
            <w:pPr>
              <w:spacing w:line="240" w:lineRule="auto" w:after="0"/>
              <w:ind w:left="0"/>
            </w:pPr>
            <w:r>
              <w:rPr>
                <w:rFonts w:ascii="Consolas" w:hAnsi="Consolas"/>
                <w:color w:val="1F3535"/>
                <w:sz w:val="18"/>
              </w:rPr>
              <w:t xml:space="preserve">        ChatMessage(role="assistant",</w:t>
            </w:r>
          </w:p>
          <w:p>
            <w:pPr>
              <w:spacing w:line="240" w:lineRule="auto" w:after="0"/>
              <w:ind w:left="0"/>
            </w:pPr>
            <w:r>
              <w:rPr>
                <w:rFonts w:ascii="Consolas" w:hAnsi="Consolas"/>
                <w:color w:val="1F3535"/>
                <w:sz w:val="18"/>
              </w:rPr>
              <w:t xml:space="preserve">                    content=(</w:t>
            </w:r>
          </w:p>
          <w:p>
            <w:pPr>
              <w:spacing w:line="240" w:lineRule="auto" w:after="0"/>
              <w:ind w:left="0"/>
            </w:pPr>
            <w:r>
              <w:rPr>
                <w:rFonts w:ascii="Consolas" w:hAnsi="Consolas"/>
                <w:color w:val="1F3535"/>
                <w:sz w:val="18"/>
              </w:rPr>
              <w:t xml:space="preserve">                        "Dr Cash 1,000\n"</w:t>
            </w:r>
          </w:p>
          <w:p>
            <w:pPr>
              <w:spacing w:line="240" w:lineRule="auto" w:after="0"/>
              <w:ind w:left="0"/>
            </w:pPr>
            <w:r>
              <w:rPr>
                <w:rFonts w:ascii="Consolas" w:hAnsi="Consolas"/>
                <w:color w:val="1F3535"/>
                <w:sz w:val="18"/>
              </w:rPr>
              <w:t xml:space="preserve">                        "Cr Revenue 800"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BALANCED_JE_RECORD = TrainingRecord(</w:t>
            </w:r>
          </w:p>
          <w:p>
            <w:pPr>
              <w:spacing w:line="240" w:lineRule="auto" w:after="0"/>
              <w:ind w:left="0"/>
            </w:pPr>
            <w:r>
              <w:rPr>
                <w:rFonts w:ascii="Consolas" w:hAnsi="Consolas"/>
                <w:color w:val="1F3535"/>
                <w:sz w:val="18"/>
              </w:rPr>
              <w:t xml:space="preserve">    messages=[</w:t>
            </w:r>
          </w:p>
          <w:p>
            <w:pPr>
              <w:spacing w:line="240" w:lineRule="auto" w:after="0"/>
              <w:ind w:left="0"/>
            </w:pPr>
            <w:r>
              <w:rPr>
                <w:rFonts w:ascii="Consolas" w:hAnsi="Consolas"/>
                <w:color w:val="1F3535"/>
                <w:sz w:val="18"/>
              </w:rPr>
              <w:t xml:space="preserve">        ChatMessage(role="system", content="sys"),</w:t>
            </w:r>
          </w:p>
          <w:p>
            <w:pPr>
              <w:spacing w:line="240" w:lineRule="auto" w:after="0"/>
              <w:ind w:left="0"/>
            </w:pPr>
            <w:r>
              <w:rPr>
                <w:rFonts w:ascii="Consolas" w:hAnsi="Consolas"/>
                <w:color w:val="1F3535"/>
                <w:sz w:val="18"/>
              </w:rPr>
              <w:t xml:space="preserve">        ChatMessage(role="user", content="u"),</w:t>
            </w:r>
          </w:p>
          <w:p>
            <w:pPr>
              <w:spacing w:line="240" w:lineRule="auto" w:after="0"/>
              <w:ind w:left="0"/>
            </w:pPr>
            <w:r>
              <w:rPr>
                <w:rFonts w:ascii="Consolas" w:hAnsi="Consolas"/>
                <w:color w:val="1F3535"/>
                <w:sz w:val="18"/>
              </w:rPr>
              <w:t xml:space="preserve">        ChatMessage(role="assistant",</w:t>
            </w:r>
          </w:p>
          <w:p>
            <w:pPr>
              <w:spacing w:line="240" w:lineRule="auto" w:after="0"/>
              <w:ind w:left="0"/>
            </w:pPr>
            <w:r>
              <w:rPr>
                <w:rFonts w:ascii="Consolas" w:hAnsi="Consolas"/>
                <w:color w:val="1F3535"/>
                <w:sz w:val="18"/>
              </w:rPr>
              <w:t xml:space="preserve">                    content=(</w:t>
            </w:r>
          </w:p>
          <w:p>
            <w:pPr>
              <w:spacing w:line="240" w:lineRule="auto" w:after="0"/>
              <w:ind w:left="0"/>
            </w:pPr>
            <w:r>
              <w:rPr>
                <w:rFonts w:ascii="Consolas" w:hAnsi="Consolas"/>
                <w:color w:val="1F3535"/>
                <w:sz w:val="18"/>
              </w:rPr>
              <w:t xml:space="preserve">                        "Dr Cash 1,000\n"</w:t>
            </w:r>
          </w:p>
          <w:p>
            <w:pPr>
              <w:spacing w:line="240" w:lineRule="auto" w:after="0"/>
              <w:ind w:left="0"/>
            </w:pPr>
            <w:r>
              <w:rPr>
                <w:rFonts w:ascii="Consolas" w:hAnsi="Consolas"/>
                <w:color w:val="1F3535"/>
                <w:sz w:val="18"/>
              </w:rPr>
              <w:t xml:space="preserve">                        "Cr Revenue 1,000"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_write_jsonl(path: Path, records: list[TrainingRecord]) -&gt; None:</w:t>
            </w:r>
          </w:p>
          <w:p>
            <w:pPr>
              <w:spacing w:line="240" w:lineRule="auto" w:after="0"/>
              <w:ind w:left="0"/>
            </w:pPr>
            <w:r>
              <w:rPr>
                <w:rFonts w:ascii="Consolas" w:hAnsi="Consolas"/>
                <w:color w:val="1F3535"/>
                <w:sz w:val="18"/>
              </w:rPr>
              <w:t xml:space="preserve">    with path.open("w", encoding="utf-8") as f:</w:t>
            </w:r>
          </w:p>
          <w:p>
            <w:pPr>
              <w:spacing w:line="240" w:lineRule="auto" w:after="0"/>
              <w:ind w:left="0"/>
            </w:pPr>
            <w:r>
              <w:rPr>
                <w:rFonts w:ascii="Consolas" w:hAnsi="Consolas"/>
                <w:color w:val="1F3535"/>
                <w:sz w:val="18"/>
              </w:rPr>
              <w:t xml:space="preserve">        for r in records:</w:t>
            </w:r>
          </w:p>
          <w:p>
            <w:pPr>
              <w:spacing w:line="240" w:lineRule="auto" w:after="0"/>
              <w:ind w:left="0"/>
            </w:pPr>
            <w:r>
              <w:rPr>
                <w:rFonts w:ascii="Consolas" w:hAnsi="Consolas"/>
                <w:color w:val="1F3535"/>
                <w:sz w:val="18"/>
              </w:rPr>
              <w:t xml:space="preserve">            f.write(json.dumps(r.model_dump(), ensure_ascii=False) + "\n")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t># Tests</w:t>
            </w:r>
          </w:p>
          <w:p>
            <w:pPr>
              <w:spacing w:line="240" w:lineRule="auto" w:after="0"/>
              <w:ind w:left="0"/>
            </w:pPr>
            <w:r>
              <w:rPr>
                <w:rFonts w:ascii="Consolas" w:hAnsi="Consolas"/>
                <w:color w:val="1F3535"/>
                <w:sz w:val="18"/>
              </w:rPr>
              <w: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test_good_record_passes(tmp_path: Path) -&gt; None:</w:t>
            </w:r>
          </w:p>
          <w:p>
            <w:pPr>
              <w:spacing w:line="240" w:lineRule="auto" w:after="0"/>
              <w:ind w:left="0"/>
            </w:pPr>
            <w:r>
              <w:rPr>
                <w:rFonts w:ascii="Consolas" w:hAnsi="Consolas"/>
                <w:color w:val="1F3535"/>
                <w:sz w:val="18"/>
              </w:rPr>
              <w:t xml:space="preserve">    p = tmp_path / "ok.jsonl"</w:t>
            </w:r>
          </w:p>
          <w:p>
            <w:pPr>
              <w:spacing w:line="240" w:lineRule="auto" w:after="0"/>
              <w:ind w:left="0"/>
            </w:pPr>
            <w:r>
              <w:rPr>
                <w:rFonts w:ascii="Consolas" w:hAnsi="Consolas"/>
                <w:color w:val="1F3535"/>
                <w:sz w:val="18"/>
              </w:rPr>
              <w:t xml:space="preserve">    _write_jsonl(p, [GOOD_RECORD])</w:t>
            </w:r>
          </w:p>
          <w:p>
            <w:pPr>
              <w:spacing w:line="240" w:lineRule="auto" w:after="0"/>
              <w:ind w:left="0"/>
            </w:pPr>
            <w:r>
              <w:rPr>
                <w:rFonts w:ascii="Consolas" w:hAnsi="Consolas"/>
                <w:color w:val="1F3535"/>
                <w:sz w:val="18"/>
              </w:rPr>
              <w:t xml:space="preserve">    report = validate_file(p)</w:t>
            </w:r>
          </w:p>
          <w:p>
            <w:pPr>
              <w:spacing w:line="240" w:lineRule="auto" w:after="0"/>
              <w:ind w:left="0"/>
            </w:pPr>
            <w:r>
              <w:rPr>
                <w:rFonts w:ascii="Consolas" w:hAnsi="Consolas"/>
                <w:color w:val="1F3535"/>
                <w:sz w:val="18"/>
              </w:rPr>
              <w:t xml:space="preserve">    assert report.ok, f"expected OK, got errors: {[e.message for e in report.errors]}"</w:t>
            </w:r>
          </w:p>
          <w:p>
            <w:pPr>
              <w:spacing w:line="240" w:lineRule="auto" w:after="0"/>
              <w:ind w:left="0"/>
            </w:pPr>
            <w:r>
              <w:rPr>
                <w:rFonts w:ascii="Consolas" w:hAnsi="Consolas"/>
                <w:color w:val="1F3535"/>
                <w:sz w:val="18"/>
              </w:rPr>
              <w:t xml:space="preserve">    assert report.total_lines == 1</w:t>
            </w:r>
          </w:p>
          <w:p>
            <w:pPr>
              <w:spacing w:line="240" w:lineRule="auto" w:after="0"/>
              <w:ind w:left="0"/>
            </w:pPr>
            <w:r>
              <w:rPr>
                <w:rFonts w:ascii="Consolas" w:hAnsi="Consolas"/>
                <w:color w:val="1F3535"/>
                <w:sz w:val="18"/>
              </w:rPr>
              <w:t xml:space="preserve">    assert report.parsed_lines == 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test_known_bogus_citation_in_assistant_fails(tmp_path: Path) -&gt; None:</w:t>
            </w:r>
          </w:p>
          <w:p>
            <w:pPr>
              <w:spacing w:line="240" w:lineRule="auto" w:after="0"/>
              <w:ind w:left="0"/>
            </w:pPr>
            <w:r>
              <w:rPr>
                <w:rFonts w:ascii="Consolas" w:hAnsi="Consolas"/>
                <w:color w:val="1F3535"/>
                <w:sz w:val="18"/>
              </w:rPr>
              <w:t xml:space="preserve">    p = tmp_path / "bad.jsonl"</w:t>
            </w:r>
          </w:p>
          <w:p>
            <w:pPr>
              <w:spacing w:line="240" w:lineRule="auto" w:after="0"/>
              <w:ind w:left="0"/>
            </w:pPr>
            <w:r>
              <w:rPr>
                <w:rFonts w:ascii="Consolas" w:hAnsi="Consolas"/>
                <w:color w:val="1F3535"/>
                <w:sz w:val="18"/>
              </w:rPr>
              <w:t xml:space="preserve">    _write_jsonl(p, [HALLUCINATION_RECORD])</w:t>
            </w:r>
          </w:p>
          <w:p>
            <w:pPr>
              <w:spacing w:line="240" w:lineRule="auto" w:after="0"/>
              <w:ind w:left="0"/>
            </w:pPr>
            <w:r>
              <w:rPr>
                <w:rFonts w:ascii="Consolas" w:hAnsi="Consolas"/>
                <w:color w:val="1F3535"/>
                <w:sz w:val="18"/>
              </w:rPr>
              <w:t xml:space="preserve">    report = validate_file(p)</w:t>
            </w:r>
          </w:p>
          <w:p>
            <w:pPr>
              <w:spacing w:line="240" w:lineRule="auto" w:after="0"/>
              <w:ind w:left="0"/>
            </w:pPr>
            <w:r>
              <w:rPr>
                <w:rFonts w:ascii="Consolas" w:hAnsi="Consolas"/>
                <w:color w:val="1F3535"/>
                <w:sz w:val="18"/>
              </w:rPr>
              <w:t xml:space="preserve">    assert not report.ok</w:t>
            </w:r>
          </w:p>
          <w:p>
            <w:pPr>
              <w:spacing w:line="240" w:lineRule="auto" w:after="0"/>
              <w:ind w:left="0"/>
            </w:pPr>
            <w:r>
              <w:rPr>
                <w:rFonts w:ascii="Consolas" w:hAnsi="Consolas"/>
                <w:color w:val="1F3535"/>
                <w:sz w:val="18"/>
              </w:rPr>
              <w:t xml:space="preserve">    codes = [e.code for e in report.errors]</w:t>
            </w:r>
          </w:p>
          <w:p>
            <w:pPr>
              <w:spacing w:line="240" w:lineRule="auto" w:after="0"/>
              <w:ind w:left="0"/>
            </w:pPr>
            <w:r>
              <w:rPr>
                <w:rFonts w:ascii="Consolas" w:hAnsi="Consolas"/>
                <w:color w:val="1F3535"/>
                <w:sz w:val="18"/>
              </w:rPr>
              <w:t xml:space="preserve">    assert "CITATION_HALLUCINATION" in codes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test_refused_hallucination_passes_with_warning(tmp_path: Path) -&gt; None:</w:t>
            </w:r>
          </w:p>
          <w:p>
            <w:pPr>
              <w:spacing w:line="240" w:lineRule="auto" w:after="0"/>
              <w:ind w:left="0"/>
            </w:pPr>
            <w:r>
              <w:rPr>
                <w:rFonts w:ascii="Consolas" w:hAnsi="Consolas"/>
                <w:color w:val="1F3535"/>
                <w:sz w:val="18"/>
              </w:rPr>
              <w:t xml:space="preserve">    p = tmp_path / "refused.jsonl"</w:t>
            </w:r>
          </w:p>
          <w:p>
            <w:pPr>
              <w:spacing w:line="240" w:lineRule="auto" w:after="0"/>
              <w:ind w:left="0"/>
            </w:pPr>
            <w:r>
              <w:rPr>
                <w:rFonts w:ascii="Consolas" w:hAnsi="Consolas"/>
                <w:color w:val="1F3535"/>
                <w:sz w:val="18"/>
              </w:rPr>
              <w:t xml:space="preserve">    _write_jsonl(p, [REFUSED_HALLUCINATION_RECORD])</w:t>
            </w:r>
          </w:p>
          <w:p>
            <w:pPr>
              <w:spacing w:line="240" w:lineRule="auto" w:after="0"/>
              <w:ind w:left="0"/>
            </w:pPr>
            <w:r>
              <w:rPr>
                <w:rFonts w:ascii="Consolas" w:hAnsi="Consolas"/>
                <w:color w:val="1F3535"/>
                <w:sz w:val="18"/>
              </w:rPr>
              <w:t xml:space="preserve">    report = validate_file(p)</w:t>
            </w:r>
          </w:p>
          <w:p>
            <w:pPr>
              <w:spacing w:line="240" w:lineRule="auto" w:after="0"/>
              <w:ind w:left="0"/>
            </w:pPr>
            <w:r>
              <w:rPr>
                <w:rFonts w:ascii="Consolas" w:hAnsi="Consolas"/>
                <w:color w:val="1F3535"/>
                <w:sz w:val="18"/>
              </w:rPr>
              <w:t xml:space="preserve">    assert report.ok, [e.message for e in report.errors]</w:t>
            </w:r>
          </w:p>
          <w:p>
            <w:pPr>
              <w:spacing w:line="240" w:lineRule="auto" w:after="0"/>
              <w:ind w:left="0"/>
            </w:pPr>
            <w:r>
              <w:rPr>
                <w:rFonts w:ascii="Consolas" w:hAnsi="Consolas"/>
                <w:color w:val="1F3535"/>
                <w:sz w:val="18"/>
              </w:rPr>
              <w:t xml:space="preserve">    codes = [w.code for w in report.warnings]</w:t>
            </w:r>
          </w:p>
          <w:p>
            <w:pPr>
              <w:spacing w:line="240" w:lineRule="auto" w:after="0"/>
              <w:ind w:left="0"/>
            </w:pPr>
            <w:r>
              <w:rPr>
                <w:rFonts w:ascii="Consolas" w:hAnsi="Consolas"/>
                <w:color w:val="1F3535"/>
                <w:sz w:val="18"/>
              </w:rPr>
              <w:t xml:space="preserve">    assert "CITATION_REFUSED" in codes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test_unbalanced_journal_entry_fails(tmp_path: Path) -&gt; None:</w:t>
            </w:r>
          </w:p>
          <w:p>
            <w:pPr>
              <w:spacing w:line="240" w:lineRule="auto" w:after="0"/>
              <w:ind w:left="0"/>
            </w:pPr>
            <w:r>
              <w:rPr>
                <w:rFonts w:ascii="Consolas" w:hAnsi="Consolas"/>
                <w:color w:val="1F3535"/>
                <w:sz w:val="18"/>
              </w:rPr>
              <w:t xml:space="preserve">    p = tmp_path / "unbal.jsonl"</w:t>
            </w:r>
          </w:p>
          <w:p>
            <w:pPr>
              <w:spacing w:line="240" w:lineRule="auto" w:after="0"/>
              <w:ind w:left="0"/>
            </w:pPr>
            <w:r>
              <w:rPr>
                <w:rFonts w:ascii="Consolas" w:hAnsi="Consolas"/>
                <w:color w:val="1F3535"/>
                <w:sz w:val="18"/>
              </w:rPr>
              <w:t xml:space="preserve">    _write_jsonl(p, [UNBALANCED_JE_RECORD])</w:t>
            </w:r>
          </w:p>
          <w:p>
            <w:pPr>
              <w:spacing w:line="240" w:lineRule="auto" w:after="0"/>
              <w:ind w:left="0"/>
            </w:pPr>
            <w:r>
              <w:rPr>
                <w:rFonts w:ascii="Consolas" w:hAnsi="Consolas"/>
                <w:color w:val="1F3535"/>
                <w:sz w:val="18"/>
              </w:rPr>
              <w:t xml:space="preserve">    report = validate_file(p)</w:t>
            </w:r>
          </w:p>
          <w:p>
            <w:pPr>
              <w:spacing w:line="240" w:lineRule="auto" w:after="0"/>
              <w:ind w:left="0"/>
            </w:pPr>
            <w:r>
              <w:rPr>
                <w:rFonts w:ascii="Consolas" w:hAnsi="Consolas"/>
                <w:color w:val="1F3535"/>
                <w:sz w:val="18"/>
              </w:rPr>
              <w:t xml:space="preserve">    assert not report.ok</w:t>
            </w:r>
          </w:p>
          <w:p>
            <w:pPr>
              <w:spacing w:line="240" w:lineRule="auto" w:after="0"/>
              <w:ind w:left="0"/>
            </w:pPr>
            <w:r>
              <w:rPr>
                <w:rFonts w:ascii="Consolas" w:hAnsi="Consolas"/>
                <w:color w:val="1F3535"/>
                <w:sz w:val="18"/>
              </w:rPr>
              <w:t xml:space="preserve">    codes = [e.code for e in report.errors]</w:t>
            </w:r>
          </w:p>
          <w:p>
            <w:pPr>
              <w:spacing w:line="240" w:lineRule="auto" w:after="0"/>
              <w:ind w:left="0"/>
            </w:pPr>
            <w:r>
              <w:rPr>
                <w:rFonts w:ascii="Consolas" w:hAnsi="Consolas"/>
                <w:color w:val="1F3535"/>
                <w:sz w:val="18"/>
              </w:rPr>
              <w:t xml:space="preserve">    assert "JE_UNBALANCED" in codes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test_balanced_journal_entry_passes(tmp_path: Path) -&gt; None:</w:t>
            </w:r>
          </w:p>
          <w:p>
            <w:pPr>
              <w:spacing w:line="240" w:lineRule="auto" w:after="0"/>
              <w:ind w:left="0"/>
            </w:pPr>
            <w:r>
              <w:rPr>
                <w:rFonts w:ascii="Consolas" w:hAnsi="Consolas"/>
                <w:color w:val="1F3535"/>
                <w:sz w:val="18"/>
              </w:rPr>
              <w:t xml:space="preserve">    p = tmp_path / "bal.jsonl"</w:t>
            </w:r>
          </w:p>
          <w:p>
            <w:pPr>
              <w:spacing w:line="240" w:lineRule="auto" w:after="0"/>
              <w:ind w:left="0"/>
            </w:pPr>
            <w:r>
              <w:rPr>
                <w:rFonts w:ascii="Consolas" w:hAnsi="Consolas"/>
                <w:color w:val="1F3535"/>
                <w:sz w:val="18"/>
              </w:rPr>
              <w:t xml:space="preserve">    _write_jsonl(p, [BALANCED_JE_RECORD])</w:t>
            </w:r>
          </w:p>
          <w:p>
            <w:pPr>
              <w:spacing w:line="240" w:lineRule="auto" w:after="0"/>
              <w:ind w:left="0"/>
            </w:pPr>
            <w:r>
              <w:rPr>
                <w:rFonts w:ascii="Consolas" w:hAnsi="Consolas"/>
                <w:color w:val="1F3535"/>
                <w:sz w:val="18"/>
              </w:rPr>
              <w:t xml:space="preserve">    report = validate_file(p)</w:t>
            </w:r>
          </w:p>
          <w:p>
            <w:pPr>
              <w:spacing w:line="240" w:lineRule="auto" w:after="0"/>
              <w:ind w:left="0"/>
            </w:pPr>
            <w:r>
              <w:rPr>
                <w:rFonts w:ascii="Consolas" w:hAnsi="Consolas"/>
                <w:color w:val="1F3535"/>
                <w:sz w:val="18"/>
              </w:rPr>
              <w:t xml:space="preserve">    assert report.ok, [e.message for e in report.errors]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test_schema_role_order_violation() -&gt; None:</w:t>
            </w:r>
          </w:p>
          <w:p>
            <w:pPr>
              <w:spacing w:line="240" w:lineRule="auto" w:after="0"/>
              <w:ind w:left="0"/>
            </w:pPr>
            <w:r>
              <w:rPr>
                <w:rFonts w:ascii="Consolas" w:hAnsi="Consolas"/>
                <w:color w:val="1F3535"/>
                <w:sz w:val="18"/>
              </w:rPr>
              <w:t xml:space="preserve">    with pytest.raises(Exception):</w:t>
            </w:r>
          </w:p>
          <w:p>
            <w:pPr>
              <w:spacing w:line="240" w:lineRule="auto" w:after="0"/>
              <w:ind w:left="0"/>
            </w:pPr>
            <w:r>
              <w:rPr>
                <w:rFonts w:ascii="Consolas" w:hAnsi="Consolas"/>
                <w:color w:val="1F3535"/>
                <w:sz w:val="18"/>
              </w:rPr>
              <w:t xml:space="preserve">        TrainingRecord(messages=[</w:t>
            </w:r>
          </w:p>
          <w:p>
            <w:pPr>
              <w:spacing w:line="240" w:lineRule="auto" w:after="0"/>
              <w:ind w:left="0"/>
            </w:pPr>
            <w:r>
              <w:rPr>
                <w:rFonts w:ascii="Consolas" w:hAnsi="Consolas"/>
                <w:color w:val="1F3535"/>
                <w:sz w:val="18"/>
              </w:rPr>
              <w:t xml:space="preserve">            ChatMessage(role="user", content="x"),</w:t>
            </w:r>
          </w:p>
          <w:p>
            <w:pPr>
              <w:spacing w:line="240" w:lineRule="auto" w:after="0"/>
              <w:ind w:left="0"/>
            </w:pPr>
            <w:r>
              <w:rPr>
                <w:rFonts w:ascii="Consolas" w:hAnsi="Consolas"/>
                <w:color w:val="1F3535"/>
                <w:sz w:val="18"/>
              </w:rPr>
              <w:t xml:space="preserve">            ChatMessage(role="system", content="y"),</w:t>
            </w:r>
          </w:p>
          <w:p>
            <w:pPr>
              <w:spacing w:line="240" w:lineRule="auto" w:after="0"/>
              <w:ind w:left="0"/>
            </w:pPr>
            <w:r>
              <w:rPr>
                <w:rFonts w:ascii="Consolas" w:hAnsi="Consolas"/>
                <w:color w:val="1F3535"/>
                <w:sz w:val="18"/>
              </w:rPr>
              <w:t xml:space="preserve">            ChatMessage(role="assistant", content="z"),</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test_manifest_record_id_pattern() -&gt; None:</w:t>
            </w:r>
          </w:p>
          <w:p>
            <w:pPr>
              <w:spacing w:line="240" w:lineRule="auto" w:after="0"/>
              <w:ind w:left="0"/>
            </w:pPr>
            <w:r>
              <w:rPr>
                <w:rFonts w:ascii="Consolas" w:hAnsi="Consolas"/>
                <w:color w:val="1F3535"/>
                <w:sz w:val="18"/>
              </w:rPr>
              <w:t xml:space="preserve">    # valid id</w:t>
            </w:r>
          </w:p>
          <w:p>
            <w:pPr>
              <w:spacing w:line="240" w:lineRule="auto" w:after="0"/>
              <w:ind w:left="0"/>
            </w:pPr>
            <w:r>
              <w:rPr>
                <w:rFonts w:ascii="Consolas" w:hAnsi="Consolas"/>
                <w:color w:val="1F3535"/>
                <w:sz w:val="18"/>
              </w:rPr>
              <w:t xml:space="preserve">    m = ManifestRecord(</w:t>
            </w:r>
          </w:p>
          <w:p>
            <w:pPr>
              <w:spacing w:line="240" w:lineRule="auto" w:after="0"/>
              <w:ind w:left="0"/>
            </w:pPr>
            <w:r>
              <w:rPr>
                <w:rFonts w:ascii="Consolas" w:hAnsi="Consolas"/>
                <w:color w:val="1F3535"/>
                <w:sz w:val="18"/>
              </w:rPr>
              <w:t xml:space="preserve">        record_id="ASC606-M4-A-0042",</w:t>
            </w:r>
          </w:p>
          <w:p>
            <w:pPr>
              <w:spacing w:line="240" w:lineRule="auto" w:after="0"/>
              <w:ind w:left="0"/>
            </w:pPr>
            <w:r>
              <w:rPr>
                <w:rFonts w:ascii="Consolas" w:hAnsi="Consolas"/>
                <w:color w:val="1F3535"/>
                <w:sz w:val="18"/>
              </w:rPr>
              <w:t xml:space="preserve">        module_id=ModuleId.M4, difficulty=Difficulty.ADVANCED,</w:t>
            </w:r>
          </w:p>
          <w:p>
            <w:pPr>
              <w:spacing w:line="240" w:lineRule="auto" w:after="0"/>
              <w:ind w:left="0"/>
            </w:pPr>
            <w:r>
              <w:rPr>
                <w:rFonts w:ascii="Consolas" w:hAnsi="Consolas"/>
                <w:color w:val="1F3535"/>
                <w:sz w:val="18"/>
              </w:rPr>
              <w:t xml:space="preserve">        task_type=TaskType.NUMERICAL_CASE,</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assert m.module_id == ModuleId.M4</w:t>
            </w:r>
          </w:p>
          <w:p>
            <w:pPr>
              <w:spacing w:line="240" w:lineRule="auto" w:after="0"/>
              <w:ind w:left="0"/>
            </w:pPr>
            <w:r>
              <w:rPr>
                <w:rFonts w:ascii="Consolas" w:hAnsi="Consolas"/>
                <w:color w:val="1F3535"/>
                <w:sz w:val="18"/>
              </w:rPr>
              <w:t xml:space="preserve">    # invalid id should fail</w:t>
            </w:r>
          </w:p>
          <w:p>
            <w:pPr>
              <w:spacing w:line="240" w:lineRule="auto" w:after="0"/>
              <w:ind w:left="0"/>
            </w:pPr>
            <w:r>
              <w:rPr>
                <w:rFonts w:ascii="Consolas" w:hAnsi="Consolas"/>
                <w:color w:val="1F3535"/>
                <w:sz w:val="18"/>
              </w:rPr>
              <w:t xml:space="preserve">    with pytest.raises(Exception):</w:t>
            </w:r>
          </w:p>
          <w:p>
            <w:pPr>
              <w:spacing w:line="240" w:lineRule="auto" w:after="0"/>
              <w:ind w:left="0"/>
            </w:pPr>
            <w:r>
              <w:rPr>
                <w:rFonts w:ascii="Consolas" w:hAnsi="Consolas"/>
                <w:color w:val="1F3535"/>
                <w:sz w:val="18"/>
              </w:rPr>
              <w:t xml:space="preserve">        ManifestRecord(</w:t>
            </w:r>
          </w:p>
          <w:p>
            <w:pPr>
              <w:spacing w:line="240" w:lineRule="auto" w:after="0"/>
              <w:ind w:left="0"/>
            </w:pPr>
            <w:r>
              <w:rPr>
                <w:rFonts w:ascii="Consolas" w:hAnsi="Consolas"/>
                <w:color w:val="1F3535"/>
                <w:sz w:val="18"/>
              </w:rPr>
              <w:t xml:space="preserve">            record_id="invalid-id",</w:t>
            </w:r>
          </w:p>
          <w:p>
            <w:pPr>
              <w:spacing w:line="240" w:lineRule="auto" w:after="0"/>
              <w:ind w:left="0"/>
            </w:pPr>
            <w:r>
              <w:rPr>
                <w:rFonts w:ascii="Consolas" w:hAnsi="Consolas"/>
                <w:color w:val="1F3535"/>
                <w:sz w:val="18"/>
              </w:rPr>
              <w:t xml:space="preserve">            module_id=ModuleId.M0, difficulty=Difficulty.BEGINNER,</w:t>
            </w:r>
          </w:p>
          <w:p>
            <w:pPr>
              <w:spacing w:line="240" w:lineRule="auto" w:after="0"/>
              <w:ind w:left="0"/>
            </w:pPr>
            <w:r>
              <w:rPr>
                <w:rFonts w:ascii="Consolas" w:hAnsi="Consolas"/>
                <w:color w:val="1F3535"/>
                <w:sz w:val="18"/>
              </w:rPr>
              <w:t xml:space="preserve">            task_type=TaskType.EXPLANATION,</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def test_seed_dataset_validates(tmp_path: Path) -&gt; None:</w:t>
            </w:r>
          </w:p>
          <w:p>
            <w:pPr>
              <w:spacing w:line="240" w:lineRule="auto" w:after="0"/>
              <w:ind w:left="0"/>
            </w:pPr>
            <w:r>
              <w:rPr>
                <w:rFonts w:ascii="Consolas" w:hAnsi="Consolas"/>
                <w:color w:val="1F3535"/>
                <w:sz w:val="18"/>
              </w:rPr>
              <w:t xml:space="preserve">    """The shipped seed dataset must pass the validator cleanly."""</w:t>
            </w:r>
          </w:p>
          <w:p>
            <w:pPr>
              <w:spacing w:line="240" w:lineRule="auto" w:after="0"/>
              <w:ind w:left="0"/>
            </w:pPr>
            <w:r>
              <w:rPr>
                <w:rFonts w:ascii="Consolas" w:hAnsi="Consolas"/>
                <w:color w:val="1F3535"/>
                <w:sz w:val="18"/>
              </w:rPr>
              <w:t xml:space="preserve">    repo_root = Path(__file__).resolve().parent.parent</w:t>
            </w:r>
          </w:p>
          <w:p>
            <w:pPr>
              <w:spacing w:line="240" w:lineRule="auto" w:after="0"/>
              <w:ind w:left="0"/>
            </w:pPr>
            <w:r>
              <w:rPr>
                <w:rFonts w:ascii="Consolas" w:hAnsi="Consolas"/>
                <w:color w:val="1F3535"/>
                <w:sz w:val="18"/>
              </w:rPr>
              <w:t xml:space="preserve">    seed_path = repo_root / "data" / "processed" / "asc606_seed_v1.jsonl"</w:t>
            </w:r>
          </w:p>
          <w:p>
            <w:pPr>
              <w:spacing w:line="240" w:lineRule="auto" w:after="0"/>
              <w:ind w:left="0"/>
            </w:pPr>
            <w:r>
              <w:rPr>
                <w:rFonts w:ascii="Consolas" w:hAnsi="Consolas"/>
                <w:color w:val="1F3535"/>
                <w:sz w:val="18"/>
              </w:rPr>
              <w:t xml:space="preserve">    if not seed_path.exists():</w:t>
            </w:r>
          </w:p>
          <w:p>
            <w:pPr>
              <w:spacing w:line="240" w:lineRule="auto" w:after="0"/>
              <w:ind w:left="0"/>
            </w:pPr>
            <w:r>
              <w:rPr>
                <w:rFonts w:ascii="Consolas" w:hAnsi="Consolas"/>
                <w:color w:val="1F3535"/>
                <w:sz w:val="18"/>
              </w:rPr>
              <w:t xml:space="preserve">        pytest.skip(f"seed dataset not built yet: {seed_path}")</w:t>
            </w:r>
          </w:p>
          <w:p>
            <w:pPr>
              <w:spacing w:line="240" w:lineRule="auto" w:after="0"/>
              <w:ind w:left="0"/>
            </w:pPr>
            <w:r>
              <w:rPr>
                <w:rFonts w:ascii="Consolas" w:hAnsi="Consolas"/>
                <w:color w:val="1F3535"/>
                <w:sz w:val="18"/>
              </w:rPr>
              <w:t xml:space="preserve">    report = validate_file(seed_path)</w:t>
            </w:r>
          </w:p>
          <w:p>
            <w:pPr>
              <w:spacing w:line="240" w:lineRule="auto" w:after="0"/>
              <w:ind w:left="0"/>
            </w:pPr>
            <w:r>
              <w:rPr>
                <w:rFonts w:ascii="Consolas" w:hAnsi="Consolas"/>
                <w:color w:val="1F3535"/>
                <w:sz w:val="18"/>
              </w:rPr>
              <w:t xml:space="preserve">    assert report.ok, [e.message for e in report.errors[:5]]</w:t>
            </w:r>
          </w:p>
          <w:p>
            <w:pPr>
              <w:spacing w:line="240" w:lineRule="auto" w:after="0"/>
              <w:ind w:left="0"/>
            </w:pPr>
            <w:r>
              <w:rPr>
                <w:rFonts w:ascii="Consolas" w:hAnsi="Consolas"/>
                <w:color w:val="1F3535"/>
                <w:sz w:val="18"/>
              </w:rPr>
            </w:r>
          </w:p>
        </w:tc>
      </w:tr>
    </w:tbl>
    <w:p>
      <w:pPr>
        <w:spacing w:after="80"/>
      </w:pPr>
    </w:p>
    <w:p>
      <w:pPr>
        <w:pStyle w:val="Heading1"/>
      </w:pPr>
      <w:r>
        <w:rPr>
          <w:color w:val="1F3864"/>
        </w:rPr>
        <w:t>7. Configuration Files</w:t>
      </w:r>
    </w:p>
    <w:p>
      <w:pPr>
        <w:pStyle w:val="Heading2"/>
      </w:pPr>
      <w:r>
        <w:rPr>
          <w:color w:val="1F3864"/>
        </w:rPr>
        <w:t>7.1 config/training_config.yaml</w:t>
      </w:r>
    </w:p>
    <w:p>
      <w:pPr>
        <w:spacing w:line="312" w:lineRule="auto" w:after="120"/>
      </w:pPr>
      <w:r>
        <w:rPr>
          <w:rFonts w:ascii="Calibri" w:hAnsi="Calibri"/>
          <w:b w:val="0"/>
          <w:i/>
          <w:color w:val="606060"/>
          <w:sz w:val="20"/>
        </w:rPr>
        <w:t>HuggingFace SFT training configuration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ASC 606 SFT training configuration</w:t>
            </w:r>
          </w:p>
          <w:p>
            <w:pPr>
              <w:spacing w:line="240" w:lineRule="auto" w:after="0"/>
              <w:ind w:left="0"/>
            </w:pPr>
            <w:r>
              <w:rPr>
                <w:rFonts w:ascii="Consolas" w:hAnsi="Consolas"/>
                <w:color w:val="1F3535"/>
                <w:sz w:val="18"/>
              </w:rPr>
              <w:t># Used by scripts/train.py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model:</w:t>
            </w:r>
          </w:p>
          <w:p>
            <w:pPr>
              <w:spacing w:line="240" w:lineRule="auto" w:after="0"/>
              <w:ind w:left="0"/>
            </w:pPr>
            <w:r>
              <w:rPr>
                <w:rFonts w:ascii="Consolas" w:hAnsi="Consolas"/>
                <w:color w:val="1F3535"/>
                <w:sz w:val="18"/>
              </w:rPr>
              <w:t xml:space="preserve">  base_model: "mistralai/Mistral-7B-Instruct-v0.2"   # or "meta-llama/Llama-3-8B-Instruct"</w:t>
            </w:r>
          </w:p>
          <w:p>
            <w:pPr>
              <w:spacing w:line="240" w:lineRule="auto" w:after="0"/>
              <w:ind w:left="0"/>
            </w:pPr>
            <w:r>
              <w:rPr>
                <w:rFonts w:ascii="Consolas" w:hAnsi="Consolas"/>
                <w:color w:val="1F3535"/>
                <w:sz w:val="18"/>
              </w:rPr>
              <w:t xml:space="preserve">  trust_remote_code: true</w:t>
            </w:r>
          </w:p>
          <w:p>
            <w:pPr>
              <w:spacing w:line="240" w:lineRule="auto" w:after="0"/>
              <w:ind w:left="0"/>
            </w:pPr>
            <w:r>
              <w:rPr>
                <w:rFonts w:ascii="Consolas" w:hAnsi="Consolas"/>
                <w:color w:val="1F3535"/>
                <w:sz w:val="18"/>
              </w:rPr>
              <w:t xml:space="preserve">  use_4bit: true                                       # QLoRA quantization</w:t>
            </w:r>
          </w:p>
          <w:p>
            <w:pPr>
              <w:spacing w:line="240" w:lineRule="auto" w:after="0"/>
              <w:ind w:left="0"/>
            </w:pPr>
            <w:r>
              <w:rPr>
                <w:rFonts w:ascii="Consolas" w:hAnsi="Consolas"/>
                <w:color w:val="1F3535"/>
                <w:sz w:val="18"/>
              </w:rPr>
              <w:t xml:space="preserve">  bnb_4bit_compute_dtype: "bfloat16"</w:t>
            </w:r>
          </w:p>
          <w:p>
            <w:pPr>
              <w:spacing w:line="240" w:lineRule="auto" w:after="0"/>
              <w:ind w:left="0"/>
            </w:pPr>
            <w:r>
              <w:rPr>
                <w:rFonts w:ascii="Consolas" w:hAnsi="Consolas"/>
                <w:color w:val="1F3535"/>
                <w:sz w:val="18"/>
              </w:rPr>
              <w:t xml:space="preserve">  bnb_4bit_quant_type: "nf4"</w:t>
            </w:r>
          </w:p>
          <w:p>
            <w:pPr>
              <w:spacing w:line="240" w:lineRule="auto" w:after="0"/>
              <w:ind w:left="0"/>
            </w:pPr>
            <w:r>
              <w:rPr>
                <w:rFonts w:ascii="Consolas" w:hAnsi="Consolas"/>
                <w:color w:val="1F3535"/>
                <w:sz w:val="18"/>
              </w:rPr>
              <w:t xml:space="preserve">  bnb_4bit_use_double_quant: true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lora:</w:t>
            </w:r>
          </w:p>
          <w:p>
            <w:pPr>
              <w:spacing w:line="240" w:lineRule="auto" w:after="0"/>
              <w:ind w:left="0"/>
            </w:pPr>
            <w:r>
              <w:rPr>
                <w:rFonts w:ascii="Consolas" w:hAnsi="Consolas"/>
                <w:color w:val="1F3535"/>
                <w:sz w:val="18"/>
              </w:rPr>
              <w:t xml:space="preserve">  enabled: true</w:t>
            </w:r>
          </w:p>
          <w:p>
            <w:pPr>
              <w:spacing w:line="240" w:lineRule="auto" w:after="0"/>
              <w:ind w:left="0"/>
            </w:pPr>
            <w:r>
              <w:rPr>
                <w:rFonts w:ascii="Consolas" w:hAnsi="Consolas"/>
                <w:color w:val="1F3535"/>
                <w:sz w:val="18"/>
              </w:rPr>
              <w:t xml:space="preserve">  r: 16</w:t>
            </w:r>
          </w:p>
          <w:p>
            <w:pPr>
              <w:spacing w:line="240" w:lineRule="auto" w:after="0"/>
              <w:ind w:left="0"/>
            </w:pPr>
            <w:r>
              <w:rPr>
                <w:rFonts w:ascii="Consolas" w:hAnsi="Consolas"/>
                <w:color w:val="1F3535"/>
                <w:sz w:val="18"/>
              </w:rPr>
              <w:t xml:space="preserve">  lora_alpha: 32</w:t>
            </w:r>
          </w:p>
          <w:p>
            <w:pPr>
              <w:spacing w:line="240" w:lineRule="auto" w:after="0"/>
              <w:ind w:left="0"/>
            </w:pPr>
            <w:r>
              <w:rPr>
                <w:rFonts w:ascii="Consolas" w:hAnsi="Consolas"/>
                <w:color w:val="1F3535"/>
                <w:sz w:val="18"/>
              </w:rPr>
              <w:t xml:space="preserve">  lora_dropout: 0.05</w:t>
            </w:r>
          </w:p>
          <w:p>
            <w:pPr>
              <w:spacing w:line="240" w:lineRule="auto" w:after="0"/>
              <w:ind w:left="0"/>
            </w:pPr>
            <w:r>
              <w:rPr>
                <w:rFonts w:ascii="Consolas" w:hAnsi="Consolas"/>
                <w:color w:val="1F3535"/>
                <w:sz w:val="18"/>
              </w:rPr>
              <w:t xml:space="preserve">  bias: "none"</w:t>
            </w:r>
          </w:p>
          <w:p>
            <w:pPr>
              <w:spacing w:line="240" w:lineRule="auto" w:after="0"/>
              <w:ind w:left="0"/>
            </w:pPr>
            <w:r>
              <w:rPr>
                <w:rFonts w:ascii="Consolas" w:hAnsi="Consolas"/>
                <w:color w:val="1F3535"/>
                <w:sz w:val="18"/>
              </w:rPr>
              <w:t xml:space="preserve">  target_modules: ["q_proj", "k_proj", "v_proj", "o_proj", "gate_proj", "up_proj", "down_proj"]</w:t>
            </w:r>
          </w:p>
          <w:p>
            <w:pPr>
              <w:spacing w:line="240" w:lineRule="auto" w:after="0"/>
              <w:ind w:left="0"/>
            </w:pPr>
            <w:r>
              <w:rPr>
                <w:rFonts w:ascii="Consolas" w:hAnsi="Consolas"/>
                <w:color w:val="1F3535"/>
                <w:sz w:val="18"/>
              </w:rPr>
              <w:t xml:space="preserve">  task_type: "CAUSAL_LM"</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training:</w:t>
            </w:r>
          </w:p>
          <w:p>
            <w:pPr>
              <w:spacing w:line="240" w:lineRule="auto" w:after="0"/>
              <w:ind w:left="0"/>
            </w:pPr>
            <w:r>
              <w:rPr>
                <w:rFonts w:ascii="Consolas" w:hAnsi="Consolas"/>
                <w:color w:val="1F3535"/>
                <w:sz w:val="18"/>
              </w:rPr>
              <w:t xml:space="preserve">  output_dir: "checkpoints/asc606-sft-v1"</w:t>
            </w:r>
          </w:p>
          <w:p>
            <w:pPr>
              <w:spacing w:line="240" w:lineRule="auto" w:after="0"/>
              <w:ind w:left="0"/>
            </w:pPr>
            <w:r>
              <w:rPr>
                <w:rFonts w:ascii="Consolas" w:hAnsi="Consolas"/>
                <w:color w:val="1F3535"/>
                <w:sz w:val="18"/>
              </w:rPr>
              <w:t xml:space="preserve">  num_train_epochs: 3</w:t>
            </w:r>
          </w:p>
          <w:p>
            <w:pPr>
              <w:spacing w:line="240" w:lineRule="auto" w:after="0"/>
              <w:ind w:left="0"/>
            </w:pPr>
            <w:r>
              <w:rPr>
                <w:rFonts w:ascii="Consolas" w:hAnsi="Consolas"/>
                <w:color w:val="1F3535"/>
                <w:sz w:val="18"/>
              </w:rPr>
              <w:t xml:space="preserve">  per_device_train_batch_size: 4</w:t>
            </w:r>
          </w:p>
          <w:p>
            <w:pPr>
              <w:spacing w:line="240" w:lineRule="auto" w:after="0"/>
              <w:ind w:left="0"/>
            </w:pPr>
            <w:r>
              <w:rPr>
                <w:rFonts w:ascii="Consolas" w:hAnsi="Consolas"/>
                <w:color w:val="1F3535"/>
                <w:sz w:val="18"/>
              </w:rPr>
              <w:t xml:space="preserve">  per_device_eval_batch_size: 4</w:t>
            </w:r>
          </w:p>
          <w:p>
            <w:pPr>
              <w:spacing w:line="240" w:lineRule="auto" w:after="0"/>
              <w:ind w:left="0"/>
            </w:pPr>
            <w:r>
              <w:rPr>
                <w:rFonts w:ascii="Consolas" w:hAnsi="Consolas"/>
                <w:color w:val="1F3535"/>
                <w:sz w:val="18"/>
              </w:rPr>
              <w:t xml:space="preserve">  gradient_accumulation_steps: 4</w:t>
            </w:r>
          </w:p>
          <w:p>
            <w:pPr>
              <w:spacing w:line="240" w:lineRule="auto" w:after="0"/>
              <w:ind w:left="0"/>
            </w:pPr>
            <w:r>
              <w:rPr>
                <w:rFonts w:ascii="Consolas" w:hAnsi="Consolas"/>
                <w:color w:val="1F3535"/>
                <w:sz w:val="18"/>
              </w:rPr>
              <w:t xml:space="preserve">  gradient_checkpointing: true</w:t>
            </w:r>
          </w:p>
          <w:p>
            <w:pPr>
              <w:spacing w:line="240" w:lineRule="auto" w:after="0"/>
              <w:ind w:left="0"/>
            </w:pPr>
            <w:r>
              <w:rPr>
                <w:rFonts w:ascii="Consolas" w:hAnsi="Consolas"/>
                <w:color w:val="1F3535"/>
                <w:sz w:val="18"/>
              </w:rPr>
              <w:t xml:space="preserve">  learning_rate: 2.0e-4</w:t>
            </w:r>
          </w:p>
          <w:p>
            <w:pPr>
              <w:spacing w:line="240" w:lineRule="auto" w:after="0"/>
              <w:ind w:left="0"/>
            </w:pPr>
            <w:r>
              <w:rPr>
                <w:rFonts w:ascii="Consolas" w:hAnsi="Consolas"/>
                <w:color w:val="1F3535"/>
                <w:sz w:val="18"/>
              </w:rPr>
              <w:t xml:space="preserve">  lr_scheduler_type: "cosine"</w:t>
            </w:r>
          </w:p>
          <w:p>
            <w:pPr>
              <w:spacing w:line="240" w:lineRule="auto" w:after="0"/>
              <w:ind w:left="0"/>
            </w:pPr>
            <w:r>
              <w:rPr>
                <w:rFonts w:ascii="Consolas" w:hAnsi="Consolas"/>
                <w:color w:val="1F3535"/>
                <w:sz w:val="18"/>
              </w:rPr>
              <w:t xml:space="preserve">  warmup_ratio: 0.03</w:t>
            </w:r>
          </w:p>
          <w:p>
            <w:pPr>
              <w:spacing w:line="240" w:lineRule="auto" w:after="0"/>
              <w:ind w:left="0"/>
            </w:pPr>
            <w:r>
              <w:rPr>
                <w:rFonts w:ascii="Consolas" w:hAnsi="Consolas"/>
                <w:color w:val="1F3535"/>
                <w:sz w:val="18"/>
              </w:rPr>
              <w:t xml:space="preserve">  weight_decay: 0.0</w:t>
            </w:r>
          </w:p>
          <w:p>
            <w:pPr>
              <w:spacing w:line="240" w:lineRule="auto" w:after="0"/>
              <w:ind w:left="0"/>
            </w:pPr>
            <w:r>
              <w:rPr>
                <w:rFonts w:ascii="Consolas" w:hAnsi="Consolas"/>
                <w:color w:val="1F3535"/>
                <w:sz w:val="18"/>
              </w:rPr>
              <w:t xml:space="preserve">  optim: "paged_adamw_8bit"</w:t>
            </w:r>
          </w:p>
          <w:p>
            <w:pPr>
              <w:spacing w:line="240" w:lineRule="auto" w:after="0"/>
              <w:ind w:left="0"/>
            </w:pPr>
            <w:r>
              <w:rPr>
                <w:rFonts w:ascii="Consolas" w:hAnsi="Consolas"/>
                <w:color w:val="1F3535"/>
                <w:sz w:val="18"/>
              </w:rPr>
              <w:t xml:space="preserve">  max_seq_length: 4096</w:t>
            </w:r>
          </w:p>
          <w:p>
            <w:pPr>
              <w:spacing w:line="240" w:lineRule="auto" w:after="0"/>
              <w:ind w:left="0"/>
            </w:pPr>
            <w:r>
              <w:rPr>
                <w:rFonts w:ascii="Consolas" w:hAnsi="Consolas"/>
                <w:color w:val="1F3535"/>
                <w:sz w:val="18"/>
              </w:rPr>
              <w:t xml:space="preserve">  packing: true</w:t>
            </w:r>
          </w:p>
          <w:p>
            <w:pPr>
              <w:spacing w:line="240" w:lineRule="auto" w:after="0"/>
              <w:ind w:left="0"/>
            </w:pPr>
            <w:r>
              <w:rPr>
                <w:rFonts w:ascii="Consolas" w:hAnsi="Consolas"/>
                <w:color w:val="1F3535"/>
                <w:sz w:val="18"/>
              </w:rPr>
              <w:t xml:space="preserve">  save_strategy: "epoch"</w:t>
            </w:r>
          </w:p>
          <w:p>
            <w:pPr>
              <w:spacing w:line="240" w:lineRule="auto" w:after="0"/>
              <w:ind w:left="0"/>
            </w:pPr>
            <w:r>
              <w:rPr>
                <w:rFonts w:ascii="Consolas" w:hAnsi="Consolas"/>
                <w:color w:val="1F3535"/>
                <w:sz w:val="18"/>
              </w:rPr>
              <w:t xml:space="preserve">  save_total_limit: 3</w:t>
            </w:r>
          </w:p>
          <w:p>
            <w:pPr>
              <w:spacing w:line="240" w:lineRule="auto" w:after="0"/>
              <w:ind w:left="0"/>
            </w:pPr>
            <w:r>
              <w:rPr>
                <w:rFonts w:ascii="Consolas" w:hAnsi="Consolas"/>
                <w:color w:val="1F3535"/>
                <w:sz w:val="18"/>
              </w:rPr>
              <w:t xml:space="preserve">  evaluation_strategy: "epoch"</w:t>
            </w:r>
          </w:p>
          <w:p>
            <w:pPr>
              <w:spacing w:line="240" w:lineRule="auto" w:after="0"/>
              <w:ind w:left="0"/>
            </w:pPr>
            <w:r>
              <w:rPr>
                <w:rFonts w:ascii="Consolas" w:hAnsi="Consolas"/>
                <w:color w:val="1F3535"/>
                <w:sz w:val="18"/>
              </w:rPr>
              <w:t xml:space="preserve">  logging_steps: 10</w:t>
            </w:r>
          </w:p>
          <w:p>
            <w:pPr>
              <w:spacing w:line="240" w:lineRule="auto" w:after="0"/>
              <w:ind w:left="0"/>
            </w:pPr>
            <w:r>
              <w:rPr>
                <w:rFonts w:ascii="Consolas" w:hAnsi="Consolas"/>
                <w:color w:val="1F3535"/>
                <w:sz w:val="18"/>
              </w:rPr>
              <w:t xml:space="preserve">  report_to: "tensorboard"</w:t>
            </w:r>
          </w:p>
          <w:p>
            <w:pPr>
              <w:spacing w:line="240" w:lineRule="auto" w:after="0"/>
              <w:ind w:left="0"/>
            </w:pPr>
            <w:r>
              <w:rPr>
                <w:rFonts w:ascii="Consolas" w:hAnsi="Consolas"/>
                <w:color w:val="1F3535"/>
                <w:sz w:val="18"/>
              </w:rPr>
              <w:t xml:space="preserve">  seed: 42</w:t>
            </w:r>
          </w:p>
          <w:p>
            <w:pPr>
              <w:spacing w:line="240" w:lineRule="auto" w:after="0"/>
              <w:ind w:left="0"/>
            </w:pPr>
            <w:r>
              <w:rPr>
                <w:rFonts w:ascii="Consolas" w:hAnsi="Consolas"/>
                <w:color w:val="1F3535"/>
                <w:sz w:val="18"/>
              </w:rPr>
              <w:t xml:space="preserve">  fp16: false</w:t>
            </w:r>
          </w:p>
          <w:p>
            <w:pPr>
              <w:spacing w:line="240" w:lineRule="auto" w:after="0"/>
              <w:ind w:left="0"/>
            </w:pPr>
            <w:r>
              <w:rPr>
                <w:rFonts w:ascii="Consolas" w:hAnsi="Consolas"/>
                <w:color w:val="1F3535"/>
                <w:sz w:val="18"/>
              </w:rPr>
              <w:t xml:space="preserve">  bf16: true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data:</w:t>
            </w:r>
          </w:p>
          <w:p>
            <w:pPr>
              <w:spacing w:line="240" w:lineRule="auto" w:after="0"/>
              <w:ind w:left="0"/>
            </w:pPr>
            <w:r>
              <w:rPr>
                <w:rFonts w:ascii="Consolas" w:hAnsi="Consolas"/>
                <w:color w:val="1F3535"/>
                <w:sz w:val="18"/>
              </w:rPr>
              <w:t xml:space="preserve">  train_file: "data/train/asc606_train.jsonl"</w:t>
            </w:r>
          </w:p>
          <w:p>
            <w:pPr>
              <w:spacing w:line="240" w:lineRule="auto" w:after="0"/>
              <w:ind w:left="0"/>
            </w:pPr>
            <w:r>
              <w:rPr>
                <w:rFonts w:ascii="Consolas" w:hAnsi="Consolas"/>
                <w:color w:val="1F3535"/>
                <w:sz w:val="18"/>
              </w:rPr>
              <w:t xml:space="preserve">  validation_file: "data/validation/asc606_val.jsonl"</w:t>
            </w:r>
          </w:p>
          <w:p>
            <w:pPr>
              <w:spacing w:line="240" w:lineRule="auto" w:after="0"/>
              <w:ind w:left="0"/>
            </w:pPr>
            <w:r>
              <w:rPr>
                <w:rFonts w:ascii="Consolas" w:hAnsi="Consolas"/>
                <w:color w:val="1F3535"/>
                <w:sz w:val="18"/>
              </w:rPr>
              <w:t xml:space="preserve">  response_template: "&lt;|im_start|&gt;assistant\n"</w:t>
            </w:r>
          </w:p>
          <w:p>
            <w:pPr>
              <w:spacing w:line="240" w:lineRule="auto" w:after="0"/>
              <w:ind w:left="0"/>
            </w:pPr>
            <w:r>
              <w:rPr>
                <w:rFonts w:ascii="Consolas" w:hAnsi="Consolas"/>
                <w:color w:val="1F3535"/>
                <w:sz w:val="18"/>
              </w:rPr>
              <w:t xml:space="preserve">  instruction_template: "&lt;|im_start|&gt;user\n"</w:t>
            </w:r>
          </w:p>
          <w:p>
            <w:pPr>
              <w:spacing w:line="240" w:lineRule="auto" w:after="0"/>
              <w:ind w:left="0"/>
            </w:pPr>
            <w:r>
              <w:rPr>
                <w:rFonts w:ascii="Consolas" w:hAnsi="Consolas"/>
                <w:color w:val="1F3535"/>
                <w:sz w:val="18"/>
              </w:rPr>
              <w:t xml:space="preserve">  system_template: "&lt;|im_start|&gt;system\n"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generation:</w:t>
            </w:r>
          </w:p>
          <w:p>
            <w:pPr>
              <w:spacing w:line="240" w:lineRule="auto" w:after="0"/>
              <w:ind w:left="0"/>
            </w:pPr>
            <w:r>
              <w:rPr>
                <w:rFonts w:ascii="Consolas" w:hAnsi="Consolas"/>
                <w:color w:val="1F3535"/>
                <w:sz w:val="18"/>
              </w:rPr>
              <w:t xml:space="preserve">  max_new_tokens: 1024</w:t>
            </w:r>
          </w:p>
          <w:p>
            <w:pPr>
              <w:spacing w:line="240" w:lineRule="auto" w:after="0"/>
              <w:ind w:left="0"/>
            </w:pPr>
            <w:r>
              <w:rPr>
                <w:rFonts w:ascii="Consolas" w:hAnsi="Consolas"/>
                <w:color w:val="1F3535"/>
                <w:sz w:val="18"/>
              </w:rPr>
              <w:t xml:space="preserve">  temperature: 0.1</w:t>
            </w:r>
          </w:p>
          <w:p>
            <w:pPr>
              <w:spacing w:line="240" w:lineRule="auto" w:after="0"/>
              <w:ind w:left="0"/>
            </w:pPr>
            <w:r>
              <w:rPr>
                <w:rFonts w:ascii="Consolas" w:hAnsi="Consolas"/>
                <w:color w:val="1F3535"/>
                <w:sz w:val="18"/>
              </w:rPr>
              <w:t xml:space="preserve">  top_p: 0.9</w:t>
            </w:r>
          </w:p>
          <w:p>
            <w:pPr>
              <w:spacing w:line="240" w:lineRule="auto" w:after="0"/>
              <w:ind w:left="0"/>
            </w:pPr>
            <w:r>
              <w:rPr>
                <w:rFonts w:ascii="Consolas" w:hAnsi="Consolas"/>
                <w:color w:val="1F3535"/>
                <w:sz w:val="18"/>
              </w:rPr>
              <w:t xml:space="preserve">  do_sample: false</w:t>
            </w:r>
          </w:p>
          <w:p>
            <w:pPr>
              <w:spacing w:line="240" w:lineRule="auto" w:after="0"/>
              <w:ind w:left="0"/>
            </w:pPr>
            <w:r>
              <w:rPr>
                <w:rFonts w:ascii="Consolas" w:hAnsi="Consolas"/>
                <w:color w:val="1F3535"/>
                <w:sz w:val="18"/>
              </w:rPr>
            </w:r>
          </w:p>
        </w:tc>
      </w:tr>
    </w:tbl>
    <w:p>
      <w:pPr>
        <w:spacing w:after="80"/>
      </w:pPr>
    </w:p>
    <w:p>
      <w:pPr>
        <w:pStyle w:val="Heading2"/>
      </w:pPr>
      <w:r>
        <w:rPr>
          <w:color w:val="1F3864"/>
        </w:rPr>
        <w:t>7.2 config/curriculum.yaml</w:t>
      </w:r>
    </w:p>
    <w:p>
      <w:pPr>
        <w:spacing w:line="312" w:lineRule="auto" w:after="120"/>
      </w:pPr>
      <w:r>
        <w:rPr>
          <w:rFonts w:ascii="Calibri" w:hAnsi="Calibri"/>
          <w:b w:val="0"/>
          <w:i/>
          <w:color w:val="606060"/>
          <w:sz w:val="20"/>
        </w:rPr>
        <w:t>12-module × 6-difficulty curriculum spec</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ASC 606 curriculum specification — 12 modules × 6 difficulty levels</w:t>
            </w:r>
          </w:p>
          <w:p>
            <w:pPr>
              <w:spacing w:line="240" w:lineRule="auto" w:after="0"/>
              <w:ind w:left="0"/>
            </w:pPr>
            <w:r>
              <w:rPr>
                <w:rFonts w:ascii="Consolas" w:hAnsi="Consolas"/>
                <w:color w:val="1F3535"/>
                <w:sz w:val="18"/>
              </w:rPr>
              <w:t># Target: 10,000 supervised fine-tuning 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target_total: 10000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modules:</w:t>
            </w:r>
          </w:p>
          <w:p>
            <w:pPr>
              <w:spacing w:line="240" w:lineRule="auto" w:after="0"/>
              <w:ind w:left="0"/>
            </w:pPr>
            <w:r>
              <w:rPr>
                <w:rFonts w:ascii="Consolas" w:hAnsi="Consolas"/>
                <w:color w:val="1F3535"/>
                <w:sz w:val="18"/>
              </w:rPr>
              <w:t xml:space="preserve">  - id: M0</w:t>
            </w:r>
          </w:p>
          <w:p>
            <w:pPr>
              <w:spacing w:line="240" w:lineRule="auto" w:after="0"/>
              <w:ind w:left="0"/>
            </w:pPr>
            <w:r>
              <w:rPr>
                <w:rFonts w:ascii="Consolas" w:hAnsi="Consolas"/>
                <w:color w:val="1F3535"/>
                <w:sz w:val="18"/>
              </w:rPr>
              <w:t xml:space="preserve">    name: "Accounting foundations"</w:t>
            </w:r>
          </w:p>
          <w:p>
            <w:pPr>
              <w:spacing w:line="240" w:lineRule="auto" w:after="0"/>
              <w:ind w:left="0"/>
            </w:pPr>
            <w:r>
              <w:rPr>
                <w:rFonts w:ascii="Consolas" w:hAnsi="Consolas"/>
                <w:color w:val="1F3535"/>
                <w:sz w:val="18"/>
              </w:rPr>
              <w:t xml:space="preserve">    share: 0.05</w:t>
            </w:r>
          </w:p>
          <w:p>
            <w:pPr>
              <w:spacing w:line="240" w:lineRule="auto" w:after="0"/>
              <w:ind w:left="0"/>
            </w:pPr>
            <w:r>
              <w:rPr>
                <w:rFonts w:ascii="Consolas" w:hAnsi="Consolas"/>
                <w:color w:val="1F3535"/>
                <w:sz w:val="18"/>
              </w:rPr>
              <w:t xml:space="preserve">    target_examples: 500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Accrual accounting, debit/credit mechanics, revenue vs. cash,</w:t>
            </w:r>
          </w:p>
          <w:p>
            <w:pPr>
              <w:spacing w:line="240" w:lineRule="auto" w:after="0"/>
              <w:ind w:left="0"/>
            </w:pPr>
            <w:r>
              <w:rPr>
                <w:rFonts w:ascii="Consolas" w:hAnsi="Consolas"/>
                <w:color w:val="1F3535"/>
                <w:sz w:val="18"/>
              </w:rPr>
              <w:t xml:space="preserve">      receivables, deferred revenue, estimates, basic financial statements.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M1</w:t>
            </w:r>
          </w:p>
          <w:p>
            <w:pPr>
              <w:spacing w:line="240" w:lineRule="auto" w:after="0"/>
              <w:ind w:left="0"/>
            </w:pPr>
            <w:r>
              <w:rPr>
                <w:rFonts w:ascii="Consolas" w:hAnsi="Consolas"/>
                <w:color w:val="1F3535"/>
                <w:sz w:val="18"/>
              </w:rPr>
              <w:t xml:space="preserve">    name: "ASC 606 core concepts &amp; scope"</w:t>
            </w:r>
          </w:p>
          <w:p>
            <w:pPr>
              <w:spacing w:line="240" w:lineRule="auto" w:after="0"/>
              <w:ind w:left="0"/>
            </w:pPr>
            <w:r>
              <w:rPr>
                <w:rFonts w:ascii="Consolas" w:hAnsi="Consolas"/>
                <w:color w:val="1F3535"/>
                <w:sz w:val="18"/>
              </w:rPr>
              <w:t xml:space="preserve">    share: 0.09</w:t>
            </w:r>
          </w:p>
          <w:p>
            <w:pPr>
              <w:spacing w:line="240" w:lineRule="auto" w:after="0"/>
              <w:ind w:left="0"/>
            </w:pPr>
            <w:r>
              <w:rPr>
                <w:rFonts w:ascii="Consolas" w:hAnsi="Consolas"/>
                <w:color w:val="1F3535"/>
                <w:sz w:val="18"/>
              </w:rPr>
              <w:t xml:space="preserve">    target_examples: 900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Scope, core principle, five-step model, defined terms,</w:t>
            </w:r>
          </w:p>
          <w:p>
            <w:pPr>
              <w:spacing w:line="240" w:lineRule="auto" w:after="0"/>
              <w:ind w:left="0"/>
            </w:pPr>
            <w:r>
              <w:rPr>
                <w:rFonts w:ascii="Consolas" w:hAnsi="Consolas"/>
                <w:color w:val="1F3535"/>
                <w:sz w:val="18"/>
              </w:rPr>
              <w:t xml:space="preserve">      interactions with other US-GAAP topics, scope exceptions.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M2</w:t>
            </w:r>
          </w:p>
          <w:p>
            <w:pPr>
              <w:spacing w:line="240" w:lineRule="auto" w:after="0"/>
              <w:ind w:left="0"/>
            </w:pPr>
            <w:r>
              <w:rPr>
                <w:rFonts w:ascii="Consolas" w:hAnsi="Consolas"/>
                <w:color w:val="1F3535"/>
                <w:sz w:val="18"/>
              </w:rPr>
              <w:t xml:space="preserve">    name: "Contract identification"</w:t>
            </w:r>
          </w:p>
          <w:p>
            <w:pPr>
              <w:spacing w:line="240" w:lineRule="auto" w:after="0"/>
              <w:ind w:left="0"/>
            </w:pPr>
            <w:r>
              <w:rPr>
                <w:rFonts w:ascii="Consolas" w:hAnsi="Consolas"/>
                <w:color w:val="1F3535"/>
                <w:sz w:val="18"/>
              </w:rPr>
              <w:t xml:space="preserve">    share: 0.07</w:t>
            </w:r>
          </w:p>
          <w:p>
            <w:pPr>
              <w:spacing w:line="240" w:lineRule="auto" w:after="0"/>
              <w:ind w:left="0"/>
            </w:pPr>
            <w:r>
              <w:rPr>
                <w:rFonts w:ascii="Consolas" w:hAnsi="Consolas"/>
                <w:color w:val="1F3535"/>
                <w:sz w:val="18"/>
              </w:rPr>
              <w:t xml:space="preserve">    target_examples: 700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Contract approval, enforceable rights, payment terms, commercial</w:t>
            </w:r>
          </w:p>
          <w:p>
            <w:pPr>
              <w:spacing w:line="240" w:lineRule="auto" w:after="0"/>
              <w:ind w:left="0"/>
            </w:pPr>
            <w:r>
              <w:rPr>
                <w:rFonts w:ascii="Consolas" w:hAnsi="Consolas"/>
                <w:color w:val="1F3535"/>
                <w:sz w:val="18"/>
              </w:rPr>
              <w:t xml:space="preserve">      substance, collectibility, contract combination, reassessment.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M3</w:t>
            </w:r>
          </w:p>
          <w:p>
            <w:pPr>
              <w:spacing w:line="240" w:lineRule="auto" w:after="0"/>
              <w:ind w:left="0"/>
            </w:pPr>
            <w:r>
              <w:rPr>
                <w:rFonts w:ascii="Consolas" w:hAnsi="Consolas"/>
                <w:color w:val="1F3535"/>
                <w:sz w:val="18"/>
              </w:rPr>
              <w:t xml:space="preserve">    name: "Performance obligations"</w:t>
            </w:r>
          </w:p>
          <w:p>
            <w:pPr>
              <w:spacing w:line="240" w:lineRule="auto" w:after="0"/>
              <w:ind w:left="0"/>
            </w:pPr>
            <w:r>
              <w:rPr>
                <w:rFonts w:ascii="Consolas" w:hAnsi="Consolas"/>
                <w:color w:val="1F3535"/>
                <w:sz w:val="18"/>
              </w:rPr>
              <w:t xml:space="preserve">    share: 0.11</w:t>
            </w:r>
          </w:p>
          <w:p>
            <w:pPr>
              <w:spacing w:line="240" w:lineRule="auto" w:after="0"/>
              <w:ind w:left="0"/>
            </w:pPr>
            <w:r>
              <w:rPr>
                <w:rFonts w:ascii="Consolas" w:hAnsi="Consolas"/>
                <w:color w:val="1F3535"/>
                <w:sz w:val="18"/>
              </w:rPr>
              <w:t xml:space="preserve">    target_examples: 1100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Promised goods/services, distinctness, series guidance,</w:t>
            </w:r>
          </w:p>
          <w:p>
            <w:pPr>
              <w:spacing w:line="240" w:lineRule="auto" w:after="0"/>
              <w:ind w:left="0"/>
            </w:pPr>
            <w:r>
              <w:rPr>
                <w:rFonts w:ascii="Consolas" w:hAnsi="Consolas"/>
                <w:color w:val="1F3535"/>
                <w:sz w:val="18"/>
              </w:rPr>
              <w:t xml:space="preserve">      material rights, options, bundled arrangements.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M4</w:t>
            </w:r>
          </w:p>
          <w:p>
            <w:pPr>
              <w:spacing w:line="240" w:lineRule="auto" w:after="0"/>
              <w:ind w:left="0"/>
            </w:pPr>
            <w:r>
              <w:rPr>
                <w:rFonts w:ascii="Consolas" w:hAnsi="Consolas"/>
                <w:color w:val="1F3535"/>
                <w:sz w:val="18"/>
              </w:rPr>
              <w:t xml:space="preserve">    name: "Transaction price &amp; variable consideration"</w:t>
            </w:r>
          </w:p>
          <w:p>
            <w:pPr>
              <w:spacing w:line="240" w:lineRule="auto" w:after="0"/>
              <w:ind w:left="0"/>
            </w:pPr>
            <w:r>
              <w:rPr>
                <w:rFonts w:ascii="Consolas" w:hAnsi="Consolas"/>
                <w:color w:val="1F3535"/>
                <w:sz w:val="18"/>
              </w:rPr>
              <w:t xml:space="preserve">    share: 0.12</w:t>
            </w:r>
          </w:p>
          <w:p>
            <w:pPr>
              <w:spacing w:line="240" w:lineRule="auto" w:after="0"/>
              <w:ind w:left="0"/>
            </w:pPr>
            <w:r>
              <w:rPr>
                <w:rFonts w:ascii="Consolas" w:hAnsi="Consolas"/>
                <w:color w:val="1F3535"/>
                <w:sz w:val="18"/>
              </w:rPr>
              <w:t xml:space="preserve">    target_examples: 1200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Fixed/variable consideration, expected-value vs. most-likely-amount,</w:t>
            </w:r>
          </w:p>
          <w:p>
            <w:pPr>
              <w:spacing w:line="240" w:lineRule="auto" w:after="0"/>
              <w:ind w:left="0"/>
            </w:pPr>
            <w:r>
              <w:rPr>
                <w:rFonts w:ascii="Consolas" w:hAnsi="Consolas"/>
                <w:color w:val="1F3535"/>
                <w:sz w:val="18"/>
              </w:rPr>
              <w:t xml:space="preserve">      constraint, rebates, returns, refunds, financing, noncash</w:t>
            </w:r>
          </w:p>
          <w:p>
            <w:pPr>
              <w:spacing w:line="240" w:lineRule="auto" w:after="0"/>
              <w:ind w:left="0"/>
            </w:pPr>
            <w:r>
              <w:rPr>
                <w:rFonts w:ascii="Consolas" w:hAnsi="Consolas"/>
                <w:color w:val="1F3535"/>
                <w:sz w:val="18"/>
              </w:rPr>
              <w:t xml:space="preserve">      consideration, consideration payable to customers.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M5</w:t>
            </w:r>
          </w:p>
          <w:p>
            <w:pPr>
              <w:spacing w:line="240" w:lineRule="auto" w:after="0"/>
              <w:ind w:left="0"/>
            </w:pPr>
            <w:r>
              <w:rPr>
                <w:rFonts w:ascii="Consolas" w:hAnsi="Consolas"/>
                <w:color w:val="1F3535"/>
                <w:sz w:val="18"/>
              </w:rPr>
              <w:t xml:space="preserve">    name: "Allocation &amp; standalone selling prices"</w:t>
            </w:r>
          </w:p>
          <w:p>
            <w:pPr>
              <w:spacing w:line="240" w:lineRule="auto" w:after="0"/>
              <w:ind w:left="0"/>
            </w:pPr>
            <w:r>
              <w:rPr>
                <w:rFonts w:ascii="Consolas" w:hAnsi="Consolas"/>
                <w:color w:val="1F3535"/>
                <w:sz w:val="18"/>
              </w:rPr>
              <w:t xml:space="preserve">    share: 0.07</w:t>
            </w:r>
          </w:p>
          <w:p>
            <w:pPr>
              <w:spacing w:line="240" w:lineRule="auto" w:after="0"/>
              <w:ind w:left="0"/>
            </w:pPr>
            <w:r>
              <w:rPr>
                <w:rFonts w:ascii="Consolas" w:hAnsi="Consolas"/>
                <w:color w:val="1F3535"/>
                <w:sz w:val="18"/>
              </w:rPr>
              <w:t xml:space="preserve">    target_examples: 700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Relative standalone selling prices, observable prices, estimation</w:t>
            </w:r>
          </w:p>
          <w:p>
            <w:pPr>
              <w:spacing w:line="240" w:lineRule="auto" w:after="0"/>
              <w:ind w:left="0"/>
            </w:pPr>
            <w:r>
              <w:rPr>
                <w:rFonts w:ascii="Consolas" w:hAnsi="Consolas"/>
                <w:color w:val="1F3535"/>
                <w:sz w:val="18"/>
              </w:rPr>
              <w:t xml:space="preserve">      methods, discounts, variable consideration allocation, allocation</w:t>
            </w:r>
          </w:p>
          <w:p>
            <w:pPr>
              <w:spacing w:line="240" w:lineRule="auto" w:after="0"/>
              <w:ind w:left="0"/>
            </w:pPr>
            <w:r>
              <w:rPr>
                <w:rFonts w:ascii="Consolas" w:hAnsi="Consolas"/>
                <w:color w:val="1F3535"/>
                <w:sz w:val="18"/>
              </w:rPr>
              <w:t xml:space="preserve">      exceptions.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M6</w:t>
            </w:r>
          </w:p>
          <w:p>
            <w:pPr>
              <w:spacing w:line="240" w:lineRule="auto" w:after="0"/>
              <w:ind w:left="0"/>
            </w:pPr>
            <w:r>
              <w:rPr>
                <w:rFonts w:ascii="Consolas" w:hAnsi="Consolas"/>
                <w:color w:val="1F3535"/>
                <w:sz w:val="18"/>
              </w:rPr>
              <w:t xml:space="preserve">    name: "Recognition timing &amp; progress measures"</w:t>
            </w:r>
          </w:p>
          <w:p>
            <w:pPr>
              <w:spacing w:line="240" w:lineRule="auto" w:after="0"/>
              <w:ind w:left="0"/>
            </w:pPr>
            <w:r>
              <w:rPr>
                <w:rFonts w:ascii="Consolas" w:hAnsi="Consolas"/>
                <w:color w:val="1F3535"/>
                <w:sz w:val="18"/>
              </w:rPr>
              <w:t xml:space="preserve">    share: 0.11</w:t>
            </w:r>
          </w:p>
          <w:p>
            <w:pPr>
              <w:spacing w:line="240" w:lineRule="auto" w:after="0"/>
              <w:ind w:left="0"/>
            </w:pPr>
            <w:r>
              <w:rPr>
                <w:rFonts w:ascii="Consolas" w:hAnsi="Consolas"/>
                <w:color w:val="1F3535"/>
                <w:sz w:val="18"/>
              </w:rPr>
              <w:t xml:space="preserve">    target_examples: 1100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Point-in-time vs. over-time recognition, control indicators,</w:t>
            </w:r>
          </w:p>
          <w:p>
            <w:pPr>
              <w:spacing w:line="240" w:lineRule="auto" w:after="0"/>
              <w:ind w:left="0"/>
            </w:pPr>
            <w:r>
              <w:rPr>
                <w:rFonts w:ascii="Consolas" w:hAnsi="Consolas"/>
                <w:color w:val="1F3535"/>
                <w:sz w:val="18"/>
              </w:rPr>
              <w:t xml:space="preserve">      progress measures, input/output methods, contract acceptance, cutoff.</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M7</w:t>
            </w:r>
          </w:p>
          <w:p>
            <w:pPr>
              <w:spacing w:line="240" w:lineRule="auto" w:after="0"/>
              <w:ind w:left="0"/>
            </w:pPr>
            <w:r>
              <w:rPr>
                <w:rFonts w:ascii="Consolas" w:hAnsi="Consolas"/>
                <w:color w:val="1F3535"/>
                <w:sz w:val="18"/>
              </w:rPr>
              <w:t xml:space="preserve">    name: "Contract modifications &amp; complex arrangements"</w:t>
            </w:r>
          </w:p>
          <w:p>
            <w:pPr>
              <w:spacing w:line="240" w:lineRule="auto" w:after="0"/>
              <w:ind w:left="0"/>
            </w:pPr>
            <w:r>
              <w:rPr>
                <w:rFonts w:ascii="Consolas" w:hAnsi="Consolas"/>
                <w:color w:val="1F3535"/>
                <w:sz w:val="18"/>
              </w:rPr>
              <w:t xml:space="preserve">    share: 0.08</w:t>
            </w:r>
          </w:p>
          <w:p>
            <w:pPr>
              <w:spacing w:line="240" w:lineRule="auto" w:after="0"/>
              <w:ind w:left="0"/>
            </w:pPr>
            <w:r>
              <w:rPr>
                <w:rFonts w:ascii="Consolas" w:hAnsi="Consolas"/>
                <w:color w:val="1F3535"/>
                <w:sz w:val="18"/>
              </w:rPr>
              <w:t xml:space="preserve">    target_examples: 800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Modifications (separate contract vs. prospective vs. cumulative</w:t>
            </w:r>
          </w:p>
          <w:p>
            <w:pPr>
              <w:spacing w:line="240" w:lineRule="auto" w:after="0"/>
              <w:ind w:left="0"/>
            </w:pPr>
            <w:r>
              <w:rPr>
                <w:rFonts w:ascii="Consolas" w:hAnsi="Consolas"/>
                <w:color w:val="1F3535"/>
                <w:sz w:val="18"/>
              </w:rPr>
              <w:t xml:space="preserve">      catch-up), termination clauses, renewals, combinations.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M8</w:t>
            </w:r>
          </w:p>
          <w:p>
            <w:pPr>
              <w:spacing w:line="240" w:lineRule="auto" w:after="0"/>
              <w:ind w:left="0"/>
            </w:pPr>
            <w:r>
              <w:rPr>
                <w:rFonts w:ascii="Consolas" w:hAnsi="Consolas"/>
                <w:color w:val="1F3535"/>
                <w:sz w:val="18"/>
              </w:rPr>
              <w:t xml:space="preserve">    name: "Specialized topics"</w:t>
            </w:r>
          </w:p>
          <w:p>
            <w:pPr>
              <w:spacing w:line="240" w:lineRule="auto" w:after="0"/>
              <w:ind w:left="0"/>
            </w:pPr>
            <w:r>
              <w:rPr>
                <w:rFonts w:ascii="Consolas" w:hAnsi="Consolas"/>
                <w:color w:val="1F3535"/>
                <w:sz w:val="18"/>
              </w:rPr>
              <w:t xml:space="preserve">    share: 0.10</w:t>
            </w:r>
          </w:p>
          <w:p>
            <w:pPr>
              <w:spacing w:line="240" w:lineRule="auto" w:after="0"/>
              <w:ind w:left="0"/>
            </w:pPr>
            <w:r>
              <w:rPr>
                <w:rFonts w:ascii="Consolas" w:hAnsi="Consolas"/>
                <w:color w:val="1F3535"/>
                <w:sz w:val="18"/>
              </w:rPr>
              <w:t xml:space="preserve">    target_examples: 1000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Principal vs. agent, licenses of IP, warranties, right of return,</w:t>
            </w:r>
          </w:p>
          <w:p>
            <w:pPr>
              <w:spacing w:line="240" w:lineRule="auto" w:after="0"/>
              <w:ind w:left="0"/>
            </w:pPr>
            <w:r>
              <w:rPr>
                <w:rFonts w:ascii="Consolas" w:hAnsi="Consolas"/>
                <w:color w:val="1F3535"/>
                <w:sz w:val="18"/>
              </w:rPr>
              <w:t xml:space="preserve">      bill-and-hold, consignment, repurchase arrangements, contract</w:t>
            </w:r>
          </w:p>
          <w:p>
            <w:pPr>
              <w:spacing w:line="240" w:lineRule="auto" w:after="0"/>
              <w:ind w:left="0"/>
            </w:pPr>
            <w:r>
              <w:rPr>
                <w:rFonts w:ascii="Consolas" w:hAnsi="Consolas"/>
                <w:color w:val="1F3535"/>
                <w:sz w:val="18"/>
              </w:rPr>
              <w:t xml:space="preserve">      costs (ASC 340-40), significant financing component.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M9</w:t>
            </w:r>
          </w:p>
          <w:p>
            <w:pPr>
              <w:spacing w:line="240" w:lineRule="auto" w:after="0"/>
              <w:ind w:left="0"/>
            </w:pPr>
            <w:r>
              <w:rPr>
                <w:rFonts w:ascii="Consolas" w:hAnsi="Consolas"/>
                <w:color w:val="1F3535"/>
                <w:sz w:val="18"/>
              </w:rPr>
              <w:t xml:space="preserve">    name: "Presentation, disclosures &amp; controls"</w:t>
            </w:r>
          </w:p>
          <w:p>
            <w:pPr>
              <w:spacing w:line="240" w:lineRule="auto" w:after="0"/>
              <w:ind w:left="0"/>
            </w:pPr>
            <w:r>
              <w:rPr>
                <w:rFonts w:ascii="Consolas" w:hAnsi="Consolas"/>
                <w:color w:val="1F3535"/>
                <w:sz w:val="18"/>
              </w:rPr>
              <w:t xml:space="preserve">    share: 0.06</w:t>
            </w:r>
          </w:p>
          <w:p>
            <w:pPr>
              <w:spacing w:line="240" w:lineRule="auto" w:after="0"/>
              <w:ind w:left="0"/>
            </w:pPr>
            <w:r>
              <w:rPr>
                <w:rFonts w:ascii="Consolas" w:hAnsi="Consolas"/>
                <w:color w:val="1F3535"/>
                <w:sz w:val="18"/>
              </w:rPr>
              <w:t xml:space="preserve">    target_examples: 600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Contract assets/liabilities, receivables, disaggregation,</w:t>
            </w:r>
          </w:p>
          <w:p>
            <w:pPr>
              <w:spacing w:line="240" w:lineRule="auto" w:after="0"/>
              <w:ind w:left="0"/>
            </w:pPr>
            <w:r>
              <w:rPr>
                <w:rFonts w:ascii="Consolas" w:hAnsi="Consolas"/>
                <w:color w:val="1F3535"/>
                <w:sz w:val="18"/>
              </w:rPr>
              <w:t xml:space="preserve">      remaining performance obligations, significant judgments,</w:t>
            </w:r>
          </w:p>
          <w:p>
            <w:pPr>
              <w:spacing w:line="240" w:lineRule="auto" w:after="0"/>
              <w:ind w:left="0"/>
            </w:pPr>
            <w:r>
              <w:rPr>
                <w:rFonts w:ascii="Consolas" w:hAnsi="Consolas"/>
                <w:color w:val="1F3535"/>
                <w:sz w:val="18"/>
              </w:rPr>
              <w:t xml:space="preserve">      disclosures, revenue controls.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M10</w:t>
            </w:r>
          </w:p>
          <w:p>
            <w:pPr>
              <w:spacing w:line="240" w:lineRule="auto" w:after="0"/>
              <w:ind w:left="0"/>
            </w:pPr>
            <w:r>
              <w:rPr>
                <w:rFonts w:ascii="Consolas" w:hAnsi="Consolas"/>
                <w:color w:val="1F3535"/>
                <w:sz w:val="18"/>
              </w:rPr>
              <w:t xml:space="preserve">    name: "Expert memos, audit &amp; research cases"</w:t>
            </w:r>
          </w:p>
          <w:p>
            <w:pPr>
              <w:spacing w:line="240" w:lineRule="auto" w:after="0"/>
              <w:ind w:left="0"/>
            </w:pPr>
            <w:r>
              <w:rPr>
                <w:rFonts w:ascii="Consolas" w:hAnsi="Consolas"/>
                <w:color w:val="1F3535"/>
                <w:sz w:val="18"/>
              </w:rPr>
              <w:t xml:space="preserve">    share: 0.09</w:t>
            </w:r>
          </w:p>
          <w:p>
            <w:pPr>
              <w:spacing w:line="240" w:lineRule="auto" w:after="0"/>
              <w:ind w:left="0"/>
            </w:pPr>
            <w:r>
              <w:rPr>
                <w:rFonts w:ascii="Consolas" w:hAnsi="Consolas"/>
                <w:color w:val="1F3535"/>
                <w:sz w:val="18"/>
              </w:rPr>
              <w:t xml:space="preserve">    target_examples: 900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Technical accounting memos, audit evidence, competing</w:t>
            </w:r>
          </w:p>
          <w:p>
            <w:pPr>
              <w:spacing w:line="240" w:lineRule="auto" w:after="0"/>
              <w:ind w:left="0"/>
            </w:pPr>
            <w:r>
              <w:rPr>
                <w:rFonts w:ascii="Consolas" w:hAnsi="Consolas"/>
                <w:color w:val="1F3535"/>
                <w:sz w:val="18"/>
              </w:rPr>
              <w:t xml:space="preserve">      interpretations, SEC-reporting implications where applicable,</w:t>
            </w:r>
          </w:p>
          <w:p>
            <w:pPr>
              <w:spacing w:line="240" w:lineRule="auto" w:after="0"/>
              <w:ind w:left="0"/>
            </w:pPr>
            <w:r>
              <w:rPr>
                <w:rFonts w:ascii="Consolas" w:hAnsi="Consolas"/>
                <w:color w:val="1F3535"/>
                <w:sz w:val="18"/>
              </w:rPr>
              <w:t xml:space="preserve">      research methodology, ASC 606 vs. IFRS 15 comparisons.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xml:space="preserve">  - id: M11</w:t>
            </w:r>
          </w:p>
          <w:p>
            <w:pPr>
              <w:spacing w:line="240" w:lineRule="auto" w:after="0"/>
              <w:ind w:left="0"/>
            </w:pPr>
            <w:r>
              <w:rPr>
                <w:rFonts w:ascii="Consolas" w:hAnsi="Consolas"/>
                <w:color w:val="1F3535"/>
                <w:sz w:val="18"/>
              </w:rPr>
              <w:t xml:space="preserve">    name: "Adversarial reasoning &amp; error correction"</w:t>
            </w:r>
          </w:p>
          <w:p>
            <w:pPr>
              <w:spacing w:line="240" w:lineRule="auto" w:after="0"/>
              <w:ind w:left="0"/>
            </w:pPr>
            <w:r>
              <w:rPr>
                <w:rFonts w:ascii="Consolas" w:hAnsi="Consolas"/>
                <w:color w:val="1F3535"/>
                <w:sz w:val="18"/>
              </w:rPr>
              <w:t xml:space="preserve">    share: 0.05</w:t>
            </w:r>
          </w:p>
          <w:p>
            <w:pPr>
              <w:spacing w:line="240" w:lineRule="auto" w:after="0"/>
              <w:ind w:left="0"/>
            </w:pPr>
            <w:r>
              <w:rPr>
                <w:rFonts w:ascii="Consolas" w:hAnsi="Consolas"/>
                <w:color w:val="1F3535"/>
                <w:sz w:val="18"/>
              </w:rPr>
              <w:t xml:space="preserve">    target_examples: 500</w:t>
            </w:r>
          </w:p>
          <w:p>
            <w:pPr>
              <w:spacing w:line="240" w:lineRule="auto" w:after="0"/>
              <w:ind w:left="0"/>
            </w:pPr>
            <w:r>
              <w:rPr>
                <w:rFonts w:ascii="Consolas" w:hAnsi="Consolas"/>
                <w:color w:val="1F3535"/>
                <w:sz w:val="18"/>
              </w:rPr>
              <w:t xml:space="preserve">    description: &gt;</w:t>
            </w:r>
          </w:p>
          <w:p>
            <w:pPr>
              <w:spacing w:line="240" w:lineRule="auto" w:after="0"/>
              <w:ind w:left="0"/>
            </w:pPr>
            <w:r>
              <w:rPr>
                <w:rFonts w:ascii="Consolas" w:hAnsi="Consolas"/>
                <w:color w:val="1F3535"/>
                <w:sz w:val="18"/>
              </w:rPr>
              <w:t xml:space="preserve">      Hallucinated citations, misleading premises, insufficient facts,</w:t>
            </w:r>
          </w:p>
          <w:p>
            <w:pPr>
              <w:spacing w:line="240" w:lineRule="auto" w:after="0"/>
              <w:ind w:left="0"/>
            </w:pPr>
            <w:r>
              <w:rPr>
                <w:rFonts w:ascii="Consolas" w:hAnsi="Consolas"/>
                <w:color w:val="1F3535"/>
                <w:sz w:val="18"/>
              </w:rPr>
              <w:t xml:space="preserve">      contradictory evidence, arithmetic traps, changed assumptions,</w:t>
            </w:r>
          </w:p>
          <w:p>
            <w:pPr>
              <w:spacing w:line="240" w:lineRule="auto" w:after="0"/>
              <w:ind w:left="0"/>
            </w:pPr>
            <w:r>
              <w:rPr>
                <w:rFonts w:ascii="Consolas" w:hAnsi="Consolas"/>
                <w:color w:val="1F3535"/>
                <w:sz w:val="18"/>
              </w:rPr>
              <w:t xml:space="preserve">      correction of previously incorrect answers.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difficulty:</w:t>
            </w:r>
          </w:p>
          <w:p>
            <w:pPr>
              <w:spacing w:line="240" w:lineRule="auto" w:after="0"/>
              <w:ind w:left="0"/>
            </w:pPr>
            <w:r>
              <w:rPr>
                <w:rFonts w:ascii="Consolas" w:hAnsi="Consolas"/>
                <w:color w:val="1F3535"/>
                <w:sz w:val="18"/>
              </w:rPr>
              <w:t xml:space="preserve">  - level: "beginner"</w:t>
            </w:r>
          </w:p>
          <w:p>
            <w:pPr>
              <w:spacing w:line="240" w:lineRule="auto" w:after="0"/>
              <w:ind w:left="0"/>
            </w:pPr>
            <w:r>
              <w:rPr>
                <w:rFonts w:ascii="Consolas" w:hAnsi="Consolas"/>
                <w:color w:val="1F3535"/>
                <w:sz w:val="18"/>
              </w:rPr>
              <w:t xml:space="preserve">    share: 0.10</w:t>
            </w:r>
          </w:p>
          <w:p>
            <w:pPr>
              <w:spacing w:line="240" w:lineRule="auto" w:after="0"/>
              <w:ind w:left="0"/>
            </w:pPr>
            <w:r>
              <w:rPr>
                <w:rFonts w:ascii="Consolas" w:hAnsi="Consolas"/>
                <w:color w:val="1F3535"/>
                <w:sz w:val="18"/>
              </w:rPr>
              <w:t xml:space="preserve">    target_examples: 1000</w:t>
            </w:r>
          </w:p>
          <w:p>
            <w:pPr>
              <w:spacing w:line="240" w:lineRule="auto" w:after="0"/>
              <w:ind w:left="0"/>
            </w:pPr>
            <w:r>
              <w:rPr>
                <w:rFonts w:ascii="Consolas" w:hAnsi="Consolas"/>
                <w:color w:val="1F3535"/>
                <w:sz w:val="18"/>
              </w:rPr>
              <w:t xml:space="preserve">    behavior: "Define, classify, explain."</w:t>
            </w:r>
          </w:p>
          <w:p>
            <w:pPr>
              <w:spacing w:line="240" w:lineRule="auto" w:after="0"/>
              <w:ind w:left="0"/>
            </w:pPr>
            <w:r>
              <w:rPr>
                <w:rFonts w:ascii="Consolas" w:hAnsi="Consolas"/>
                <w:color w:val="1F3535"/>
                <w:sz w:val="18"/>
              </w:rPr>
              <w:t xml:space="preserve">  - level: "foundational"</w:t>
            </w:r>
          </w:p>
          <w:p>
            <w:pPr>
              <w:spacing w:line="240" w:lineRule="auto" w:after="0"/>
              <w:ind w:left="0"/>
            </w:pPr>
            <w:r>
              <w:rPr>
                <w:rFonts w:ascii="Consolas" w:hAnsi="Consolas"/>
                <w:color w:val="1F3535"/>
                <w:sz w:val="18"/>
              </w:rPr>
              <w:t xml:space="preserve">    share: 0.20</w:t>
            </w:r>
          </w:p>
          <w:p>
            <w:pPr>
              <w:spacing w:line="240" w:lineRule="auto" w:after="0"/>
              <w:ind w:left="0"/>
            </w:pPr>
            <w:r>
              <w:rPr>
                <w:rFonts w:ascii="Consolas" w:hAnsi="Consolas"/>
                <w:color w:val="1F3535"/>
                <w:sz w:val="18"/>
              </w:rPr>
              <w:t xml:space="preserve">    target_examples: 2000</w:t>
            </w:r>
          </w:p>
          <w:p>
            <w:pPr>
              <w:spacing w:line="240" w:lineRule="auto" w:after="0"/>
              <w:ind w:left="0"/>
            </w:pPr>
            <w:r>
              <w:rPr>
                <w:rFonts w:ascii="Consolas" w:hAnsi="Consolas"/>
                <w:color w:val="1F3535"/>
                <w:sz w:val="18"/>
              </w:rPr>
              <w:t xml:space="preserve">    behavior: "Apply rules to simple fact patterns."</w:t>
            </w:r>
          </w:p>
          <w:p>
            <w:pPr>
              <w:spacing w:line="240" w:lineRule="auto" w:after="0"/>
              <w:ind w:left="0"/>
            </w:pPr>
            <w:r>
              <w:rPr>
                <w:rFonts w:ascii="Consolas" w:hAnsi="Consolas"/>
                <w:color w:val="1F3535"/>
                <w:sz w:val="18"/>
              </w:rPr>
              <w:t xml:space="preserve">  - level: "intermediate"</w:t>
            </w:r>
          </w:p>
          <w:p>
            <w:pPr>
              <w:spacing w:line="240" w:lineRule="auto" w:after="0"/>
              <w:ind w:left="0"/>
            </w:pPr>
            <w:r>
              <w:rPr>
                <w:rFonts w:ascii="Consolas" w:hAnsi="Consolas"/>
                <w:color w:val="1F3535"/>
                <w:sz w:val="18"/>
              </w:rPr>
              <w:t xml:space="preserve">    share: 0.25</w:t>
            </w:r>
          </w:p>
          <w:p>
            <w:pPr>
              <w:spacing w:line="240" w:lineRule="auto" w:after="0"/>
              <w:ind w:left="0"/>
            </w:pPr>
            <w:r>
              <w:rPr>
                <w:rFonts w:ascii="Consolas" w:hAnsi="Consolas"/>
                <w:color w:val="1F3535"/>
                <w:sz w:val="18"/>
              </w:rPr>
              <w:t xml:space="preserve">    target_examples: 2500</w:t>
            </w:r>
          </w:p>
          <w:p>
            <w:pPr>
              <w:spacing w:line="240" w:lineRule="auto" w:after="0"/>
              <w:ind w:left="0"/>
            </w:pPr>
            <w:r>
              <w:rPr>
                <w:rFonts w:ascii="Consolas" w:hAnsi="Consolas"/>
                <w:color w:val="1F3535"/>
                <w:sz w:val="18"/>
              </w:rPr>
              <w:t xml:space="preserve">    behavior: "Calculate, allocate, prepare entries."</w:t>
            </w:r>
          </w:p>
          <w:p>
            <w:pPr>
              <w:spacing w:line="240" w:lineRule="auto" w:after="0"/>
              <w:ind w:left="0"/>
            </w:pPr>
            <w:r>
              <w:rPr>
                <w:rFonts w:ascii="Consolas" w:hAnsi="Consolas"/>
                <w:color w:val="1F3535"/>
                <w:sz w:val="18"/>
              </w:rPr>
              <w:t xml:space="preserve">  - level: "advanced"</w:t>
            </w:r>
          </w:p>
          <w:p>
            <w:pPr>
              <w:spacing w:line="240" w:lineRule="auto" w:after="0"/>
              <w:ind w:left="0"/>
            </w:pPr>
            <w:r>
              <w:rPr>
                <w:rFonts w:ascii="Consolas" w:hAnsi="Consolas"/>
                <w:color w:val="1F3535"/>
                <w:sz w:val="18"/>
              </w:rPr>
              <w:t xml:space="preserve">    share: 0.25</w:t>
            </w:r>
          </w:p>
          <w:p>
            <w:pPr>
              <w:spacing w:line="240" w:lineRule="auto" w:after="0"/>
              <w:ind w:left="0"/>
            </w:pPr>
            <w:r>
              <w:rPr>
                <w:rFonts w:ascii="Consolas" w:hAnsi="Consolas"/>
                <w:color w:val="1F3535"/>
                <w:sz w:val="18"/>
              </w:rPr>
              <w:t xml:space="preserve">    target_examples: 2500</w:t>
            </w:r>
          </w:p>
          <w:p>
            <w:pPr>
              <w:spacing w:line="240" w:lineRule="auto" w:after="0"/>
              <w:ind w:left="0"/>
            </w:pPr>
            <w:r>
              <w:rPr>
                <w:rFonts w:ascii="Consolas" w:hAnsi="Consolas"/>
                <w:color w:val="1F3535"/>
                <w:sz w:val="18"/>
              </w:rPr>
              <w:t xml:space="preserve">    behavior: "Resolve interacting issues and ambiguous facts."</w:t>
            </w:r>
          </w:p>
          <w:p>
            <w:pPr>
              <w:spacing w:line="240" w:lineRule="auto" w:after="0"/>
              <w:ind w:left="0"/>
            </w:pPr>
            <w:r>
              <w:rPr>
                <w:rFonts w:ascii="Consolas" w:hAnsi="Consolas"/>
                <w:color w:val="1F3535"/>
                <w:sz w:val="18"/>
              </w:rPr>
              <w:t xml:space="preserve">  - level: "expert"</w:t>
            </w:r>
          </w:p>
          <w:p>
            <w:pPr>
              <w:spacing w:line="240" w:lineRule="auto" w:after="0"/>
              <w:ind w:left="0"/>
            </w:pPr>
            <w:r>
              <w:rPr>
                <w:rFonts w:ascii="Consolas" w:hAnsi="Consolas"/>
                <w:color w:val="1F3535"/>
                <w:sz w:val="18"/>
              </w:rPr>
              <w:t xml:space="preserve">    share: 0.15</w:t>
            </w:r>
          </w:p>
          <w:p>
            <w:pPr>
              <w:spacing w:line="240" w:lineRule="auto" w:after="0"/>
              <w:ind w:left="0"/>
            </w:pPr>
            <w:r>
              <w:rPr>
                <w:rFonts w:ascii="Consolas" w:hAnsi="Consolas"/>
                <w:color w:val="1F3535"/>
                <w:sz w:val="18"/>
              </w:rPr>
              <w:t xml:space="preserve">    target_examples: 1500</w:t>
            </w:r>
          </w:p>
          <w:p>
            <w:pPr>
              <w:spacing w:line="240" w:lineRule="auto" w:after="0"/>
              <w:ind w:left="0"/>
            </w:pPr>
            <w:r>
              <w:rPr>
                <w:rFonts w:ascii="Consolas" w:hAnsi="Consolas"/>
                <w:color w:val="1F3535"/>
                <w:sz w:val="18"/>
              </w:rPr>
              <w:t xml:space="preserve">    behavior: "Prepare technical memos and evaluate alternatives."</w:t>
            </w:r>
          </w:p>
          <w:p>
            <w:pPr>
              <w:spacing w:line="240" w:lineRule="auto" w:after="0"/>
              <w:ind w:left="0"/>
            </w:pPr>
            <w:r>
              <w:rPr>
                <w:rFonts w:ascii="Consolas" w:hAnsi="Consolas"/>
                <w:color w:val="1F3535"/>
                <w:sz w:val="18"/>
              </w:rPr>
              <w:t xml:space="preserve">  - level: "research"</w:t>
            </w:r>
          </w:p>
          <w:p>
            <w:pPr>
              <w:spacing w:line="240" w:lineRule="auto" w:after="0"/>
              <w:ind w:left="0"/>
            </w:pPr>
            <w:r>
              <w:rPr>
                <w:rFonts w:ascii="Consolas" w:hAnsi="Consolas"/>
                <w:color w:val="1F3535"/>
                <w:sz w:val="18"/>
              </w:rPr>
              <w:t xml:space="preserve">    share: 0.05</w:t>
            </w:r>
          </w:p>
          <w:p>
            <w:pPr>
              <w:spacing w:line="240" w:lineRule="auto" w:after="0"/>
              <w:ind w:left="0"/>
            </w:pPr>
            <w:r>
              <w:rPr>
                <w:rFonts w:ascii="Consolas" w:hAnsi="Consolas"/>
                <w:color w:val="1F3535"/>
                <w:sz w:val="18"/>
              </w:rPr>
              <w:t xml:space="preserve">    target_examples: 500</w:t>
            </w:r>
          </w:p>
          <w:p>
            <w:pPr>
              <w:spacing w:line="240" w:lineRule="auto" w:after="0"/>
              <w:ind w:left="0"/>
            </w:pPr>
            <w:r>
              <w:rPr>
                <w:rFonts w:ascii="Consolas" w:hAnsi="Consolas"/>
                <w:color w:val="1F3535"/>
                <w:sz w:val="18"/>
              </w:rPr>
              <w:t xml:space="preserve">    behavior: "Critique assumptions, evidence, and conceptual arguments."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splits:</w:t>
            </w:r>
          </w:p>
          <w:p>
            <w:pPr>
              <w:spacing w:line="240" w:lineRule="auto" w:after="0"/>
              <w:ind w:left="0"/>
            </w:pPr>
            <w:r>
              <w:rPr>
                <w:rFonts w:ascii="Consolas" w:hAnsi="Consolas"/>
                <w:color w:val="1F3535"/>
                <w:sz w:val="18"/>
              </w:rPr>
              <w:t xml:space="preserve">  train: 0.85</w:t>
            </w:r>
          </w:p>
          <w:p>
            <w:pPr>
              <w:spacing w:line="240" w:lineRule="auto" w:after="0"/>
              <w:ind w:left="0"/>
            </w:pPr>
            <w:r>
              <w:rPr>
                <w:rFonts w:ascii="Consolas" w:hAnsi="Consolas"/>
                <w:color w:val="1F3535"/>
                <w:sz w:val="18"/>
              </w:rPr>
              <w:t xml:space="preserve">  validation: 0.075</w:t>
            </w:r>
          </w:p>
          <w:p>
            <w:pPr>
              <w:spacing w:line="240" w:lineRule="auto" w:after="0"/>
              <w:ind w:left="0"/>
            </w:pPr>
            <w:r>
              <w:rPr>
                <w:rFonts w:ascii="Consolas" w:hAnsi="Consolas"/>
                <w:color w:val="1F3535"/>
                <w:sz w:val="18"/>
              </w:rPr>
              <w:t xml:space="preserve">  test: 0.075</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quality_gates:</w:t>
            </w:r>
          </w:p>
          <w:p>
            <w:pPr>
              <w:spacing w:line="240" w:lineRule="auto" w:after="0"/>
              <w:ind w:left="0"/>
            </w:pPr>
            <w:r>
              <w:rPr>
                <w:rFonts w:ascii="Consolas" w:hAnsi="Consolas"/>
                <w:color w:val="1F3535"/>
                <w:sz w:val="18"/>
              </w:rPr>
              <w:t xml:space="preserve">  - "jsonl_parse: 100%"</w:t>
            </w:r>
          </w:p>
          <w:p>
            <w:pPr>
              <w:spacing w:line="240" w:lineRule="auto" w:after="0"/>
              <w:ind w:left="0"/>
            </w:pPr>
            <w:r>
              <w:rPr>
                <w:rFonts w:ascii="Consolas" w:hAnsi="Consolas"/>
                <w:color w:val="1F3535"/>
                <w:sz w:val="18"/>
              </w:rPr>
              <w:t xml:space="preserve">  - "citation_verified: 100% (records requiring citations)"</w:t>
            </w:r>
          </w:p>
          <w:p>
            <w:pPr>
              <w:spacing w:line="240" w:lineRule="auto" w:after="0"/>
              <w:ind w:left="0"/>
            </w:pPr>
            <w:r>
              <w:rPr>
                <w:rFonts w:ascii="Consolas" w:hAnsi="Consolas"/>
                <w:color w:val="1F3535"/>
                <w:sz w:val="18"/>
              </w:rPr>
              <w:t xml:space="preserve">  - "calculation_verified: 100% (quantitative records)"</w:t>
            </w:r>
          </w:p>
          <w:p>
            <w:pPr>
              <w:spacing w:line="240" w:lineRule="auto" w:after="0"/>
              <w:ind w:left="0"/>
            </w:pPr>
            <w:r>
              <w:rPr>
                <w:rFonts w:ascii="Consolas" w:hAnsi="Consolas"/>
                <w:color w:val="1F3535"/>
                <w:sz w:val="18"/>
              </w:rPr>
              <w:t xml:space="preserve">  - "answer_reviewer_approved: 100% (gold records)"</w:t>
            </w:r>
          </w:p>
          <w:p>
            <w:pPr>
              <w:spacing w:line="240" w:lineRule="auto" w:after="0"/>
              <w:ind w:left="0"/>
            </w:pPr>
            <w:r>
              <w:rPr>
                <w:rFonts w:ascii="Consolas" w:hAnsi="Consolas"/>
                <w:color w:val="1F3535"/>
                <w:sz w:val="18"/>
              </w:rPr>
              <w:t xml:space="preserve">  - "duplicate_or_leakage: 0 unresolved material cases"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hard_fail_conditions:</w:t>
            </w:r>
          </w:p>
          <w:p>
            <w:pPr>
              <w:spacing w:line="240" w:lineRule="auto" w:after="0"/>
              <w:ind w:left="0"/>
            </w:pPr>
            <w:r>
              <w:rPr>
                <w:rFonts w:ascii="Consolas" w:hAnsi="Consolas"/>
                <w:color w:val="1F3535"/>
                <w:sz w:val="18"/>
              </w:rPr>
              <w:t xml:space="preserve">  - "Fabricated ASC paragraph, quotation, or source."</w:t>
            </w:r>
          </w:p>
          <w:p>
            <w:pPr>
              <w:spacing w:line="240" w:lineRule="auto" w:after="0"/>
              <w:ind w:left="0"/>
            </w:pPr>
            <w:r>
              <w:rPr>
                <w:rFonts w:ascii="Consolas" w:hAnsi="Consolas"/>
                <w:color w:val="1F3535"/>
                <w:sz w:val="18"/>
              </w:rPr>
              <w:t xml:space="preserve">  - "Materially incorrect accounting conclusion."</w:t>
            </w:r>
          </w:p>
          <w:p>
            <w:pPr>
              <w:spacing w:line="240" w:lineRule="auto" w:after="0"/>
              <w:ind w:left="0"/>
            </w:pPr>
            <w:r>
              <w:rPr>
                <w:rFonts w:ascii="Consolas" w:hAnsi="Consolas"/>
                <w:color w:val="1F3535"/>
                <w:sz w:val="18"/>
              </w:rPr>
              <w:t xml:space="preserve">  - "Arithmetic error that affects conclusion."</w:t>
            </w:r>
          </w:p>
          <w:p>
            <w:pPr>
              <w:spacing w:line="240" w:lineRule="auto" w:after="0"/>
              <w:ind w:left="0"/>
            </w:pPr>
            <w:r>
              <w:rPr>
                <w:rFonts w:ascii="Consolas" w:hAnsi="Consolas"/>
                <w:color w:val="1F3535"/>
                <w:sz w:val="18"/>
              </w:rPr>
              <w:t xml:space="preserve">  - "Unsupported assumption presented as fact."</w:t>
            </w:r>
          </w:p>
          <w:p>
            <w:pPr>
              <w:spacing w:line="240" w:lineRule="auto" w:after="0"/>
              <w:ind w:left="0"/>
            </w:pPr>
            <w:r>
              <w:rPr>
                <w:rFonts w:ascii="Consolas" w:hAnsi="Consolas"/>
                <w:color w:val="1F3535"/>
                <w:sz w:val="18"/>
              </w:rPr>
              <w:t xml:space="preserve">  - "Journal entry that does not balance."</w:t>
            </w:r>
          </w:p>
          <w:p>
            <w:pPr>
              <w:spacing w:line="240" w:lineRule="auto" w:after="0"/>
              <w:ind w:left="0"/>
            </w:pPr>
            <w:r>
              <w:rPr>
                <w:rFonts w:ascii="Consolas" w:hAnsi="Consolas"/>
                <w:color w:val="1F3535"/>
                <w:sz w:val="18"/>
              </w:rPr>
              <w:t xml:space="preserve">  - "Claim that an interpretive guide is itself authoritative GAAP."</w:t>
            </w:r>
          </w:p>
          <w:p>
            <w:pPr>
              <w:spacing w:line="240" w:lineRule="auto" w:after="0"/>
              <w:ind w:left="0"/>
            </w:pPr>
            <w:r>
              <w:rPr>
                <w:rFonts w:ascii="Consolas" w:hAnsi="Consolas"/>
                <w:color w:val="1F3535"/>
                <w:sz w:val="18"/>
              </w:rPr>
              <w:t xml:space="preserve">  - "Question that cannot be answered from its facts when the target answer pretends otherwise."</w:t>
            </w:r>
          </w:p>
          <w:p>
            <w:pPr>
              <w:spacing w:line="240" w:lineRule="auto" w:after="0"/>
              <w:ind w:left="0"/>
            </w:pPr>
            <w:r>
              <w:rPr>
                <w:rFonts w:ascii="Consolas" w:hAnsi="Consolas"/>
                <w:color w:val="1F3535"/>
                <w:sz w:val="18"/>
              </w:rPr>
              <w:t xml:space="preserve">  - "Unlicensed source text or confidential client information."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phased_plan:</w:t>
            </w:r>
          </w:p>
          <w:p>
            <w:pPr>
              <w:spacing w:line="240" w:lineRule="auto" w:after="0"/>
              <w:ind w:left="0"/>
            </w:pPr>
            <w:r>
              <w:rPr>
                <w:rFonts w:ascii="Consolas" w:hAnsi="Consolas"/>
                <w:color w:val="1F3535"/>
                <w:sz w:val="18"/>
              </w:rPr>
              <w:t xml:space="preserve">  - phase: P1</w:t>
            </w:r>
          </w:p>
          <w:p>
            <w:pPr>
              <w:spacing w:line="240" w:lineRule="auto" w:after="0"/>
              <w:ind w:left="0"/>
            </w:pPr>
            <w:r>
              <w:rPr>
                <w:rFonts w:ascii="Consolas" w:hAnsi="Consolas"/>
                <w:color w:val="1F3535"/>
                <w:sz w:val="18"/>
              </w:rPr>
              <w:t xml:space="preserve">    records: 100</w:t>
            </w:r>
          </w:p>
          <w:p>
            <w:pPr>
              <w:spacing w:line="240" w:lineRule="auto" w:after="0"/>
              <w:ind w:left="0"/>
            </w:pPr>
            <w:r>
              <w:rPr>
                <w:rFonts w:ascii="Consolas" w:hAnsi="Consolas"/>
                <w:color w:val="1F3535"/>
                <w:sz w:val="18"/>
              </w:rPr>
              <w:t xml:space="preserve">    focus: "Schema, templates, smoke test"</w:t>
            </w:r>
          </w:p>
          <w:p>
            <w:pPr>
              <w:spacing w:line="240" w:lineRule="auto" w:after="0"/>
              <w:ind w:left="0"/>
            </w:pPr>
            <w:r>
              <w:rPr>
                <w:rFonts w:ascii="Consolas" w:hAnsi="Consolas"/>
                <w:color w:val="1F3535"/>
                <w:sz w:val="18"/>
              </w:rPr>
              <w:t xml:space="preserve">  - phase: P2</w:t>
            </w:r>
          </w:p>
          <w:p>
            <w:pPr>
              <w:spacing w:line="240" w:lineRule="auto" w:after="0"/>
              <w:ind w:left="0"/>
            </w:pPr>
            <w:r>
              <w:rPr>
                <w:rFonts w:ascii="Consolas" w:hAnsi="Consolas"/>
                <w:color w:val="1F3535"/>
                <w:sz w:val="18"/>
              </w:rPr>
              <w:t xml:space="preserve">    records: 1900</w:t>
            </w:r>
          </w:p>
          <w:p>
            <w:pPr>
              <w:spacing w:line="240" w:lineRule="auto" w:after="0"/>
              <w:ind w:left="0"/>
            </w:pPr>
            <w:r>
              <w:rPr>
                <w:rFonts w:ascii="Consolas" w:hAnsi="Consolas"/>
                <w:color w:val="1F3535"/>
                <w:sz w:val="18"/>
              </w:rPr>
              <w:t xml:space="preserve">    focus: "M0-M2 (foundations)"</w:t>
            </w:r>
          </w:p>
          <w:p>
            <w:pPr>
              <w:spacing w:line="240" w:lineRule="auto" w:after="0"/>
              <w:ind w:left="0"/>
            </w:pPr>
            <w:r>
              <w:rPr>
                <w:rFonts w:ascii="Consolas" w:hAnsi="Consolas"/>
                <w:color w:val="1F3535"/>
                <w:sz w:val="18"/>
              </w:rPr>
              <w:t xml:space="preserve">  - phase: P3</w:t>
            </w:r>
          </w:p>
          <w:p>
            <w:pPr>
              <w:spacing w:line="240" w:lineRule="auto" w:after="0"/>
              <w:ind w:left="0"/>
            </w:pPr>
            <w:r>
              <w:rPr>
                <w:rFonts w:ascii="Consolas" w:hAnsi="Consolas"/>
                <w:color w:val="1F3535"/>
                <w:sz w:val="18"/>
              </w:rPr>
              <w:t xml:space="preserve">    records: 3000</w:t>
            </w:r>
          </w:p>
          <w:p>
            <w:pPr>
              <w:spacing w:line="240" w:lineRule="auto" w:after="0"/>
              <w:ind w:left="0"/>
            </w:pPr>
            <w:r>
              <w:rPr>
                <w:rFonts w:ascii="Consolas" w:hAnsi="Consolas"/>
                <w:color w:val="1F3535"/>
                <w:sz w:val="18"/>
              </w:rPr>
              <w:t xml:space="preserve">    focus: "M3-M6 (core application)"</w:t>
            </w:r>
          </w:p>
          <w:p>
            <w:pPr>
              <w:spacing w:line="240" w:lineRule="auto" w:after="0"/>
              <w:ind w:left="0"/>
            </w:pPr>
            <w:r>
              <w:rPr>
                <w:rFonts w:ascii="Consolas" w:hAnsi="Consolas"/>
                <w:color w:val="1F3535"/>
                <w:sz w:val="18"/>
              </w:rPr>
              <w:t xml:space="preserve">  - phase: P4</w:t>
            </w:r>
          </w:p>
          <w:p>
            <w:pPr>
              <w:spacing w:line="240" w:lineRule="auto" w:after="0"/>
              <w:ind w:left="0"/>
            </w:pPr>
            <w:r>
              <w:rPr>
                <w:rFonts w:ascii="Consolas" w:hAnsi="Consolas"/>
                <w:color w:val="1F3535"/>
                <w:sz w:val="18"/>
              </w:rPr>
              <w:t xml:space="preserve">    records: 2400</w:t>
            </w:r>
          </w:p>
          <w:p>
            <w:pPr>
              <w:spacing w:line="240" w:lineRule="auto" w:after="0"/>
              <w:ind w:left="0"/>
            </w:pPr>
            <w:r>
              <w:rPr>
                <w:rFonts w:ascii="Consolas" w:hAnsi="Consolas"/>
                <w:color w:val="1F3535"/>
                <w:sz w:val="18"/>
              </w:rPr>
              <w:t xml:space="preserve">    focus: "M7-M9 (advanced technical)"</w:t>
            </w:r>
          </w:p>
          <w:p>
            <w:pPr>
              <w:spacing w:line="240" w:lineRule="auto" w:after="0"/>
              <w:ind w:left="0"/>
            </w:pPr>
            <w:r>
              <w:rPr>
                <w:rFonts w:ascii="Consolas" w:hAnsi="Consolas"/>
                <w:color w:val="1F3535"/>
                <w:sz w:val="18"/>
              </w:rPr>
              <w:t xml:space="preserve">  - phase: P5</w:t>
            </w:r>
          </w:p>
          <w:p>
            <w:pPr>
              <w:spacing w:line="240" w:lineRule="auto" w:after="0"/>
              <w:ind w:left="0"/>
            </w:pPr>
            <w:r>
              <w:rPr>
                <w:rFonts w:ascii="Consolas" w:hAnsi="Consolas"/>
                <w:color w:val="1F3535"/>
                <w:sz w:val="18"/>
              </w:rPr>
              <w:t xml:space="preserve">    records: 1600</w:t>
            </w:r>
          </w:p>
          <w:p>
            <w:pPr>
              <w:spacing w:line="240" w:lineRule="auto" w:after="0"/>
              <w:ind w:left="0"/>
            </w:pPr>
            <w:r>
              <w:rPr>
                <w:rFonts w:ascii="Consolas" w:hAnsi="Consolas"/>
                <w:color w:val="1F3535"/>
                <w:sz w:val="18"/>
              </w:rPr>
              <w:t xml:space="preserve">    focus: "M10-M11 (expert &amp; adversarial)"</w:t>
            </w:r>
          </w:p>
          <w:p>
            <w:pPr>
              <w:spacing w:line="240" w:lineRule="auto" w:after="0"/>
              <w:ind w:left="0"/>
            </w:pPr>
            <w:r>
              <w:rPr>
                <w:rFonts w:ascii="Consolas" w:hAnsi="Consolas"/>
                <w:color w:val="1F3535"/>
                <w:sz w:val="18"/>
              </w:rPr>
              <w:t xml:space="preserve">  - phase: P6</w:t>
            </w:r>
          </w:p>
          <w:p>
            <w:pPr>
              <w:spacing w:line="240" w:lineRule="auto" w:after="0"/>
              <w:ind w:left="0"/>
            </w:pPr>
            <w:r>
              <w:rPr>
                <w:rFonts w:ascii="Consolas" w:hAnsi="Consolas"/>
                <w:color w:val="1F3535"/>
                <w:sz w:val="18"/>
              </w:rPr>
              <w:t xml:space="preserve">    records: 0</w:t>
            </w:r>
          </w:p>
          <w:p>
            <w:pPr>
              <w:spacing w:line="240" w:lineRule="auto" w:after="0"/>
              <w:ind w:left="0"/>
            </w:pPr>
            <w:r>
              <w:rPr>
                <w:rFonts w:ascii="Consolas" w:hAnsi="Consolas"/>
                <w:color w:val="1F3535"/>
                <w:sz w:val="18"/>
              </w:rPr>
              <w:t xml:space="preserve">    focus: "Consolidate, dedup, audit, release 10,000"</w:t>
            </w:r>
          </w:p>
          <w:p>
            <w:pPr>
              <w:spacing w:line="240" w:lineRule="auto" w:after="0"/>
              <w:ind w:left="0"/>
            </w:pPr>
            <w:r>
              <w:rPr>
                <w:rFonts w:ascii="Consolas" w:hAnsi="Consolas"/>
                <w:color w:val="1F3535"/>
                <w:sz w:val="18"/>
              </w:rPr>
            </w:r>
          </w:p>
        </w:tc>
      </w:tr>
    </w:tbl>
    <w:p>
      <w:pPr>
        <w:spacing w:after="80"/>
      </w:pPr>
    </w:p>
    <w:p>
      <w:pPr>
        <w:pStyle w:val="Heading2"/>
      </w:pPr>
      <w:r>
        <w:rPr>
          <w:color w:val="1F3864"/>
        </w:rPr>
        <w:t>7.3 requirements.txt</w:t>
      </w:r>
    </w:p>
    <w:p>
      <w:pPr>
        <w:spacing w:line="312" w:lineRule="auto" w:after="120"/>
      </w:pPr>
      <w:r>
        <w:rPr>
          <w:rFonts w:ascii="Calibri" w:hAnsi="Calibri"/>
          <w:b w:val="0"/>
          <w:i/>
          <w:color w:val="606060"/>
          <w:sz w:val="20"/>
        </w:rPr>
        <w:t>Python dependencies</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Core</w:t>
            </w:r>
          </w:p>
          <w:p>
            <w:pPr>
              <w:spacing w:line="240" w:lineRule="auto" w:after="0"/>
              <w:ind w:left="0"/>
            </w:pPr>
            <w:r>
              <w:rPr>
                <w:rFonts w:ascii="Consolas" w:hAnsi="Consolas"/>
                <w:color w:val="1F3535"/>
                <w:sz w:val="18"/>
              </w:rPr>
              <w:t>pydantic&gt;=2.5</w:t>
            </w:r>
          </w:p>
          <w:p>
            <w:pPr>
              <w:spacing w:line="240" w:lineRule="auto" w:after="0"/>
              <w:ind w:left="0"/>
            </w:pPr>
            <w:r>
              <w:rPr>
                <w:rFonts w:ascii="Consolas" w:hAnsi="Consolas"/>
                <w:color w:val="1F3535"/>
                <w:sz w:val="18"/>
              </w:rPr>
              <w:t>pyyaml&gt;=6.0</w:t>
            </w:r>
          </w:p>
          <w:p>
            <w:pPr>
              <w:spacing w:line="240" w:lineRule="auto" w:after="0"/>
              <w:ind w:left="0"/>
            </w:pPr>
            <w:r>
              <w:rPr>
                <w:rFonts w:ascii="Consolas" w:hAnsi="Consolas"/>
                <w:color w:val="1F3535"/>
                <w:sz w:val="18"/>
              </w:rPr>
              <w:t>jsonlines&gt;=4.0</w:t>
            </w:r>
          </w:p>
          <w:p>
            <w:pPr>
              <w:spacing w:line="240" w:lineRule="auto" w:after="0"/>
              <w:ind w:left="0"/>
            </w:pPr>
            <w:r>
              <w:rPr>
                <w:rFonts w:ascii="Consolas" w:hAnsi="Consolas"/>
                <w:color w:val="1F3535"/>
                <w:sz w:val="18"/>
              </w:rPr>
              <w:t>tqdm&gt;=4.66</w:t>
            </w:r>
          </w:p>
          <w:p>
            <w:pPr>
              <w:spacing w:line="240" w:lineRule="auto" w:after="0"/>
              <w:ind w:left="0"/>
            </w:pPr>
            <w:r>
              <w:rPr>
                <w:rFonts w:ascii="Consolas" w:hAnsi="Consolas"/>
                <w:color w:val="1F3535"/>
                <w:sz w:val="18"/>
              </w:rPr>
              <w:t>click&gt;=8.1</w:t>
            </w:r>
          </w:p>
          <w:p>
            <w:pPr>
              <w:spacing w:line="240" w:lineRule="auto" w:after="0"/>
              <w:ind w:left="0"/>
            </w:pPr>
            <w:r>
              <w:rPr>
                <w:rFonts w:ascii="Consolas" w:hAnsi="Consolas"/>
                <w:color w:val="1F3535"/>
                <w:sz w:val="18"/>
              </w:rPr>
              <w:t>rich&gt;=13.7</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Data validation / generation</w:t>
            </w:r>
          </w:p>
          <w:p>
            <w:pPr>
              <w:spacing w:line="240" w:lineRule="auto" w:after="0"/>
              <w:ind w:left="0"/>
            </w:pPr>
            <w:r>
              <w:rPr>
                <w:rFonts w:ascii="Consolas" w:hAnsi="Consolas"/>
                <w:color w:val="1F3535"/>
                <w:sz w:val="18"/>
              </w:rPr>
              <w:t>faker&gt;=22.0</w:t>
            </w:r>
          </w:p>
          <w:p>
            <w:pPr>
              <w:spacing w:line="240" w:lineRule="auto" w:after="0"/>
              <w:ind w:left="0"/>
            </w:pPr>
            <w:r>
              <w:rPr>
                <w:rFonts w:ascii="Consolas" w:hAnsi="Consolas"/>
                <w:color w:val="1F3535"/>
                <w:sz w:val="18"/>
              </w:rPr>
              <w:t>numpy&gt;=1.26</w:t>
            </w:r>
          </w:p>
          <w:p>
            <w:pPr>
              <w:spacing w:line="240" w:lineRule="auto" w:after="0"/>
              <w:ind w:left="0"/>
            </w:pPr>
            <w:r>
              <w:rPr>
                <w:rFonts w:ascii="Consolas" w:hAnsi="Consolas"/>
                <w:color w:val="1F3535"/>
                <w:sz w:val="18"/>
              </w:rPr>
              <w:t>pandas&gt;=2.1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Fine-tuning (HuggingFace stack)</w:t>
            </w:r>
          </w:p>
          <w:p>
            <w:pPr>
              <w:spacing w:line="240" w:lineRule="auto" w:after="0"/>
              <w:ind w:left="0"/>
            </w:pPr>
            <w:r>
              <w:rPr>
                <w:rFonts w:ascii="Consolas" w:hAnsi="Consolas"/>
                <w:color w:val="1F3535"/>
                <w:sz w:val="18"/>
              </w:rPr>
              <w:t>torch&gt;=2.1</w:t>
            </w:r>
          </w:p>
          <w:p>
            <w:pPr>
              <w:spacing w:line="240" w:lineRule="auto" w:after="0"/>
              <w:ind w:left="0"/>
            </w:pPr>
            <w:r>
              <w:rPr>
                <w:rFonts w:ascii="Consolas" w:hAnsi="Consolas"/>
                <w:color w:val="1F3535"/>
                <w:sz w:val="18"/>
              </w:rPr>
              <w:t>transformers&gt;=4.40</w:t>
            </w:r>
          </w:p>
          <w:p>
            <w:pPr>
              <w:spacing w:line="240" w:lineRule="auto" w:after="0"/>
              <w:ind w:left="0"/>
            </w:pPr>
            <w:r>
              <w:rPr>
                <w:rFonts w:ascii="Consolas" w:hAnsi="Consolas"/>
                <w:color w:val="1F3535"/>
                <w:sz w:val="18"/>
              </w:rPr>
              <w:t>datasets&gt;=2.18</w:t>
            </w:r>
          </w:p>
          <w:p>
            <w:pPr>
              <w:spacing w:line="240" w:lineRule="auto" w:after="0"/>
              <w:ind w:left="0"/>
            </w:pPr>
            <w:r>
              <w:rPr>
                <w:rFonts w:ascii="Consolas" w:hAnsi="Consolas"/>
                <w:color w:val="1F3535"/>
                <w:sz w:val="18"/>
              </w:rPr>
              <w:t>accelerate&gt;=0.27</w:t>
            </w:r>
          </w:p>
          <w:p>
            <w:pPr>
              <w:spacing w:line="240" w:lineRule="auto" w:after="0"/>
              <w:ind w:left="0"/>
            </w:pPr>
            <w:r>
              <w:rPr>
                <w:rFonts w:ascii="Consolas" w:hAnsi="Consolas"/>
                <w:color w:val="1F3535"/>
                <w:sz w:val="18"/>
              </w:rPr>
              <w:t>peft&gt;=0.10           # LoRA</w:t>
            </w:r>
          </w:p>
          <w:p>
            <w:pPr>
              <w:spacing w:line="240" w:lineRule="auto" w:after="0"/>
              <w:ind w:left="0"/>
            </w:pPr>
            <w:r>
              <w:rPr>
                <w:rFonts w:ascii="Consolas" w:hAnsi="Consolas"/>
                <w:color w:val="1F3535"/>
                <w:sz w:val="18"/>
              </w:rPr>
              <w:t>trl&gt;=0.8             # SFTTrainer</w:t>
            </w:r>
          </w:p>
          <w:p>
            <w:pPr>
              <w:spacing w:line="240" w:lineRule="auto" w:after="0"/>
              <w:ind w:left="0"/>
            </w:pPr>
            <w:r>
              <w:rPr>
                <w:rFonts w:ascii="Consolas" w:hAnsi="Consolas"/>
                <w:color w:val="1F3535"/>
                <w:sz w:val="18"/>
              </w:rPr>
              <w:t>bitsandbytes&gt;=0.43   # 4-bit quantization (optional)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Evaluation</w:t>
            </w:r>
          </w:p>
          <w:p>
            <w:pPr>
              <w:spacing w:line="240" w:lineRule="auto" w:after="0"/>
              <w:ind w:left="0"/>
            </w:pPr>
            <w:r>
              <w:rPr>
                <w:rFonts w:ascii="Consolas" w:hAnsi="Consolas"/>
                <w:color w:val="1F3535"/>
                <w:sz w:val="18"/>
              </w:rPr>
              <w:t>scikit-learn&gt;=1.4</w:t>
            </w:r>
          </w:p>
          <w:p>
            <w:pPr>
              <w:spacing w:line="240" w:lineRule="auto" w:after="0"/>
              <w:ind w:left="0"/>
            </w:pPr>
            <w:r>
              <w:rPr>
                <w:rFonts w:ascii="Consolas" w:hAnsi="Consolas"/>
                <w:color w:val="1F3535"/>
                <w:sz w:val="18"/>
              </w:rPr>
              <w:t>rouge-score&gt;=0.1</w:t>
            </w:r>
          </w:p>
          <w:p>
            <w:pPr>
              <w:spacing w:line="240" w:lineRule="auto" w:after="0"/>
              <w:ind w:left="0"/>
            </w:pPr>
            <w:r>
              <w:rPr>
                <w:rFonts w:ascii="Consolas" w:hAnsi="Consolas"/>
                <w:color w:val="1F3535"/>
                <w:sz w:val="18"/>
              </w:rPr>
              <w:t>nltk&gt;=3.8</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Testing</w:t>
            </w:r>
          </w:p>
          <w:p>
            <w:pPr>
              <w:spacing w:line="240" w:lineRule="auto" w:after="0"/>
              <w:ind w:left="0"/>
            </w:pPr>
            <w:r>
              <w:rPr>
                <w:rFonts w:ascii="Consolas" w:hAnsi="Consolas"/>
                <w:color w:val="1F3535"/>
                <w:sz w:val="18"/>
              </w:rPr>
              <w:t>pytest&gt;=8.0</w:t>
            </w:r>
          </w:p>
          <w:p>
            <w:pPr>
              <w:spacing w:line="240" w:lineRule="auto" w:after="0"/>
              <w:ind w:left="0"/>
            </w:pPr>
            <w:r>
              <w:rPr>
                <w:rFonts w:ascii="Consolas" w:hAnsi="Consolas"/>
                <w:color w:val="1F3535"/>
                <w:sz w:val="18"/>
              </w:rPr>
              <w:t>pytest-cov&gt;=4.1</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Notebook (optional)</w:t>
            </w:r>
          </w:p>
          <w:p>
            <w:pPr>
              <w:spacing w:line="240" w:lineRule="auto" w:after="0"/>
              <w:ind w:left="0"/>
            </w:pPr>
            <w:r>
              <w:rPr>
                <w:rFonts w:ascii="Consolas" w:hAnsi="Consolas"/>
                <w:color w:val="1F3535"/>
                <w:sz w:val="18"/>
              </w:rPr>
              <w:t>jupyter&gt;=1.0</w:t>
            </w:r>
          </w:p>
          <w:p>
            <w:pPr>
              <w:spacing w:line="240" w:lineRule="auto" w:after="0"/>
              <w:ind w:left="0"/>
            </w:pPr>
            <w:r>
              <w:rPr>
                <w:rFonts w:ascii="Consolas" w:hAnsi="Consolas"/>
                <w:color w:val="1F3535"/>
                <w:sz w:val="18"/>
              </w:rPr>
            </w:r>
          </w:p>
        </w:tc>
      </w:tr>
    </w:tbl>
    <w:p>
      <w:pPr>
        <w:spacing w:after="80"/>
      </w:pPr>
    </w:p>
    <w:p>
      <w:pPr>
        <w:pStyle w:val="Heading2"/>
      </w:pPr>
      <w:r>
        <w:rPr>
          <w:color w:val="1F3864"/>
        </w:rPr>
        <w:t>7.4 pyproject.toml</w:t>
      </w:r>
    </w:p>
    <w:p>
      <w:pPr>
        <w:spacing w:line="312" w:lineRule="auto" w:after="120"/>
      </w:pPr>
      <w:r>
        <w:rPr>
          <w:rFonts w:ascii="Calibri" w:hAnsi="Calibri"/>
          <w:b w:val="0"/>
          <w:i/>
          <w:color w:val="606060"/>
          <w:sz w:val="20"/>
        </w:rPr>
        <w:t>Package + tooling config</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[build-system]</w:t>
            </w:r>
          </w:p>
          <w:p>
            <w:pPr>
              <w:spacing w:line="240" w:lineRule="auto" w:after="0"/>
              <w:ind w:left="0"/>
            </w:pPr>
            <w:r>
              <w:rPr>
                <w:rFonts w:ascii="Consolas" w:hAnsi="Consolas"/>
                <w:color w:val="1F3535"/>
                <w:sz w:val="18"/>
              </w:rPr>
              <w:t>requires = ["setuptools&gt;=61", "wheel"]</w:t>
            </w:r>
          </w:p>
          <w:p>
            <w:pPr>
              <w:spacing w:line="240" w:lineRule="auto" w:after="0"/>
              <w:ind w:left="0"/>
            </w:pPr>
            <w:r>
              <w:rPr>
                <w:rFonts w:ascii="Consolas" w:hAnsi="Consolas"/>
                <w:color w:val="1F3535"/>
                <w:sz w:val="18"/>
              </w:rPr>
              <w:t>build-backend = "setuptools.build_meta"</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[project]</w:t>
            </w:r>
          </w:p>
          <w:p>
            <w:pPr>
              <w:spacing w:line="240" w:lineRule="auto" w:after="0"/>
              <w:ind w:left="0"/>
            </w:pPr>
            <w:r>
              <w:rPr>
                <w:rFonts w:ascii="Consolas" w:hAnsi="Consolas"/>
                <w:color w:val="1F3535"/>
                <w:sz w:val="18"/>
              </w:rPr>
              <w:t>name = "asc606_trainer"</w:t>
            </w:r>
          </w:p>
          <w:p>
            <w:pPr>
              <w:spacing w:line="240" w:lineRule="auto" w:after="0"/>
              <w:ind w:left="0"/>
            </w:pPr>
            <w:r>
              <w:rPr>
                <w:rFonts w:ascii="Consolas" w:hAnsi="Consolas"/>
                <w:color w:val="1F3535"/>
                <w:sz w:val="18"/>
              </w:rPr>
              <w:t>version = "0.1.0"</w:t>
            </w:r>
          </w:p>
          <w:p>
            <w:pPr>
              <w:spacing w:line="240" w:lineRule="auto" w:after="0"/>
              <w:ind w:left="0"/>
            </w:pPr>
            <w:r>
              <w:rPr>
                <w:rFonts w:ascii="Consolas" w:hAnsi="Consolas"/>
                <w:color w:val="1F3535"/>
                <w:sz w:val="18"/>
              </w:rPr>
              <w:t>description = "ASC 606 (Revenue from Contracts with Customers) LLM fine-tuning toolkit"</w:t>
            </w:r>
          </w:p>
          <w:p>
            <w:pPr>
              <w:spacing w:line="240" w:lineRule="auto" w:after="0"/>
              <w:ind w:left="0"/>
            </w:pPr>
            <w:r>
              <w:rPr>
                <w:rFonts w:ascii="Consolas" w:hAnsi="Consolas"/>
                <w:color w:val="1F3535"/>
                <w:sz w:val="18"/>
              </w:rPr>
              <w:t>readme = "README.md"</w:t>
            </w:r>
          </w:p>
          <w:p>
            <w:pPr>
              <w:spacing w:line="240" w:lineRule="auto" w:after="0"/>
              <w:ind w:left="0"/>
            </w:pPr>
            <w:r>
              <w:rPr>
                <w:rFonts w:ascii="Consolas" w:hAnsi="Consolas"/>
                <w:color w:val="1F3535"/>
                <w:sz w:val="18"/>
              </w:rPr>
              <w:t>requires-python = "&gt;=3.10"</w:t>
            </w:r>
          </w:p>
          <w:p>
            <w:pPr>
              <w:spacing w:line="240" w:lineRule="auto" w:after="0"/>
              <w:ind w:left="0"/>
            </w:pPr>
            <w:r>
              <w:rPr>
                <w:rFonts w:ascii="Consolas" w:hAnsi="Consolas"/>
                <w:color w:val="1F3535"/>
                <w:sz w:val="18"/>
              </w:rPr>
              <w:t>license = { text = "MIT" }</w:t>
            </w:r>
          </w:p>
          <w:p>
            <w:pPr>
              <w:spacing w:line="240" w:lineRule="auto" w:after="0"/>
              <w:ind w:left="0"/>
            </w:pPr>
            <w:r>
              <w:rPr>
                <w:rFonts w:ascii="Consolas" w:hAnsi="Consolas"/>
                <w:color w:val="1F3535"/>
                <w:sz w:val="18"/>
              </w:rPr>
              <w:t>authors = [{ name = "ASC 606 LLM Training Project Contributors" }]</w:t>
            </w:r>
          </w:p>
          <w:p>
            <w:pPr>
              <w:spacing w:line="240" w:lineRule="auto" w:after="0"/>
              <w:ind w:left="0"/>
            </w:pPr>
            <w:r>
              <w:rPr>
                <w:rFonts w:ascii="Consolas" w:hAnsi="Consolas"/>
                <w:color w:val="1F3535"/>
                <w:sz w:val="18"/>
              </w:rPr>
              <w:t>keywords = ["asc606", "revenue-recognition", "llm", "fine-tuning", "fasp", "us-gaap", "fasp"]</w:t>
            </w:r>
          </w:p>
          <w:p>
            <w:pPr>
              <w:spacing w:line="240" w:lineRule="auto" w:after="0"/>
              <w:ind w:left="0"/>
            </w:pPr>
            <w:r>
              <w:rPr>
                <w:rFonts w:ascii="Consolas" w:hAnsi="Consolas"/>
                <w:color w:val="1F3535"/>
                <w:sz w:val="18"/>
              </w:rPr>
              <w:t>classifiers = [</w:t>
            </w:r>
          </w:p>
          <w:p>
            <w:pPr>
              <w:spacing w:line="240" w:lineRule="auto" w:after="0"/>
              <w:ind w:left="0"/>
            </w:pPr>
            <w:r>
              <w:rPr>
                <w:rFonts w:ascii="Consolas" w:hAnsi="Consolas"/>
                <w:color w:val="1F3535"/>
                <w:sz w:val="18"/>
              </w:rPr>
              <w:t xml:space="preserve">    "Development Status :: 4 - Beta",</w:t>
            </w:r>
          </w:p>
          <w:p>
            <w:pPr>
              <w:spacing w:line="240" w:lineRule="auto" w:after="0"/>
              <w:ind w:left="0"/>
            </w:pPr>
            <w:r>
              <w:rPr>
                <w:rFonts w:ascii="Consolas" w:hAnsi="Consolas"/>
                <w:color w:val="1F3535"/>
                <w:sz w:val="18"/>
              </w:rPr>
              <w:t xml:space="preserve">    "Intended Audience :: Science/Research",</w:t>
            </w:r>
          </w:p>
          <w:p>
            <w:pPr>
              <w:spacing w:line="240" w:lineRule="auto" w:after="0"/>
              <w:ind w:left="0"/>
            </w:pPr>
            <w:r>
              <w:rPr>
                <w:rFonts w:ascii="Consolas" w:hAnsi="Consolas"/>
                <w:color w:val="1F3535"/>
                <w:sz w:val="18"/>
              </w:rPr>
              <w:t xml:space="preserve">    "Intended Audience :: Financial and Insurance Industry",</w:t>
            </w:r>
          </w:p>
          <w:p>
            <w:pPr>
              <w:spacing w:line="240" w:lineRule="auto" w:after="0"/>
              <w:ind w:left="0"/>
            </w:pPr>
            <w:r>
              <w:rPr>
                <w:rFonts w:ascii="Consolas" w:hAnsi="Consolas"/>
                <w:color w:val="1F3535"/>
                <w:sz w:val="18"/>
              </w:rPr>
              <w:t xml:space="preserve">    "License :: OSI Approved :: MIT License",</w:t>
            </w:r>
          </w:p>
          <w:p>
            <w:pPr>
              <w:spacing w:line="240" w:lineRule="auto" w:after="0"/>
              <w:ind w:left="0"/>
            </w:pPr>
            <w:r>
              <w:rPr>
                <w:rFonts w:ascii="Consolas" w:hAnsi="Consolas"/>
                <w:color w:val="1F3535"/>
                <w:sz w:val="18"/>
              </w:rPr>
              <w:t xml:space="preserve">    "Programming Language :: Python :: 3",</w:t>
            </w:r>
          </w:p>
          <w:p>
            <w:pPr>
              <w:spacing w:line="240" w:lineRule="auto" w:after="0"/>
              <w:ind w:left="0"/>
            </w:pPr>
            <w:r>
              <w:rPr>
                <w:rFonts w:ascii="Consolas" w:hAnsi="Consolas"/>
                <w:color w:val="1F3535"/>
                <w:sz w:val="18"/>
              </w:rPr>
              <w:t xml:space="preserve">    "Programming Language :: Python :: 3.10",</w:t>
            </w:r>
          </w:p>
          <w:p>
            <w:pPr>
              <w:spacing w:line="240" w:lineRule="auto" w:after="0"/>
              <w:ind w:left="0"/>
            </w:pPr>
            <w:r>
              <w:rPr>
                <w:rFonts w:ascii="Consolas" w:hAnsi="Consolas"/>
                <w:color w:val="1F3535"/>
                <w:sz w:val="18"/>
              </w:rPr>
              <w:t xml:space="preserve">    "Programming Language :: Python :: 3.11",</w:t>
            </w:r>
          </w:p>
          <w:p>
            <w:pPr>
              <w:spacing w:line="240" w:lineRule="auto" w:after="0"/>
              <w:ind w:left="0"/>
            </w:pPr>
            <w:r>
              <w:rPr>
                <w:rFonts w:ascii="Consolas" w:hAnsi="Consolas"/>
                <w:color w:val="1F3535"/>
                <w:sz w:val="18"/>
              </w:rPr>
              <w:t xml:space="preserve">    "Programming Language :: Python :: 3.12",</w:t>
            </w:r>
          </w:p>
          <w:p>
            <w:pPr>
              <w:spacing w:line="240" w:lineRule="auto" w:after="0"/>
              <w:ind w:left="0"/>
            </w:pPr>
            <w:r>
              <w:rPr>
                <w:rFonts w:ascii="Consolas" w:hAnsi="Consolas"/>
                <w:color w:val="1F3535"/>
                <w:sz w:val="18"/>
              </w:rPr>
              <w:t xml:space="preserve">    "Topic :: Scientific/Engineering :: Artificial Intelligence",</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dependencies = [</w:t>
            </w:r>
          </w:p>
          <w:p>
            <w:pPr>
              <w:spacing w:line="240" w:lineRule="auto" w:after="0"/>
              <w:ind w:left="0"/>
            </w:pPr>
            <w:r>
              <w:rPr>
                <w:rFonts w:ascii="Consolas" w:hAnsi="Consolas"/>
                <w:color w:val="1F3535"/>
                <w:sz w:val="18"/>
              </w:rPr>
              <w:t xml:space="preserve">    "pydantic&gt;=2.5",</w:t>
            </w:r>
          </w:p>
          <w:p>
            <w:pPr>
              <w:spacing w:line="240" w:lineRule="auto" w:after="0"/>
              <w:ind w:left="0"/>
            </w:pPr>
            <w:r>
              <w:rPr>
                <w:rFonts w:ascii="Consolas" w:hAnsi="Consolas"/>
                <w:color w:val="1F3535"/>
                <w:sz w:val="18"/>
              </w:rPr>
              <w:t xml:space="preserve">    "pyyaml&gt;=6.0",</w:t>
            </w:r>
          </w:p>
          <w:p>
            <w:pPr>
              <w:spacing w:line="240" w:lineRule="auto" w:after="0"/>
              <w:ind w:left="0"/>
            </w:pPr>
            <w:r>
              <w:rPr>
                <w:rFonts w:ascii="Consolas" w:hAnsi="Consolas"/>
                <w:color w:val="1F3535"/>
                <w:sz w:val="18"/>
              </w:rPr>
              <w:t xml:space="preserve">    "jsonlines&gt;=4.0",</w:t>
            </w:r>
          </w:p>
          <w:p>
            <w:pPr>
              <w:spacing w:line="240" w:lineRule="auto" w:after="0"/>
              <w:ind w:left="0"/>
            </w:pPr>
            <w:r>
              <w:rPr>
                <w:rFonts w:ascii="Consolas" w:hAnsi="Consolas"/>
                <w:color w:val="1F3535"/>
                <w:sz w:val="18"/>
              </w:rPr>
              <w:t xml:space="preserve">    "tqdm&gt;=4.66",</w:t>
            </w:r>
          </w:p>
          <w:p>
            <w:pPr>
              <w:spacing w:line="240" w:lineRule="auto" w:after="0"/>
              <w:ind w:left="0"/>
            </w:pPr>
            <w:r>
              <w:rPr>
                <w:rFonts w:ascii="Consolas" w:hAnsi="Consolas"/>
                <w:color w:val="1F3535"/>
                <w:sz w:val="18"/>
              </w:rPr>
              <w:t xml:space="preserve">    "click&gt;=8.1",</w:t>
            </w:r>
          </w:p>
          <w:p>
            <w:pPr>
              <w:spacing w:line="240" w:lineRule="auto" w:after="0"/>
              <w:ind w:left="0"/>
            </w:pPr>
            <w:r>
              <w:rPr>
                <w:rFonts w:ascii="Consolas" w:hAnsi="Consolas"/>
                <w:color w:val="1F3535"/>
                <w:sz w:val="18"/>
              </w:rPr>
              <w:t xml:space="preserve">    "rich&gt;=13.7",</w:t>
            </w:r>
          </w:p>
          <w:p>
            <w:pPr>
              <w:spacing w:line="240" w:lineRule="auto" w:after="0"/>
              <w:ind w:left="0"/>
            </w:pPr>
            <w:r>
              <w:rPr>
                <w:rFonts w:ascii="Consolas" w:hAnsi="Consolas"/>
                <w:color w:val="1F3535"/>
                <w:sz w:val="18"/>
              </w:rPr>
              <w:t xml:space="preserve">    "faker&gt;=22.0",</w:t>
            </w:r>
          </w:p>
          <w:p>
            <w:pPr>
              <w:spacing w:line="240" w:lineRule="auto" w:after="0"/>
              <w:ind w:left="0"/>
            </w:pPr>
            <w:r>
              <w:rPr>
                <w:rFonts w:ascii="Consolas" w:hAnsi="Consolas"/>
                <w:color w:val="1F3535"/>
                <w:sz w:val="18"/>
              </w:rPr>
              <w:t xml:space="preserve">    "numpy&gt;=1.26",</w:t>
            </w:r>
          </w:p>
          <w:p>
            <w:pPr>
              <w:spacing w:line="240" w:lineRule="auto" w:after="0"/>
              <w:ind w:left="0"/>
            </w:pPr>
            <w:r>
              <w:rPr>
                <w:rFonts w:ascii="Consolas" w:hAnsi="Consolas"/>
                <w:color w:val="1F3535"/>
                <w:sz w:val="18"/>
              </w:rPr>
              <w:t xml:space="preserve">    "pandas&gt;=2.1",</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[project.optional-dependencies]</w:t>
            </w:r>
          </w:p>
          <w:p>
            <w:pPr>
              <w:spacing w:line="240" w:lineRule="auto" w:after="0"/>
              <w:ind w:left="0"/>
            </w:pPr>
            <w:r>
              <w:rPr>
                <w:rFonts w:ascii="Consolas" w:hAnsi="Consolas"/>
                <w:color w:val="1F3535"/>
                <w:sz w:val="18"/>
              </w:rPr>
              <w:t>train = [</w:t>
            </w:r>
          </w:p>
          <w:p>
            <w:pPr>
              <w:spacing w:line="240" w:lineRule="auto" w:after="0"/>
              <w:ind w:left="0"/>
            </w:pPr>
            <w:r>
              <w:rPr>
                <w:rFonts w:ascii="Consolas" w:hAnsi="Consolas"/>
                <w:color w:val="1F3535"/>
                <w:sz w:val="18"/>
              </w:rPr>
              <w:t xml:space="preserve">    "torch&gt;=2.1",</w:t>
            </w:r>
          </w:p>
          <w:p>
            <w:pPr>
              <w:spacing w:line="240" w:lineRule="auto" w:after="0"/>
              <w:ind w:left="0"/>
            </w:pPr>
            <w:r>
              <w:rPr>
                <w:rFonts w:ascii="Consolas" w:hAnsi="Consolas"/>
                <w:color w:val="1F3535"/>
                <w:sz w:val="18"/>
              </w:rPr>
              <w:t xml:space="preserve">    "transformers&gt;=4.40",</w:t>
            </w:r>
          </w:p>
          <w:p>
            <w:pPr>
              <w:spacing w:line="240" w:lineRule="auto" w:after="0"/>
              <w:ind w:left="0"/>
            </w:pPr>
            <w:r>
              <w:rPr>
                <w:rFonts w:ascii="Consolas" w:hAnsi="Consolas"/>
                <w:color w:val="1F3535"/>
                <w:sz w:val="18"/>
              </w:rPr>
              <w:t xml:space="preserve">    "datasets&gt;=2.18",</w:t>
            </w:r>
          </w:p>
          <w:p>
            <w:pPr>
              <w:spacing w:line="240" w:lineRule="auto" w:after="0"/>
              <w:ind w:left="0"/>
            </w:pPr>
            <w:r>
              <w:rPr>
                <w:rFonts w:ascii="Consolas" w:hAnsi="Consolas"/>
                <w:color w:val="1F3535"/>
                <w:sz w:val="18"/>
              </w:rPr>
              <w:t xml:space="preserve">    "accelerate&gt;=0.27",</w:t>
            </w:r>
          </w:p>
          <w:p>
            <w:pPr>
              <w:spacing w:line="240" w:lineRule="auto" w:after="0"/>
              <w:ind w:left="0"/>
            </w:pPr>
            <w:r>
              <w:rPr>
                <w:rFonts w:ascii="Consolas" w:hAnsi="Consolas"/>
                <w:color w:val="1F3535"/>
                <w:sz w:val="18"/>
              </w:rPr>
              <w:t xml:space="preserve">    "peft&gt;=0.10",</w:t>
            </w:r>
          </w:p>
          <w:p>
            <w:pPr>
              <w:spacing w:line="240" w:lineRule="auto" w:after="0"/>
              <w:ind w:left="0"/>
            </w:pPr>
            <w:r>
              <w:rPr>
                <w:rFonts w:ascii="Consolas" w:hAnsi="Consolas"/>
                <w:color w:val="1F3535"/>
                <w:sz w:val="18"/>
              </w:rPr>
              <w:t xml:space="preserve">    "trl&gt;=0.8",</w:t>
            </w:r>
          </w:p>
          <w:p>
            <w:pPr>
              <w:spacing w:line="240" w:lineRule="auto" w:after="0"/>
              <w:ind w:left="0"/>
            </w:pPr>
            <w:r>
              <w:rPr>
                <w:rFonts w:ascii="Consolas" w:hAnsi="Consolas"/>
                <w:color w:val="1F3535"/>
                <w:sz w:val="18"/>
              </w:rPr>
              <w:t xml:space="preserve">    "bitsandbytes&gt;=0.43",</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eval = ["scikit-learn&gt;=1.4", "rouge-score&gt;=0.1", "nltk&gt;=3.8"]</w:t>
            </w:r>
          </w:p>
          <w:p>
            <w:pPr>
              <w:spacing w:line="240" w:lineRule="auto" w:after="0"/>
              <w:ind w:left="0"/>
            </w:pPr>
            <w:r>
              <w:rPr>
                <w:rFonts w:ascii="Consolas" w:hAnsi="Consolas"/>
                <w:color w:val="1F3535"/>
                <w:sz w:val="18"/>
              </w:rPr>
              <w:t>test = ["pytest&gt;=8.0", "pytest-cov&gt;=4.1"]</w:t>
            </w:r>
          </w:p>
          <w:p>
            <w:pPr>
              <w:spacing w:line="240" w:lineRule="auto" w:after="0"/>
              <w:ind w:left="0"/>
            </w:pPr>
            <w:r>
              <w:rPr>
                <w:rFonts w:ascii="Consolas" w:hAnsi="Consolas"/>
                <w:color w:val="1F3535"/>
                <w:sz w:val="18"/>
              </w:rPr>
              <w:t>all = [</w:t>
            </w:r>
          </w:p>
          <w:p>
            <w:pPr>
              <w:spacing w:line="240" w:lineRule="auto" w:after="0"/>
              <w:ind w:left="0"/>
            </w:pPr>
            <w:r>
              <w:rPr>
                <w:rFonts w:ascii="Consolas" w:hAnsi="Consolas"/>
                <w:color w:val="1F3535"/>
                <w:sz w:val="18"/>
              </w:rPr>
              <w:t xml:space="preserve">    "torch&gt;=2.1", "transformers&gt;=4.40", "datasets&gt;=2.18",</w:t>
            </w:r>
          </w:p>
          <w:p>
            <w:pPr>
              <w:spacing w:line="240" w:lineRule="auto" w:after="0"/>
              <w:ind w:left="0"/>
            </w:pPr>
            <w:r>
              <w:rPr>
                <w:rFonts w:ascii="Consolas" w:hAnsi="Consolas"/>
                <w:color w:val="1F3535"/>
                <w:sz w:val="18"/>
              </w:rPr>
              <w:t xml:space="preserve">    "accelerate&gt;=0.27", "peft&gt;=0.10", "trl&gt;=0.8", "bitsandbytes&gt;=0.43",</w:t>
            </w:r>
          </w:p>
          <w:p>
            <w:pPr>
              <w:spacing w:line="240" w:lineRule="auto" w:after="0"/>
              <w:ind w:left="0"/>
            </w:pPr>
            <w:r>
              <w:rPr>
                <w:rFonts w:ascii="Consolas" w:hAnsi="Consolas"/>
                <w:color w:val="1F3535"/>
                <w:sz w:val="18"/>
              </w:rPr>
              <w:t xml:space="preserve">    "scikit-learn&gt;=1.4", "rouge-score&gt;=0.1", "nltk&gt;=3.8",</w:t>
            </w:r>
          </w:p>
          <w:p>
            <w:pPr>
              <w:spacing w:line="240" w:lineRule="auto" w:after="0"/>
              <w:ind w:left="0"/>
            </w:pPr>
            <w:r>
              <w:rPr>
                <w:rFonts w:ascii="Consolas" w:hAnsi="Consolas"/>
                <w:color w:val="1F3535"/>
                <w:sz w:val="18"/>
              </w:rPr>
              <w:t xml:space="preserve">    "pytest&gt;=8.0", "pytest-cov&gt;=4.1",</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[project.scripts]</w:t>
            </w:r>
          </w:p>
          <w:p>
            <w:pPr>
              <w:spacing w:line="240" w:lineRule="auto" w:after="0"/>
              <w:ind w:left="0"/>
            </w:pPr>
            <w:r>
              <w:rPr>
                <w:rFonts w:ascii="Consolas" w:hAnsi="Consolas"/>
                <w:color w:val="1F3535"/>
                <w:sz w:val="18"/>
              </w:rPr>
              <w:t>asc606-generate = "scripts.generate_dataset:main"</w:t>
            </w:r>
          </w:p>
          <w:p>
            <w:pPr>
              <w:spacing w:line="240" w:lineRule="auto" w:after="0"/>
              <w:ind w:left="0"/>
            </w:pPr>
            <w:r>
              <w:rPr>
                <w:rFonts w:ascii="Consolas" w:hAnsi="Consolas"/>
                <w:color w:val="1F3535"/>
                <w:sz w:val="18"/>
              </w:rPr>
              <w:t>asc606-validate = "scripts.validate_jsonl:main"</w:t>
            </w:r>
          </w:p>
          <w:p>
            <w:pPr>
              <w:spacing w:line="240" w:lineRule="auto" w:after="0"/>
              <w:ind w:left="0"/>
            </w:pPr>
            <w:r>
              <w:rPr>
                <w:rFonts w:ascii="Consolas" w:hAnsi="Consolas"/>
                <w:color w:val="1F3535"/>
                <w:sz w:val="18"/>
              </w:rPr>
              <w:t>asc606-split = "scripts.split_dataset:main"</w:t>
            </w:r>
          </w:p>
          <w:p>
            <w:pPr>
              <w:spacing w:line="240" w:lineRule="auto" w:after="0"/>
              <w:ind w:left="0"/>
            </w:pPr>
            <w:r>
              <w:rPr>
                <w:rFonts w:ascii="Consolas" w:hAnsi="Consolas"/>
                <w:color w:val="1F3535"/>
                <w:sz w:val="18"/>
              </w:rPr>
              <w:t>asc606-train = "scripts.train:main"</w:t>
            </w:r>
          </w:p>
          <w:p>
            <w:pPr>
              <w:spacing w:line="240" w:lineRule="auto" w:after="0"/>
              <w:ind w:left="0"/>
            </w:pPr>
            <w:r>
              <w:rPr>
                <w:rFonts w:ascii="Consolas" w:hAnsi="Consolas"/>
                <w:color w:val="1F3535"/>
                <w:sz w:val="18"/>
              </w:rPr>
              <w:t>asc606-eval = "scripts.evaluate:main"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[tool.setuptools.packages.find]</w:t>
            </w:r>
          </w:p>
          <w:p>
            <w:pPr>
              <w:spacing w:line="240" w:lineRule="auto" w:after="0"/>
              <w:ind w:left="0"/>
            </w:pPr>
            <w:r>
              <w:rPr>
                <w:rFonts w:ascii="Consolas" w:hAnsi="Consolas"/>
                <w:color w:val="1F3535"/>
                <w:sz w:val="18"/>
              </w:rPr>
              <w:t>where = ["src"]</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[tool.pytest.ini_options]</w:t>
            </w:r>
          </w:p>
          <w:p>
            <w:pPr>
              <w:spacing w:line="240" w:lineRule="auto" w:after="0"/>
              <w:ind w:left="0"/>
            </w:pPr>
            <w:r>
              <w:rPr>
                <w:rFonts w:ascii="Consolas" w:hAnsi="Consolas"/>
                <w:color w:val="1F3535"/>
                <w:sz w:val="18"/>
              </w:rPr>
              <w:t>testpaths = ["tests"]</w:t>
            </w:r>
          </w:p>
          <w:p>
            <w:pPr>
              <w:spacing w:line="240" w:lineRule="auto" w:after="0"/>
              <w:ind w:left="0"/>
            </w:pPr>
            <w:r>
              <w:rPr>
                <w:rFonts w:ascii="Consolas" w:hAnsi="Consolas"/>
                <w:color w:val="1F3535"/>
                <w:sz w:val="18"/>
              </w:rPr>
              <w:t>python_files = ["test_*.py"]</w:t>
            </w:r>
          </w:p>
          <w:p>
            <w:pPr>
              <w:spacing w:line="240" w:lineRule="auto" w:after="0"/>
              <w:ind w:left="0"/>
            </w:pPr>
            <w:r>
              <w:rPr>
                <w:rFonts w:ascii="Consolas" w:hAnsi="Consolas"/>
                <w:color w:val="1F3535"/>
                <w:sz w:val="18"/>
              </w:rPr>
              <w:t>python_classes = ["Test*"]</w:t>
            </w:r>
          </w:p>
          <w:p>
            <w:pPr>
              <w:spacing w:line="240" w:lineRule="auto" w:after="0"/>
              <w:ind w:left="0"/>
            </w:pPr>
            <w:r>
              <w:rPr>
                <w:rFonts w:ascii="Consolas" w:hAnsi="Consolas"/>
                <w:color w:val="1F3535"/>
                <w:sz w:val="18"/>
              </w:rPr>
              <w:t>python_functions = ["test_*"]</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[tool.black]</w:t>
            </w:r>
          </w:p>
          <w:p>
            <w:pPr>
              <w:spacing w:line="240" w:lineRule="auto" w:after="0"/>
              <w:ind w:left="0"/>
            </w:pPr>
            <w:r>
              <w:rPr>
                <w:rFonts w:ascii="Consolas" w:hAnsi="Consolas"/>
                <w:color w:val="1F3535"/>
                <w:sz w:val="18"/>
              </w:rPr>
              <w:t>line-length = 100</w:t>
            </w:r>
          </w:p>
          <w:p>
            <w:pPr>
              <w:spacing w:line="240" w:lineRule="auto" w:after="0"/>
              <w:ind w:left="0"/>
            </w:pPr>
            <w:r>
              <w:rPr>
                <w:rFonts w:ascii="Consolas" w:hAnsi="Consolas"/>
                <w:color w:val="1F3535"/>
                <w:sz w:val="18"/>
              </w:rPr>
              <w:t>target-version = ["py310", "py311", "py312"]</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[tool.isort]</w:t>
            </w:r>
          </w:p>
          <w:p>
            <w:pPr>
              <w:spacing w:line="240" w:lineRule="auto" w:after="0"/>
              <w:ind w:left="0"/>
            </w:pPr>
            <w:r>
              <w:rPr>
                <w:rFonts w:ascii="Consolas" w:hAnsi="Consolas"/>
                <w:color w:val="1F3535"/>
                <w:sz w:val="18"/>
              </w:rPr>
              <w:t>profile = "black"</w:t>
            </w:r>
          </w:p>
          <w:p>
            <w:pPr>
              <w:spacing w:line="240" w:lineRule="auto" w:after="0"/>
              <w:ind w:left="0"/>
            </w:pPr>
            <w:r>
              <w:rPr>
                <w:rFonts w:ascii="Consolas" w:hAnsi="Consolas"/>
                <w:color w:val="1F3535"/>
                <w:sz w:val="18"/>
              </w:rPr>
              <w:t>line_length = 100</w:t>
            </w:r>
          </w:p>
          <w:p>
            <w:pPr>
              <w:spacing w:line="240" w:lineRule="auto" w:after="0"/>
              <w:ind w:left="0"/>
            </w:pPr>
            <w:r>
              <w:rPr>
                <w:rFonts w:ascii="Consolas" w:hAnsi="Consolas"/>
                <w:color w:val="1F3535"/>
                <w:sz w:val="18"/>
              </w:rPr>
            </w:r>
          </w:p>
        </w:tc>
      </w:tr>
    </w:tbl>
    <w:p>
      <w:pPr>
        <w:spacing w:after="80"/>
      </w:pPr>
    </w:p>
    <w:p>
      <w:pPr>
        <w:pStyle w:val="Heading2"/>
      </w:pPr>
      <w:r>
        <w:rPr>
          <w:color w:val="1F3864"/>
        </w:rPr>
        <w:t>7.5 setup.py</w:t>
      </w:r>
    </w:p>
    <w:p>
      <w:pPr>
        <w:spacing w:line="312" w:lineRule="auto" w:after="120"/>
      </w:pPr>
      <w:r>
        <w:rPr>
          <w:rFonts w:ascii="Calibri" w:hAnsi="Calibri"/>
          <w:b w:val="0"/>
          <w:i/>
          <w:color w:val="606060"/>
          <w:sz w:val="20"/>
        </w:rPr>
        <w:t>Setuptools install</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from setuptools import setup, find_packages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setup(</w:t>
            </w:r>
          </w:p>
          <w:p>
            <w:pPr>
              <w:spacing w:line="240" w:lineRule="auto" w:after="0"/>
              <w:ind w:left="0"/>
            </w:pPr>
            <w:r>
              <w:rPr>
                <w:rFonts w:ascii="Consolas" w:hAnsi="Consolas"/>
                <w:color w:val="1F3535"/>
                <w:sz w:val="18"/>
              </w:rPr>
              <w:t xml:space="preserve">    name="asc606_trainer",</w:t>
            </w:r>
          </w:p>
          <w:p>
            <w:pPr>
              <w:spacing w:line="240" w:lineRule="auto" w:after="0"/>
              <w:ind w:left="0"/>
            </w:pPr>
            <w:r>
              <w:rPr>
                <w:rFonts w:ascii="Consolas" w:hAnsi="Consolas"/>
                <w:color w:val="1F3535"/>
                <w:sz w:val="18"/>
              </w:rPr>
              <w:t xml:space="preserve">    version="0.1.0",</w:t>
            </w:r>
          </w:p>
          <w:p>
            <w:pPr>
              <w:spacing w:line="240" w:lineRule="auto" w:after="0"/>
              <w:ind w:left="0"/>
            </w:pPr>
            <w:r>
              <w:rPr>
                <w:rFonts w:ascii="Consolas" w:hAnsi="Consolas"/>
                <w:color w:val="1F3535"/>
                <w:sz w:val="18"/>
              </w:rPr>
              <w:t xml:space="preserve">    description="ASC 606 (Revenue from Contracts with Customers) LLM fine-tuning toolkit",</w:t>
            </w:r>
          </w:p>
          <w:p>
            <w:pPr>
              <w:spacing w:line="240" w:lineRule="auto" w:after="0"/>
              <w:ind w:left="0"/>
            </w:pPr>
            <w:r>
              <w:rPr>
                <w:rFonts w:ascii="Consolas" w:hAnsi="Consolas"/>
                <w:color w:val="1F3535"/>
                <w:sz w:val="18"/>
              </w:rPr>
              <w:t xml:space="preserve">    long_description=open("README.md", encoding="utf-8").read(),</w:t>
            </w:r>
          </w:p>
          <w:p>
            <w:pPr>
              <w:spacing w:line="240" w:lineRule="auto" w:after="0"/>
              <w:ind w:left="0"/>
            </w:pPr>
            <w:r>
              <w:rPr>
                <w:rFonts w:ascii="Consolas" w:hAnsi="Consolas"/>
                <w:color w:val="1F3535"/>
                <w:sz w:val="18"/>
              </w:rPr>
              <w:t xml:space="preserve">    long_description_content_type="text/markdown",</w:t>
            </w:r>
          </w:p>
          <w:p>
            <w:pPr>
              <w:spacing w:line="240" w:lineRule="auto" w:after="0"/>
              <w:ind w:left="0"/>
            </w:pPr>
            <w:r>
              <w:rPr>
                <w:rFonts w:ascii="Consolas" w:hAnsi="Consolas"/>
                <w:color w:val="1F3535"/>
                <w:sz w:val="18"/>
              </w:rPr>
              <w:t xml:space="preserve">    license="MIT",</w:t>
            </w:r>
          </w:p>
          <w:p>
            <w:pPr>
              <w:spacing w:line="240" w:lineRule="auto" w:after="0"/>
              <w:ind w:left="0"/>
            </w:pPr>
            <w:r>
              <w:rPr>
                <w:rFonts w:ascii="Consolas" w:hAnsi="Consolas"/>
                <w:color w:val="1F3535"/>
                <w:sz w:val="18"/>
              </w:rPr>
              <w:t xml:space="preserve">    python_requires="&gt;=3.10",</w:t>
            </w:r>
          </w:p>
          <w:p>
            <w:pPr>
              <w:spacing w:line="240" w:lineRule="auto" w:after="0"/>
              <w:ind w:left="0"/>
            </w:pPr>
            <w:r>
              <w:rPr>
                <w:rFonts w:ascii="Consolas" w:hAnsi="Consolas"/>
                <w:color w:val="1F3535"/>
                <w:sz w:val="18"/>
              </w:rPr>
              <w:t xml:space="preserve">    packages=find_packages(where="src"),</w:t>
            </w:r>
          </w:p>
          <w:p>
            <w:pPr>
              <w:spacing w:line="240" w:lineRule="auto" w:after="0"/>
              <w:ind w:left="0"/>
            </w:pPr>
            <w:r>
              <w:rPr>
                <w:rFonts w:ascii="Consolas" w:hAnsi="Consolas"/>
                <w:color w:val="1F3535"/>
                <w:sz w:val="18"/>
              </w:rPr>
              <w:t xml:space="preserve">    package_dir={"": "src"},</w:t>
            </w:r>
          </w:p>
          <w:p>
            <w:pPr>
              <w:spacing w:line="240" w:lineRule="auto" w:after="0"/>
              <w:ind w:left="0"/>
            </w:pPr>
            <w:r>
              <w:rPr>
                <w:rFonts w:ascii="Consolas" w:hAnsi="Consolas"/>
                <w:color w:val="1F3535"/>
                <w:sz w:val="18"/>
              </w:rPr>
              <w:t xml:space="preserve">    install_requires=[</w:t>
            </w:r>
          </w:p>
          <w:p>
            <w:pPr>
              <w:spacing w:line="240" w:lineRule="auto" w:after="0"/>
              <w:ind w:left="0"/>
            </w:pPr>
            <w:r>
              <w:rPr>
                <w:rFonts w:ascii="Consolas" w:hAnsi="Consolas"/>
                <w:color w:val="1F3535"/>
                <w:sz w:val="18"/>
              </w:rPr>
              <w:t xml:space="preserve">        "pydantic&gt;=2.5",</w:t>
            </w:r>
          </w:p>
          <w:p>
            <w:pPr>
              <w:spacing w:line="240" w:lineRule="auto" w:after="0"/>
              <w:ind w:left="0"/>
            </w:pPr>
            <w:r>
              <w:rPr>
                <w:rFonts w:ascii="Consolas" w:hAnsi="Consolas"/>
                <w:color w:val="1F3535"/>
                <w:sz w:val="18"/>
              </w:rPr>
              <w:t xml:space="preserve">        "pyyaml&gt;=6.0",</w:t>
            </w:r>
          </w:p>
          <w:p>
            <w:pPr>
              <w:spacing w:line="240" w:lineRule="auto" w:after="0"/>
              <w:ind w:left="0"/>
            </w:pPr>
            <w:r>
              <w:rPr>
                <w:rFonts w:ascii="Consolas" w:hAnsi="Consolas"/>
                <w:color w:val="1F3535"/>
                <w:sz w:val="18"/>
              </w:rPr>
              <w:t xml:space="preserve">        "jsonlines&gt;=4.0",</w:t>
            </w:r>
          </w:p>
          <w:p>
            <w:pPr>
              <w:spacing w:line="240" w:lineRule="auto" w:after="0"/>
              <w:ind w:left="0"/>
            </w:pPr>
            <w:r>
              <w:rPr>
                <w:rFonts w:ascii="Consolas" w:hAnsi="Consolas"/>
                <w:color w:val="1F3535"/>
                <w:sz w:val="18"/>
              </w:rPr>
              <w:t xml:space="preserve">        "tqdm&gt;=4.66",</w:t>
            </w:r>
          </w:p>
          <w:p>
            <w:pPr>
              <w:spacing w:line="240" w:lineRule="auto" w:after="0"/>
              <w:ind w:left="0"/>
            </w:pPr>
            <w:r>
              <w:rPr>
                <w:rFonts w:ascii="Consolas" w:hAnsi="Consolas"/>
                <w:color w:val="1F3535"/>
                <w:sz w:val="18"/>
              </w:rPr>
              <w:t xml:space="preserve">        "click&gt;=8.1",</w:t>
            </w:r>
          </w:p>
          <w:p>
            <w:pPr>
              <w:spacing w:line="240" w:lineRule="auto" w:after="0"/>
              <w:ind w:left="0"/>
            </w:pPr>
            <w:r>
              <w:rPr>
                <w:rFonts w:ascii="Consolas" w:hAnsi="Consolas"/>
                <w:color w:val="1F3535"/>
                <w:sz w:val="18"/>
              </w:rPr>
              <w:t xml:space="preserve">        "rich&gt;=13.7",</w:t>
            </w:r>
          </w:p>
          <w:p>
            <w:pPr>
              <w:spacing w:line="240" w:lineRule="auto" w:after="0"/>
              <w:ind w:left="0"/>
            </w:pPr>
            <w:r>
              <w:rPr>
                <w:rFonts w:ascii="Consolas" w:hAnsi="Consolas"/>
                <w:color w:val="1F3535"/>
                <w:sz w:val="18"/>
              </w:rPr>
              <w:t xml:space="preserve">        "faker&gt;=22.0",</w:t>
            </w:r>
          </w:p>
          <w:p>
            <w:pPr>
              <w:spacing w:line="240" w:lineRule="auto" w:after="0"/>
              <w:ind w:left="0"/>
            </w:pPr>
            <w:r>
              <w:rPr>
                <w:rFonts w:ascii="Consolas" w:hAnsi="Consolas"/>
                <w:color w:val="1F3535"/>
                <w:sz w:val="18"/>
              </w:rPr>
              <w:t xml:space="preserve">        "numpy&gt;=1.26",</w:t>
            </w:r>
          </w:p>
          <w:p>
            <w:pPr>
              <w:spacing w:line="240" w:lineRule="auto" w:after="0"/>
              <w:ind w:left="0"/>
            </w:pPr>
            <w:r>
              <w:rPr>
                <w:rFonts w:ascii="Consolas" w:hAnsi="Consolas"/>
                <w:color w:val="1F3535"/>
                <w:sz w:val="18"/>
              </w:rPr>
              <w:t xml:space="preserve">        "pandas&gt;=2.1",</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extras_require={</w:t>
            </w:r>
          </w:p>
          <w:p>
            <w:pPr>
              <w:spacing w:line="240" w:lineRule="auto" w:after="0"/>
              <w:ind w:left="0"/>
            </w:pPr>
            <w:r>
              <w:rPr>
                <w:rFonts w:ascii="Consolas" w:hAnsi="Consolas"/>
                <w:color w:val="1F3535"/>
                <w:sz w:val="18"/>
              </w:rPr>
              <w:t xml:space="preserve">        "train": [</w:t>
            </w:r>
          </w:p>
          <w:p>
            <w:pPr>
              <w:spacing w:line="240" w:lineRule="auto" w:after="0"/>
              <w:ind w:left="0"/>
            </w:pPr>
            <w:r>
              <w:rPr>
                <w:rFonts w:ascii="Consolas" w:hAnsi="Consolas"/>
                <w:color w:val="1F3535"/>
                <w:sz w:val="18"/>
              </w:rPr>
              <w:t xml:space="preserve">            "torch&gt;=2.1",</w:t>
            </w:r>
          </w:p>
          <w:p>
            <w:pPr>
              <w:spacing w:line="240" w:lineRule="auto" w:after="0"/>
              <w:ind w:left="0"/>
            </w:pPr>
            <w:r>
              <w:rPr>
                <w:rFonts w:ascii="Consolas" w:hAnsi="Consolas"/>
                <w:color w:val="1F3535"/>
                <w:sz w:val="18"/>
              </w:rPr>
              <w:t xml:space="preserve">            "transformers&gt;=4.40",</w:t>
            </w:r>
          </w:p>
          <w:p>
            <w:pPr>
              <w:spacing w:line="240" w:lineRule="auto" w:after="0"/>
              <w:ind w:left="0"/>
            </w:pPr>
            <w:r>
              <w:rPr>
                <w:rFonts w:ascii="Consolas" w:hAnsi="Consolas"/>
                <w:color w:val="1F3535"/>
                <w:sz w:val="18"/>
              </w:rPr>
              <w:t xml:space="preserve">            "datasets&gt;=2.18",</w:t>
            </w:r>
          </w:p>
          <w:p>
            <w:pPr>
              <w:spacing w:line="240" w:lineRule="auto" w:after="0"/>
              <w:ind w:left="0"/>
            </w:pPr>
            <w:r>
              <w:rPr>
                <w:rFonts w:ascii="Consolas" w:hAnsi="Consolas"/>
                <w:color w:val="1F3535"/>
                <w:sz w:val="18"/>
              </w:rPr>
              <w:t xml:space="preserve">            "accelerate&gt;=0.27",</w:t>
            </w:r>
          </w:p>
          <w:p>
            <w:pPr>
              <w:spacing w:line="240" w:lineRule="auto" w:after="0"/>
              <w:ind w:left="0"/>
            </w:pPr>
            <w:r>
              <w:rPr>
                <w:rFonts w:ascii="Consolas" w:hAnsi="Consolas"/>
                <w:color w:val="1F3535"/>
                <w:sz w:val="18"/>
              </w:rPr>
              <w:t xml:space="preserve">            "peft&gt;=0.10",</w:t>
            </w:r>
          </w:p>
          <w:p>
            <w:pPr>
              <w:spacing w:line="240" w:lineRule="auto" w:after="0"/>
              <w:ind w:left="0"/>
            </w:pPr>
            <w:r>
              <w:rPr>
                <w:rFonts w:ascii="Consolas" w:hAnsi="Consolas"/>
                <w:color w:val="1F3535"/>
                <w:sz w:val="18"/>
              </w:rPr>
              <w:t xml:space="preserve">            "trl&gt;=0.8",</w:t>
            </w:r>
          </w:p>
          <w:p>
            <w:pPr>
              <w:spacing w:line="240" w:lineRule="auto" w:after="0"/>
              <w:ind w:left="0"/>
            </w:pPr>
            <w:r>
              <w:rPr>
                <w:rFonts w:ascii="Consolas" w:hAnsi="Consolas"/>
                <w:color w:val="1F3535"/>
                <w:sz w:val="18"/>
              </w:rPr>
              <w:t xml:space="preserve">            "bitsandbytes&gt;=0.43",</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"eval": ["scikit-learn&gt;=1.4", "rouge-score&gt;=0.1", "nltk&gt;=3.8"],</w:t>
            </w:r>
          </w:p>
          <w:p>
            <w:pPr>
              <w:spacing w:line="240" w:lineRule="auto" w:after="0"/>
              <w:ind w:left="0"/>
            </w:pPr>
            <w:r>
              <w:rPr>
                <w:rFonts w:ascii="Consolas" w:hAnsi="Consolas"/>
                <w:color w:val="1F3535"/>
                <w:sz w:val="18"/>
              </w:rPr>
              <w:t xml:space="preserve">        "test": ["pytest&gt;=8.0", "pytest-cov&gt;=4.1"],</w:t>
            </w:r>
          </w:p>
          <w:p>
            <w:pPr>
              <w:spacing w:line="240" w:lineRule="auto" w:after="0"/>
              <w:ind w:left="0"/>
            </w:pPr>
            <w:r>
              <w:rPr>
                <w:rFonts w:ascii="Consolas" w:hAnsi="Consolas"/>
                <w:color w:val="1F3535"/>
                <w:sz w:val="18"/>
              </w:rPr>
              <w:t xml:space="preserve">        "all": [</w:t>
            </w:r>
          </w:p>
          <w:p>
            <w:pPr>
              <w:spacing w:line="240" w:lineRule="auto" w:after="0"/>
              <w:ind w:left="0"/>
            </w:pPr>
            <w:r>
              <w:rPr>
                <w:rFonts w:ascii="Consolas" w:hAnsi="Consolas"/>
                <w:color w:val="1F3535"/>
                <w:sz w:val="18"/>
              </w:rPr>
              <w:t xml:space="preserve">            "torch&gt;=2.1",</w:t>
            </w:r>
          </w:p>
          <w:p>
            <w:pPr>
              <w:spacing w:line="240" w:lineRule="auto" w:after="0"/>
              <w:ind w:left="0"/>
            </w:pPr>
            <w:r>
              <w:rPr>
                <w:rFonts w:ascii="Consolas" w:hAnsi="Consolas"/>
                <w:color w:val="1F3535"/>
                <w:sz w:val="18"/>
              </w:rPr>
              <w:t xml:space="preserve">            "transformers&gt;=4.40",</w:t>
            </w:r>
          </w:p>
          <w:p>
            <w:pPr>
              <w:spacing w:line="240" w:lineRule="auto" w:after="0"/>
              <w:ind w:left="0"/>
            </w:pPr>
            <w:r>
              <w:rPr>
                <w:rFonts w:ascii="Consolas" w:hAnsi="Consolas"/>
                <w:color w:val="1F3535"/>
                <w:sz w:val="18"/>
              </w:rPr>
              <w:t xml:space="preserve">            "datasets&gt;=2.18",</w:t>
            </w:r>
          </w:p>
          <w:p>
            <w:pPr>
              <w:spacing w:line="240" w:lineRule="auto" w:after="0"/>
              <w:ind w:left="0"/>
            </w:pPr>
            <w:r>
              <w:rPr>
                <w:rFonts w:ascii="Consolas" w:hAnsi="Consolas"/>
                <w:color w:val="1F3535"/>
                <w:sz w:val="18"/>
              </w:rPr>
              <w:t xml:space="preserve">            "accelerate&gt;=0.27",</w:t>
            </w:r>
          </w:p>
          <w:p>
            <w:pPr>
              <w:spacing w:line="240" w:lineRule="auto" w:after="0"/>
              <w:ind w:left="0"/>
            </w:pPr>
            <w:r>
              <w:rPr>
                <w:rFonts w:ascii="Consolas" w:hAnsi="Consolas"/>
                <w:color w:val="1F3535"/>
                <w:sz w:val="18"/>
              </w:rPr>
              <w:t xml:space="preserve">            "peft&gt;=0.10",</w:t>
            </w:r>
          </w:p>
          <w:p>
            <w:pPr>
              <w:spacing w:line="240" w:lineRule="auto" w:after="0"/>
              <w:ind w:left="0"/>
            </w:pPr>
            <w:r>
              <w:rPr>
                <w:rFonts w:ascii="Consolas" w:hAnsi="Consolas"/>
                <w:color w:val="1F3535"/>
                <w:sz w:val="18"/>
              </w:rPr>
              <w:t xml:space="preserve">            "trl&gt;=0.8",</w:t>
            </w:r>
          </w:p>
          <w:p>
            <w:pPr>
              <w:spacing w:line="240" w:lineRule="auto" w:after="0"/>
              <w:ind w:left="0"/>
            </w:pPr>
            <w:r>
              <w:rPr>
                <w:rFonts w:ascii="Consolas" w:hAnsi="Consolas"/>
                <w:color w:val="1F3535"/>
                <w:sz w:val="18"/>
              </w:rPr>
              <w:t xml:space="preserve">            "bitsandbytes&gt;=0.43",</w:t>
            </w:r>
          </w:p>
          <w:p>
            <w:pPr>
              <w:spacing w:line="240" w:lineRule="auto" w:after="0"/>
              <w:ind w:left="0"/>
            </w:pPr>
            <w:r>
              <w:rPr>
                <w:rFonts w:ascii="Consolas" w:hAnsi="Consolas"/>
                <w:color w:val="1F3535"/>
                <w:sz w:val="18"/>
              </w:rPr>
              <w:t xml:space="preserve">            "scikit-learn&gt;=1.4",</w:t>
            </w:r>
          </w:p>
          <w:p>
            <w:pPr>
              <w:spacing w:line="240" w:lineRule="auto" w:after="0"/>
              <w:ind w:left="0"/>
            </w:pPr>
            <w:r>
              <w:rPr>
                <w:rFonts w:ascii="Consolas" w:hAnsi="Consolas"/>
                <w:color w:val="1F3535"/>
                <w:sz w:val="18"/>
              </w:rPr>
              <w:t xml:space="preserve">            "rouge-score&gt;=0.1",</w:t>
            </w:r>
          </w:p>
          <w:p>
            <w:pPr>
              <w:spacing w:line="240" w:lineRule="auto" w:after="0"/>
              <w:ind w:left="0"/>
            </w:pPr>
            <w:r>
              <w:rPr>
                <w:rFonts w:ascii="Consolas" w:hAnsi="Consolas"/>
                <w:color w:val="1F3535"/>
                <w:sz w:val="18"/>
              </w:rPr>
              <w:t xml:space="preserve">            "nltk&gt;=3.8",</w:t>
            </w:r>
          </w:p>
          <w:p>
            <w:pPr>
              <w:spacing w:line="240" w:lineRule="auto" w:after="0"/>
              <w:ind w:left="0"/>
            </w:pPr>
            <w:r>
              <w:rPr>
                <w:rFonts w:ascii="Consolas" w:hAnsi="Consolas"/>
                <w:color w:val="1F3535"/>
                <w:sz w:val="18"/>
              </w:rPr>
              <w:t xml:space="preserve">            "pytest&gt;=8.0",</w:t>
            </w:r>
          </w:p>
          <w:p>
            <w:pPr>
              <w:spacing w:line="240" w:lineRule="auto" w:after="0"/>
              <w:ind w:left="0"/>
            </w:pPr>
            <w:r>
              <w:rPr>
                <w:rFonts w:ascii="Consolas" w:hAnsi="Consolas"/>
                <w:color w:val="1F3535"/>
                <w:sz w:val="18"/>
              </w:rPr>
              <w:t xml:space="preserve">            "pytest-cov&gt;=4.1",</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entry_points={</w:t>
            </w:r>
          </w:p>
          <w:p>
            <w:pPr>
              <w:spacing w:line="240" w:lineRule="auto" w:after="0"/>
              <w:ind w:left="0"/>
            </w:pPr>
            <w:r>
              <w:rPr>
                <w:rFonts w:ascii="Consolas" w:hAnsi="Consolas"/>
                <w:color w:val="1F3535"/>
                <w:sz w:val="18"/>
              </w:rPr>
              <w:t xml:space="preserve">        "console_scripts": [</w:t>
            </w:r>
          </w:p>
          <w:p>
            <w:pPr>
              <w:spacing w:line="240" w:lineRule="auto" w:after="0"/>
              <w:ind w:left="0"/>
            </w:pPr>
            <w:r>
              <w:rPr>
                <w:rFonts w:ascii="Consolas" w:hAnsi="Consolas"/>
                <w:color w:val="1F3535"/>
                <w:sz w:val="18"/>
              </w:rPr>
              <w:t xml:space="preserve">            "asc606-generate=scripts.generate_dataset:main",</w:t>
            </w:r>
          </w:p>
          <w:p>
            <w:pPr>
              <w:spacing w:line="240" w:lineRule="auto" w:after="0"/>
              <w:ind w:left="0"/>
            </w:pPr>
            <w:r>
              <w:rPr>
                <w:rFonts w:ascii="Consolas" w:hAnsi="Consolas"/>
                <w:color w:val="1F3535"/>
                <w:sz w:val="18"/>
              </w:rPr>
              <w:t xml:space="preserve">            "asc606-validate=scripts.validate_jsonl:main",</w:t>
            </w:r>
          </w:p>
          <w:p>
            <w:pPr>
              <w:spacing w:line="240" w:lineRule="auto" w:after="0"/>
              <w:ind w:left="0"/>
            </w:pPr>
            <w:r>
              <w:rPr>
                <w:rFonts w:ascii="Consolas" w:hAnsi="Consolas"/>
                <w:color w:val="1F3535"/>
                <w:sz w:val="18"/>
              </w:rPr>
              <w:t xml:space="preserve">            "asc606-split=scripts.split_dataset:main",</w:t>
            </w:r>
          </w:p>
          <w:p>
            <w:pPr>
              <w:spacing w:line="240" w:lineRule="auto" w:after="0"/>
              <w:ind w:left="0"/>
            </w:pPr>
            <w:r>
              <w:rPr>
                <w:rFonts w:ascii="Consolas" w:hAnsi="Consolas"/>
                <w:color w:val="1F3535"/>
                <w:sz w:val="18"/>
              </w:rPr>
              <w:t xml:space="preserve">            "asc606-train=scripts.train:main",</w:t>
            </w:r>
          </w:p>
          <w:p>
            <w:pPr>
              <w:spacing w:line="240" w:lineRule="auto" w:after="0"/>
              <w:ind w:left="0"/>
            </w:pPr>
            <w:r>
              <w:rPr>
                <w:rFonts w:ascii="Consolas" w:hAnsi="Consolas"/>
                <w:color w:val="1F3535"/>
                <w:sz w:val="18"/>
              </w:rPr>
              <w:t xml:space="preserve">            "asc606-eval=scripts.evaluate:main",</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tc>
      </w:tr>
    </w:tbl>
    <w:p>
      <w:pPr>
        <w:spacing w:after="80"/>
      </w:pPr>
    </w:p>
    <w:p>
      <w:pPr>
        <w:pStyle w:val="Heading1"/>
      </w:pPr>
      <w:r>
        <w:rPr>
          <w:color w:val="1F3864"/>
        </w:rPr>
        <w:t>8. Documentation</w:t>
      </w:r>
    </w:p>
    <w:p>
      <w:pPr>
        <w:spacing w:line="312" w:lineRule="auto" w:after="120"/>
      </w:pPr>
      <w:r>
        <w:rPr>
          <w:rFonts w:ascii="Calibri" w:hAnsi="Calibri"/>
          <w:b w:val="0"/>
          <w:i w:val="0"/>
          <w:sz w:val="22"/>
        </w:rPr>
        <w:t>This section reproduces the project's Markdown documentation in Word format. The same content lives in the docs/ directory of the project repository.</w:t>
      </w:r>
    </w:p>
    <w:p>
      <w:pPr>
        <w:pStyle w:val="Heading2"/>
      </w:pPr>
      <w:r>
        <w:rPr>
          <w:color w:val="1F3864"/>
        </w:rPr>
        <w:t>8.1 README.md</w:t>
      </w:r>
    </w:p>
    <w:p>
      <w:pPr>
        <w:spacing w:line="312" w:lineRule="auto" w:after="120"/>
      </w:pPr>
      <w:r>
        <w:rPr>
          <w:rFonts w:ascii="Calibri" w:hAnsi="Calibri"/>
          <w:b w:val="0"/>
          <w:i/>
          <w:color w:val="606060"/>
          <w:sz w:val="20"/>
        </w:rPr>
        <w:t>Project overview and quick start</w:t>
      </w:r>
    </w:p>
    <w:p>
      <w:pPr>
        <w:spacing w:before="120" w:after="40"/>
      </w:pPr>
      <w:r>
        <w:rPr>
          <w:i/>
          <w:color w:val="606060"/>
          <w:sz w:val="18"/>
        </w:rPr>
        <w:t xml:space="preserve">  markdown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ASC 606 LLM Training Project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A complete, production-ready repository for fine-tuning a Large Language Model (LLM) on **FASB ASC Topic 606 — Revenue from Contracts with Customers**. The curriculum spans **Beginner → PhD / Expert-level** reasoning, covering the full five-step revenue recognition model, numerical cases, advanced technical issues, expert memoranda, adversarial review, and research-grade analysis.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&gt; ⚠️ **Compliance note**: This repository provides training *templates*, *generators*, *validators*, and *sample* records only. Before using any record for production training, you must verify authoritative paragraph citations against your licensed FASB Accounting Standards Codification subscription and have a qualified US-GAAP reviewer approve the technical conclusions.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Project Goals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This project trains an LLM to:</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**Knowledge** — Define revenue, control, performance obligations, transaction price, contract assets/liabilities.</w:t>
            </w:r>
          </w:p>
          <w:p>
            <w:pPr>
              <w:spacing w:line="240" w:lineRule="auto" w:after="0"/>
              <w:ind w:left="0"/>
            </w:pPr>
            <w:r>
              <w:rPr>
                <w:rFonts w:ascii="Consolas" w:hAnsi="Consolas"/>
                <w:color w:val="1F3535"/>
                <w:sz w:val="18"/>
              </w:rPr>
              <w:t>2. **Application** — Apply the ASC 606 five-step model to fact patterns.</w:t>
            </w:r>
          </w:p>
          <w:p>
            <w:pPr>
              <w:spacing w:line="240" w:lineRule="auto" w:after="0"/>
              <w:ind w:left="0"/>
            </w:pPr>
            <w:r>
              <w:rPr>
                <w:rFonts w:ascii="Consolas" w:hAnsi="Consolas"/>
                <w:color w:val="1F3535"/>
                <w:sz w:val="18"/>
              </w:rPr>
              <w:t>3. **Calculation** — Allocate consideration, estimate variable consideration, prepare journal entries, reconcile balances.</w:t>
            </w:r>
          </w:p>
          <w:p>
            <w:pPr>
              <w:spacing w:line="240" w:lineRule="auto" w:after="0"/>
              <w:ind w:left="0"/>
            </w:pPr>
            <w:r>
              <w:rPr>
                <w:rFonts w:ascii="Consolas" w:hAnsi="Consolas"/>
                <w:color w:val="1F3535"/>
                <w:sz w:val="18"/>
              </w:rPr>
              <w:t>4. **Judgment** — Evaluate competing interpretations, identify missing evidence, distinguish authoritative rules from commentary.</w:t>
            </w:r>
          </w:p>
          <w:p>
            <w:pPr>
              <w:spacing w:line="240" w:lineRule="auto" w:after="0"/>
              <w:ind w:left="0"/>
            </w:pPr>
            <w:r>
              <w:rPr>
                <w:rFonts w:ascii="Consolas" w:hAnsi="Consolas"/>
                <w:color w:val="1F3535"/>
                <w:sz w:val="18"/>
              </w:rPr>
              <w:t>5. **Research** — Challenge conclusions, compare standards, avoid fabricated citations.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Repository Structure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asc606-llm-training/</w:t>
            </w:r>
          </w:p>
          <w:p>
            <w:pPr>
              <w:spacing w:line="240" w:lineRule="auto" w:after="0"/>
              <w:ind w:left="0"/>
            </w:pPr>
            <w:r>
              <w:rPr>
                <w:rFonts w:ascii="Consolas" w:hAnsi="Consolas"/>
                <w:color w:val="1F3535"/>
                <w:sz w:val="18"/>
              </w:rPr>
              <w:t>├── README.md                      # This file</w:t>
            </w:r>
          </w:p>
          <w:p>
            <w:pPr>
              <w:spacing w:line="240" w:lineRule="auto" w:after="0"/>
              <w:ind w:left="0"/>
            </w:pPr>
            <w:r>
              <w:rPr>
                <w:rFonts w:ascii="Consolas" w:hAnsi="Consolas"/>
                <w:color w:val="1F3535"/>
                <w:sz w:val="18"/>
              </w:rPr>
              <w:t>├── LICENSE                        # MIT</w:t>
            </w:r>
          </w:p>
          <w:p>
            <w:pPr>
              <w:spacing w:line="240" w:lineRule="auto" w:after="0"/>
              <w:ind w:left="0"/>
            </w:pPr>
            <w:r>
              <w:rPr>
                <w:rFonts w:ascii="Consolas" w:hAnsi="Consolas"/>
                <w:color w:val="1F3535"/>
                <w:sz w:val="18"/>
              </w:rPr>
              <w:t>├── requirements.txt               # Python dependencies</w:t>
            </w:r>
          </w:p>
          <w:p>
            <w:pPr>
              <w:spacing w:line="240" w:lineRule="auto" w:after="0"/>
              <w:ind w:left="0"/>
            </w:pPr>
            <w:r>
              <w:rPr>
                <w:rFonts w:ascii="Consolas" w:hAnsi="Consolas"/>
                <w:color w:val="1F3535"/>
                <w:sz w:val="18"/>
              </w:rPr>
              <w:t>├── setup.py                       # Package install</w:t>
            </w:r>
          </w:p>
          <w:p>
            <w:pPr>
              <w:spacing w:line="240" w:lineRule="auto" w:after="0"/>
              <w:ind w:left="0"/>
            </w:pPr>
            <w:r>
              <w:rPr>
                <w:rFonts w:ascii="Consolas" w:hAnsi="Consolas"/>
                <w:color w:val="1F3535"/>
                <w:sz w:val="18"/>
              </w:rPr>
              <w:t>├── .gitignore</w:t>
            </w:r>
          </w:p>
          <w:p>
            <w:pPr>
              <w:spacing w:line="240" w:lineRule="auto" w:after="0"/>
              <w:ind w:left="0"/>
            </w:pPr>
            <w:r>
              <w:rPr>
                <w:rFonts w:ascii="Consolas" w:hAnsi="Consolas"/>
                <w:color w:val="1F3535"/>
                <w:sz w:val="18"/>
              </w:rPr>
              <w:t>├── config/</w:t>
            </w:r>
          </w:p>
          <w:p>
            <w:pPr>
              <w:spacing w:line="240" w:lineRule="auto" w:after="0"/>
              <w:ind w:left="0"/>
            </w:pPr>
            <w:r>
              <w:rPr>
                <w:rFonts w:ascii="Consolas" w:hAnsi="Consolas"/>
                <w:color w:val="1F3535"/>
                <w:sz w:val="18"/>
              </w:rPr>
              <w:t>│   ├── training_config.yaml       # HF training hyperparameters</w:t>
            </w:r>
          </w:p>
          <w:p>
            <w:pPr>
              <w:spacing w:line="240" w:lineRule="auto" w:after="0"/>
              <w:ind w:left="0"/>
            </w:pPr>
            <w:r>
              <w:rPr>
                <w:rFonts w:ascii="Consolas" w:hAnsi="Consolas"/>
                <w:color w:val="1F3535"/>
                <w:sz w:val="18"/>
              </w:rPr>
              <w:t>│   └── curriculum.yaml            # 12-module / 6-level curriculum spec</w:t>
            </w:r>
          </w:p>
          <w:p>
            <w:pPr>
              <w:spacing w:line="240" w:lineRule="auto" w:after="0"/>
              <w:ind w:left="0"/>
            </w:pPr>
            <w:r>
              <w:rPr>
                <w:rFonts w:ascii="Consolas" w:hAnsi="Consolas"/>
                <w:color w:val="1F3535"/>
                <w:sz w:val="18"/>
              </w:rPr>
              <w:t>├── data/</w:t>
            </w:r>
          </w:p>
          <w:p>
            <w:pPr>
              <w:spacing w:line="240" w:lineRule="auto" w:after="0"/>
              <w:ind w:left="0"/>
            </w:pPr>
            <w:r>
              <w:rPr>
                <w:rFonts w:ascii="Consolas" w:hAnsi="Consolas"/>
                <w:color w:val="1F3535"/>
                <w:sz w:val="18"/>
              </w:rPr>
              <w:t>│   ├── raw/                       # Source/authoritative text snippets (you add)</w:t>
            </w:r>
          </w:p>
          <w:p>
            <w:pPr>
              <w:spacing w:line="240" w:lineRule="auto" w:after="0"/>
              <w:ind w:left="0"/>
            </w:pPr>
            <w:r>
              <w:rPr>
                <w:rFonts w:ascii="Consolas" w:hAnsi="Consolas"/>
                <w:color w:val="1F3535"/>
                <w:sz w:val="18"/>
              </w:rPr>
              <w:t>│   ├── processed/                 # Generated JSONL pre-split</w:t>
            </w:r>
          </w:p>
          <w:p>
            <w:pPr>
              <w:spacing w:line="240" w:lineRule="auto" w:after="0"/>
              <w:ind w:left="0"/>
            </w:pPr>
            <w:r>
              <w:rPr>
                <w:rFonts w:ascii="Consolas" w:hAnsi="Consolas"/>
                <w:color w:val="1F3535"/>
                <w:sz w:val="18"/>
              </w:rPr>
              <w:t>│   ├── train/                     # Training split (target 8,500)</w:t>
            </w:r>
          </w:p>
          <w:p>
            <w:pPr>
              <w:spacing w:line="240" w:lineRule="auto" w:after="0"/>
              <w:ind w:left="0"/>
            </w:pPr>
            <w:r>
              <w:rPr>
                <w:rFonts w:ascii="Consolas" w:hAnsi="Consolas"/>
                <w:color w:val="1F3535"/>
                <w:sz w:val="18"/>
              </w:rPr>
              <w:t>│   ├── validation/                # Validation split (target 750)</w:t>
            </w:r>
          </w:p>
          <w:p>
            <w:pPr>
              <w:spacing w:line="240" w:lineRule="auto" w:after="0"/>
              <w:ind w:left="0"/>
            </w:pPr>
            <w:r>
              <w:rPr>
                <w:rFonts w:ascii="Consolas" w:hAnsi="Consolas"/>
                <w:color w:val="1F3535"/>
                <w:sz w:val="18"/>
              </w:rPr>
              <w:t>│   ├── test/                      # Held-out test split (target 750)</w:t>
            </w:r>
          </w:p>
          <w:p>
            <w:pPr>
              <w:spacing w:line="240" w:lineRule="auto" w:after="0"/>
              <w:ind w:left="0"/>
            </w:pPr>
            <w:r>
              <w:rPr>
                <w:rFonts w:ascii="Consolas" w:hAnsi="Consolas"/>
                <w:color w:val="1F3535"/>
                <w:sz w:val="18"/>
              </w:rPr>
              <w:t>│   └── manifests/                # Metadata per record</w:t>
            </w:r>
          </w:p>
          <w:p>
            <w:pPr>
              <w:spacing w:line="240" w:lineRule="auto" w:after="0"/>
              <w:ind w:left="0"/>
            </w:pPr>
            <w:r>
              <w:rPr>
                <w:rFonts w:ascii="Consolas" w:hAnsi="Consolas"/>
                <w:color w:val="1F3535"/>
                <w:sz w:val="18"/>
              </w:rPr>
              <w:t>├── scripts/</w:t>
            </w:r>
          </w:p>
          <w:p>
            <w:pPr>
              <w:spacing w:line="240" w:lineRule="auto" w:after="0"/>
              <w:ind w:left="0"/>
            </w:pPr>
            <w:r>
              <w:rPr>
                <w:rFonts w:ascii="Consolas" w:hAnsi="Consolas"/>
                <w:color w:val="1F3535"/>
                <w:sz w:val="18"/>
              </w:rPr>
              <w:t>│   ├── generate_dataset.py        # CLI: generate N records</w:t>
            </w:r>
          </w:p>
          <w:p>
            <w:pPr>
              <w:spacing w:line="240" w:lineRule="auto" w:after="0"/>
              <w:ind w:left="0"/>
            </w:pPr>
            <w:r>
              <w:rPr>
                <w:rFonts w:ascii="Consolas" w:hAnsi="Consolas"/>
                <w:color w:val="1F3535"/>
                <w:sz w:val="18"/>
              </w:rPr>
              <w:t>│   ├── validate_jsonl.py          # CLI: validate a JSONL file</w:t>
            </w:r>
          </w:p>
          <w:p>
            <w:pPr>
              <w:spacing w:line="240" w:lineRule="auto" w:after="0"/>
              <w:ind w:left="0"/>
            </w:pPr>
            <w:r>
              <w:rPr>
                <w:rFonts w:ascii="Consolas" w:hAnsi="Consolas"/>
                <w:color w:val="1F3535"/>
                <w:sz w:val="18"/>
              </w:rPr>
              <w:t>│   ├── train.py                   # CLI: SFT fine-tune</w:t>
            </w:r>
          </w:p>
          <w:p>
            <w:pPr>
              <w:spacing w:line="240" w:lineRule="auto" w:after="0"/>
              <w:ind w:left="0"/>
            </w:pPr>
            <w:r>
              <w:rPr>
                <w:rFonts w:ascii="Consolas" w:hAnsi="Consolas"/>
                <w:color w:val="1F3535"/>
                <w:sz w:val="18"/>
              </w:rPr>
              <w:t>│   ├── evaluate.py                # CLI: rubric evaluation</w:t>
            </w:r>
          </w:p>
          <w:p>
            <w:pPr>
              <w:spacing w:line="240" w:lineRule="auto" w:after="0"/>
              <w:ind w:left="0"/>
            </w:pPr>
            <w:r>
              <w:rPr>
                <w:rFonts w:ascii="Consolas" w:hAnsi="Consolas"/>
                <w:color w:val="1F3535"/>
                <w:sz w:val="18"/>
              </w:rPr>
              <w:t>│   └── split_dataset.py           # CLI: train/val/test split</w:t>
            </w:r>
          </w:p>
          <w:p>
            <w:pPr>
              <w:spacing w:line="240" w:lineRule="auto" w:after="0"/>
              <w:ind w:left="0"/>
            </w:pPr>
            <w:r>
              <w:rPr>
                <w:rFonts w:ascii="Consolas" w:hAnsi="Consolas"/>
                <w:color w:val="1F3535"/>
                <w:sz w:val="18"/>
              </w:rPr>
              <w:t>├── src/asc606_trainer/</w:t>
            </w:r>
          </w:p>
          <w:p>
            <w:pPr>
              <w:spacing w:line="240" w:lineRule="auto" w:after="0"/>
              <w:ind w:left="0"/>
            </w:pPr>
            <w:r>
              <w:rPr>
                <w:rFonts w:ascii="Consolas" w:hAnsi="Consolas"/>
                <w:color w:val="1F3535"/>
                <w:sz w:val="18"/>
              </w:rPr>
              <w:t>│   ├── __init__.py</w:t>
            </w:r>
          </w:p>
          <w:p>
            <w:pPr>
              <w:spacing w:line="240" w:lineRule="auto" w:after="0"/>
              <w:ind w:left="0"/>
            </w:pPr>
            <w:r>
              <w:rPr>
                <w:rFonts w:ascii="Consolas" w:hAnsi="Consolas"/>
                <w:color w:val="1F3535"/>
                <w:sz w:val="18"/>
              </w:rPr>
              <w:t>│   ├── schema.py                  # Pydantic models</w:t>
            </w:r>
          </w:p>
          <w:p>
            <w:pPr>
              <w:spacing w:line="240" w:lineRule="auto" w:after="0"/>
              <w:ind w:left="0"/>
            </w:pPr>
            <w:r>
              <w:rPr>
                <w:rFonts w:ascii="Consolas" w:hAnsi="Consolas"/>
                <w:color w:val="1F3535"/>
                <w:sz w:val="18"/>
              </w:rPr>
              <w:t>│   ├── prompts.py                 # Curriculum templates (M0–M11)</w:t>
            </w:r>
          </w:p>
          <w:p>
            <w:pPr>
              <w:spacing w:line="240" w:lineRule="auto" w:after="0"/>
              <w:ind w:left="0"/>
            </w:pPr>
            <w:r>
              <w:rPr>
                <w:rFonts w:ascii="Consolas" w:hAnsi="Consolas"/>
                <w:color w:val="1F3535"/>
                <w:sz w:val="18"/>
              </w:rPr>
              <w:t>│   ├── data_generator.py          # Record construction logic</w:t>
            </w:r>
          </w:p>
          <w:p>
            <w:pPr>
              <w:spacing w:line="240" w:lineRule="auto" w:after="0"/>
              <w:ind w:left="0"/>
            </w:pPr>
            <w:r>
              <w:rPr>
                <w:rFonts w:ascii="Consolas" w:hAnsi="Consolas"/>
                <w:color w:val="1F3535"/>
                <w:sz w:val="18"/>
              </w:rPr>
              <w:t>│   ├── validator.py               # JSONL + accounting checks</w:t>
            </w:r>
          </w:p>
          <w:p>
            <w:pPr>
              <w:spacing w:line="240" w:lineRule="auto" w:after="0"/>
              <w:ind w:left="0"/>
            </w:pPr>
            <w:r>
              <w:rPr>
                <w:rFonts w:ascii="Consolas" w:hAnsi="Consolas"/>
                <w:color w:val="1F3535"/>
                <w:sz w:val="18"/>
              </w:rPr>
              <w:t>│   └── evaluator.py               # Rubric scoring</w:t>
            </w:r>
          </w:p>
          <w:p>
            <w:pPr>
              <w:spacing w:line="240" w:lineRule="auto" w:after="0"/>
              <w:ind w:left="0"/>
            </w:pPr>
            <w:r>
              <w:rPr>
                <w:rFonts w:ascii="Consolas" w:hAnsi="Consolas"/>
                <w:color w:val="1F3535"/>
                <w:sz w:val="18"/>
              </w:rPr>
              <w:t>├── docs/</w:t>
            </w:r>
          </w:p>
          <w:p>
            <w:pPr>
              <w:spacing w:line="240" w:lineRule="auto" w:after="0"/>
              <w:ind w:left="0"/>
            </w:pPr>
            <w:r>
              <w:rPr>
                <w:rFonts w:ascii="Consolas" w:hAnsi="Consolas"/>
                <w:color w:val="1F3535"/>
                <w:sz w:val="18"/>
              </w:rPr>
              <w:t>│   ├── CURRICULUM.md              # 12 modules + 6 levels</w:t>
            </w:r>
          </w:p>
          <w:p>
            <w:pPr>
              <w:spacing w:line="240" w:lineRule="auto" w:after="0"/>
              <w:ind w:left="0"/>
            </w:pPr>
            <w:r>
              <w:rPr>
                <w:rFonts w:ascii="Consolas" w:hAnsi="Consolas"/>
                <w:color w:val="1F3535"/>
                <w:sz w:val="18"/>
              </w:rPr>
              <w:t>│   ├── SCHEMA.md                  # JSONL + manifest schema</w:t>
            </w:r>
          </w:p>
          <w:p>
            <w:pPr>
              <w:spacing w:line="240" w:lineRule="auto" w:after="0"/>
              <w:ind w:left="0"/>
            </w:pPr>
            <w:r>
              <w:rPr>
                <w:rFonts w:ascii="Consolas" w:hAnsi="Consolas"/>
                <w:color w:val="1F3535"/>
                <w:sz w:val="18"/>
              </w:rPr>
              <w:t>│   ├── EVALUATION.md              # 5-dimension rubric (0–4)</w:t>
            </w:r>
          </w:p>
          <w:p>
            <w:pPr>
              <w:spacing w:line="240" w:lineRule="auto" w:after="0"/>
              <w:ind w:left="0"/>
            </w:pPr>
            <w:r>
              <w:rPr>
                <w:rFonts w:ascii="Consolas" w:hAnsi="Consolas"/>
                <w:color w:val="1F3535"/>
                <w:sz w:val="18"/>
              </w:rPr>
              <w:t>│   └── CONTRIBUTING.md</w:t>
            </w:r>
          </w:p>
          <w:p>
            <w:pPr>
              <w:spacing w:line="240" w:lineRule="auto" w:after="0"/>
              <w:ind w:left="0"/>
            </w:pPr>
            <w:r>
              <w:rPr>
                <w:rFonts w:ascii="Consolas" w:hAnsi="Consolas"/>
                <w:color w:val="1F3535"/>
                <w:sz w:val="18"/>
              </w:rPr>
              <w:t>├── tests/</w:t>
            </w:r>
          </w:p>
          <w:p>
            <w:pPr>
              <w:spacing w:line="240" w:lineRule="auto" w:after="0"/>
              <w:ind w:left="0"/>
            </w:pPr>
            <w:r>
              <w:rPr>
                <w:rFonts w:ascii="Consolas" w:hAnsi="Consolas"/>
                <w:color w:val="1F3535"/>
                <w:sz w:val="18"/>
              </w:rPr>
              <w:t>│   └── test_validator.py</w:t>
            </w:r>
          </w:p>
          <w:p>
            <w:pPr>
              <w:spacing w:line="240" w:lineRule="auto" w:after="0"/>
              <w:ind w:left="0"/>
            </w:pPr>
            <w:r>
              <w:rPr>
                <w:rFonts w:ascii="Consolas" w:hAnsi="Consolas"/>
                <w:color w:val="1F3535"/>
                <w:sz w:val="18"/>
              </w:rPr>
              <w:t>└── examples/</w:t>
            </w:r>
          </w:p>
          <w:p>
            <w:pPr>
              <w:spacing w:line="240" w:lineRule="auto" w:after="0"/>
              <w:ind w:left="0"/>
            </w:pPr>
            <w:r>
              <w:rPr>
                <w:rFonts w:ascii="Consolas" w:hAnsi="Consolas"/>
                <w:color w:val="1F3535"/>
                <w:sz w:val="18"/>
              </w:rPr>
              <w:t xml:space="preserve">    └── notebooks/</w:t>
            </w:r>
          </w:p>
          <w:p>
            <w:pPr>
              <w:spacing w:line="240" w:lineRule="auto" w:after="0"/>
              <w:ind w:left="0"/>
            </w:pPr>
            <w:r>
              <w:rPr>
                <w:rFonts w:ascii="Consolas" w:hAnsi="Consolas"/>
                <w:color w:val="1F3535"/>
                <w:sz w:val="18"/>
              </w:rPr>
              <w:t xml:space="preserve">        └── asc606_quickstart.ipynb  (placeholder)</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Quick Start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1. Install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git clone https://github.com/&lt;your-username&gt;/asc606-llm-training.git</w:t>
            </w:r>
          </w:p>
          <w:p>
            <w:pPr>
              <w:spacing w:line="240" w:lineRule="auto" w:after="0"/>
              <w:ind w:left="0"/>
            </w:pPr>
            <w:r>
              <w:rPr>
                <w:rFonts w:ascii="Consolas" w:hAnsi="Consolas"/>
                <w:color w:val="1F3535"/>
                <w:sz w:val="18"/>
              </w:rPr>
              <w:t>cd asc606-llm-training</w:t>
            </w:r>
          </w:p>
          <w:p>
            <w:pPr>
              <w:spacing w:line="240" w:lineRule="auto" w:after="0"/>
              <w:ind w:left="0"/>
            </w:pPr>
            <w:r>
              <w:rPr>
                <w:rFonts w:ascii="Consolas" w:hAnsi="Consolas"/>
                <w:color w:val="1F3535"/>
                <w:sz w:val="18"/>
              </w:rPr>
              <w:t>pip install -r requirements.txt</w:t>
            </w:r>
          </w:p>
          <w:p>
            <w:pPr>
              <w:spacing w:line="240" w:lineRule="auto" w:after="0"/>
              <w:ind w:left="0"/>
            </w:pPr>
            <w:r>
              <w:rPr>
                <w:rFonts w:ascii="Consolas" w:hAnsi="Consolas"/>
                <w:color w:val="1F3535"/>
                <w:sz w:val="18"/>
              </w:rPr>
              <w:t>pip install -e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2. Generate a sample dataset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 Generate 200 starter records</w:t>
            </w:r>
          </w:p>
          <w:p>
            <w:pPr>
              <w:spacing w:line="240" w:lineRule="auto" w:after="0"/>
              <w:ind w:left="0"/>
            </w:pPr>
            <w:r>
              <w:rPr>
                <w:rFonts w:ascii="Consolas" w:hAnsi="Consolas"/>
                <w:color w:val="1F3535"/>
                <w:sz w:val="18"/>
              </w:rPr>
              <w:t>python scripts/generate_dataset.py \</w:t>
            </w:r>
          </w:p>
          <w:p>
            <w:pPr>
              <w:spacing w:line="240" w:lineRule="auto" w:after="0"/>
              <w:ind w:left="0"/>
            </w:pPr>
            <w:r>
              <w:rPr>
                <w:rFonts w:ascii="Consolas" w:hAnsi="Consolas"/>
                <w:color w:val="1F3535"/>
                <w:sz w:val="18"/>
              </w:rPr>
              <w:t xml:space="preserve">    --out data/processed/asc606_starter.jsonl \</w:t>
            </w:r>
          </w:p>
          <w:p>
            <w:pPr>
              <w:spacing w:line="240" w:lineRule="auto" w:after="0"/>
              <w:ind w:left="0"/>
            </w:pPr>
            <w:r>
              <w:rPr>
                <w:rFonts w:ascii="Consolas" w:hAnsi="Consolas"/>
                <w:color w:val="1F3535"/>
                <w:sz w:val="18"/>
              </w:rPr>
              <w:t xml:space="preserve">    --n 200 \</w:t>
            </w:r>
          </w:p>
          <w:p>
            <w:pPr>
              <w:spacing w:line="240" w:lineRule="auto" w:after="0"/>
              <w:ind w:left="0"/>
            </w:pPr>
            <w:r>
              <w:rPr>
                <w:rFonts w:ascii="Consolas" w:hAnsi="Consolas"/>
                <w:color w:val="1F3535"/>
                <w:sz w:val="18"/>
              </w:rPr>
              <w:t xml:space="preserve">    --seed 42</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3. Validate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python scripts/validate_jsonl.py --in data/processed/asc606_starter.jsonl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4. Split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python scripts/split_dataset.py \</w:t>
            </w:r>
          </w:p>
          <w:p>
            <w:pPr>
              <w:spacing w:line="240" w:lineRule="auto" w:after="0"/>
              <w:ind w:left="0"/>
            </w:pPr>
            <w:r>
              <w:rPr>
                <w:rFonts w:ascii="Consolas" w:hAnsi="Consolas"/>
                <w:color w:val="1F3535"/>
                <w:sz w:val="18"/>
              </w:rPr>
              <w:t xml:space="preserve">    --in data/processed/asc606_starter.jsonl \</w:t>
            </w:r>
          </w:p>
          <w:p>
            <w:pPr>
              <w:spacing w:line="240" w:lineRule="auto" w:after="0"/>
              <w:ind w:left="0"/>
            </w:pPr>
            <w:r>
              <w:rPr>
                <w:rFonts w:ascii="Consolas" w:hAnsi="Consolas"/>
                <w:color w:val="1F3535"/>
                <w:sz w:val="18"/>
              </w:rPr>
              <w:t xml:space="preserve">    --out-dir data \</w:t>
            </w:r>
          </w:p>
          <w:p>
            <w:pPr>
              <w:spacing w:line="240" w:lineRule="auto" w:after="0"/>
              <w:ind w:left="0"/>
            </w:pPr>
            <w:r>
              <w:rPr>
                <w:rFonts w:ascii="Consolas" w:hAnsi="Consolas"/>
                <w:color w:val="1F3535"/>
                <w:sz w:val="18"/>
              </w:rPr>
              <w:t xml:space="preserve">    --train 0.85 --val 0.075 --test 0.075</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5. Fine-tune (HuggingFace SFT)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python scripts/train.py \</w:t>
            </w:r>
          </w:p>
          <w:p>
            <w:pPr>
              <w:spacing w:line="240" w:lineRule="auto" w:after="0"/>
              <w:ind w:left="0"/>
            </w:pPr>
            <w:r>
              <w:rPr>
                <w:rFonts w:ascii="Consolas" w:hAnsi="Consolas"/>
                <w:color w:val="1F3535"/>
                <w:sz w:val="18"/>
              </w:rPr>
              <w:t xml:space="preserve">    --model mistralai/Mistral-7B-Instruct-v0.2 \</w:t>
            </w:r>
          </w:p>
          <w:p>
            <w:pPr>
              <w:spacing w:line="240" w:lineRule="auto" w:after="0"/>
              <w:ind w:left="0"/>
            </w:pPr>
            <w:r>
              <w:rPr>
                <w:rFonts w:ascii="Consolas" w:hAnsi="Consolas"/>
                <w:color w:val="1F3535"/>
                <w:sz w:val="18"/>
              </w:rPr>
              <w:t xml:space="preserve">    --train-file data/train/asc606_train.jsonl \</w:t>
            </w:r>
          </w:p>
          <w:p>
            <w:pPr>
              <w:spacing w:line="240" w:lineRule="auto" w:after="0"/>
              <w:ind w:left="0"/>
            </w:pPr>
            <w:r>
              <w:rPr>
                <w:rFonts w:ascii="Consolas" w:hAnsi="Consolas"/>
                <w:color w:val="1F3535"/>
                <w:sz w:val="18"/>
              </w:rPr>
              <w:t xml:space="preserve">    --val-file data/validation/asc606_val.jsonl \</w:t>
            </w:r>
          </w:p>
          <w:p>
            <w:pPr>
              <w:spacing w:line="240" w:lineRule="auto" w:after="0"/>
              <w:ind w:left="0"/>
            </w:pPr>
            <w:r>
              <w:rPr>
                <w:rFonts w:ascii="Consolas" w:hAnsi="Consolas"/>
                <w:color w:val="1F3535"/>
                <w:sz w:val="18"/>
              </w:rPr>
              <w:t xml:space="preserve">    --out-dir checkpoints/asc606-sft-v1 \</w:t>
            </w:r>
          </w:p>
          <w:p>
            <w:pPr>
              <w:spacing w:line="240" w:lineRule="auto" w:after="0"/>
              <w:ind w:left="0"/>
            </w:pPr>
            <w:r>
              <w:rPr>
                <w:rFonts w:ascii="Consolas" w:hAnsi="Consolas"/>
                <w:color w:val="1F3535"/>
                <w:sz w:val="18"/>
              </w:rPr>
              <w:t xml:space="preserve">    --lora   # use LoRA for parameter-efficient fine-tuning</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6. Evaluate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python scripts/evaluate.py \</w:t>
            </w:r>
          </w:p>
          <w:p>
            <w:pPr>
              <w:spacing w:line="240" w:lineRule="auto" w:after="0"/>
              <w:ind w:left="0"/>
            </w:pPr>
            <w:r>
              <w:rPr>
                <w:rFonts w:ascii="Consolas" w:hAnsi="Consolas"/>
                <w:color w:val="1F3535"/>
                <w:sz w:val="18"/>
              </w:rPr>
              <w:t xml:space="preserve">    --model checkpoints/asc606-sft-v1 \</w:t>
            </w:r>
          </w:p>
          <w:p>
            <w:pPr>
              <w:spacing w:line="240" w:lineRule="auto" w:after="0"/>
              <w:ind w:left="0"/>
            </w:pPr>
            <w:r>
              <w:rPr>
                <w:rFonts w:ascii="Consolas" w:hAnsi="Consolas"/>
                <w:color w:val="1F3535"/>
                <w:sz w:val="18"/>
              </w:rPr>
              <w:t xml:space="preserve">    --test-file data/test/asc606_test.jsonl \</w:t>
            </w:r>
          </w:p>
          <w:p>
            <w:pPr>
              <w:spacing w:line="240" w:lineRule="auto" w:after="0"/>
              <w:ind w:left="0"/>
            </w:pPr>
            <w:r>
              <w:rPr>
                <w:rFonts w:ascii="Consolas" w:hAnsi="Consolas"/>
                <w:color w:val="1F3535"/>
                <w:sz w:val="18"/>
              </w:rPr>
              <w:t xml:space="preserve">    --out-dir logs/eval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Curriculum</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12 modules × 6 difficulty levels = full ASC 606 coverage.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Module | Topic | Target share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M0 | Accounting foundations | 5% |</w:t>
            </w:r>
          </w:p>
          <w:p>
            <w:pPr>
              <w:spacing w:line="240" w:lineRule="auto" w:after="0"/>
              <w:ind w:left="0"/>
            </w:pPr>
            <w:r>
              <w:rPr>
                <w:rFonts w:ascii="Consolas" w:hAnsi="Consolas"/>
                <w:color w:val="1F3535"/>
                <w:sz w:val="18"/>
              </w:rPr>
              <w:t>| M1 | ASC 606 core concepts &amp; scope | 9% |</w:t>
            </w:r>
          </w:p>
          <w:p>
            <w:pPr>
              <w:spacing w:line="240" w:lineRule="auto" w:after="0"/>
              <w:ind w:left="0"/>
            </w:pPr>
            <w:r>
              <w:rPr>
                <w:rFonts w:ascii="Consolas" w:hAnsi="Consolas"/>
                <w:color w:val="1F3535"/>
                <w:sz w:val="18"/>
              </w:rPr>
              <w:t>| M2 | Contract identification | 7% |</w:t>
            </w:r>
          </w:p>
          <w:p>
            <w:pPr>
              <w:spacing w:line="240" w:lineRule="auto" w:after="0"/>
              <w:ind w:left="0"/>
            </w:pPr>
            <w:r>
              <w:rPr>
                <w:rFonts w:ascii="Consolas" w:hAnsi="Consolas"/>
                <w:color w:val="1F3535"/>
                <w:sz w:val="18"/>
              </w:rPr>
              <w:t>| M3 | Performance obligations | 11% |</w:t>
            </w:r>
          </w:p>
          <w:p>
            <w:pPr>
              <w:spacing w:line="240" w:lineRule="auto" w:after="0"/>
              <w:ind w:left="0"/>
            </w:pPr>
            <w:r>
              <w:rPr>
                <w:rFonts w:ascii="Consolas" w:hAnsi="Consolas"/>
                <w:color w:val="1F3535"/>
                <w:sz w:val="18"/>
              </w:rPr>
              <w:t>| M4 | Transaction price &amp; variable consideration | 12% |</w:t>
            </w:r>
          </w:p>
          <w:p>
            <w:pPr>
              <w:spacing w:line="240" w:lineRule="auto" w:after="0"/>
              <w:ind w:left="0"/>
            </w:pPr>
            <w:r>
              <w:rPr>
                <w:rFonts w:ascii="Consolas" w:hAnsi="Consolas"/>
                <w:color w:val="1F3535"/>
                <w:sz w:val="18"/>
              </w:rPr>
              <w:t>| M5 | Allocation &amp; standalone selling prices | 7% |</w:t>
            </w:r>
          </w:p>
          <w:p>
            <w:pPr>
              <w:spacing w:line="240" w:lineRule="auto" w:after="0"/>
              <w:ind w:left="0"/>
            </w:pPr>
            <w:r>
              <w:rPr>
                <w:rFonts w:ascii="Consolas" w:hAnsi="Consolas"/>
                <w:color w:val="1F3535"/>
                <w:sz w:val="18"/>
              </w:rPr>
              <w:t>| M6 | Recognition timing &amp; progress measures | 11% |</w:t>
            </w:r>
          </w:p>
          <w:p>
            <w:pPr>
              <w:spacing w:line="240" w:lineRule="auto" w:after="0"/>
              <w:ind w:left="0"/>
            </w:pPr>
            <w:r>
              <w:rPr>
                <w:rFonts w:ascii="Consolas" w:hAnsi="Consolas"/>
                <w:color w:val="1F3535"/>
                <w:sz w:val="18"/>
              </w:rPr>
              <w:t>| M7 | Contract modifications &amp; complex arrangements | 8% |</w:t>
            </w:r>
          </w:p>
          <w:p>
            <w:pPr>
              <w:spacing w:line="240" w:lineRule="auto" w:after="0"/>
              <w:ind w:left="0"/>
            </w:pPr>
            <w:r>
              <w:rPr>
                <w:rFonts w:ascii="Consolas" w:hAnsi="Consolas"/>
                <w:color w:val="1F3535"/>
                <w:sz w:val="18"/>
              </w:rPr>
              <w:t>| M8 | Specialized topics (principal-agent, licenses, warranties, financing) | 10% |</w:t>
            </w:r>
          </w:p>
          <w:p>
            <w:pPr>
              <w:spacing w:line="240" w:lineRule="auto" w:after="0"/>
              <w:ind w:left="0"/>
            </w:pPr>
            <w:r>
              <w:rPr>
                <w:rFonts w:ascii="Consolas" w:hAnsi="Consolas"/>
                <w:color w:val="1F3535"/>
                <w:sz w:val="18"/>
              </w:rPr>
              <w:t>| M9 | Presentation, disclosures &amp; controls | 6% |</w:t>
            </w:r>
          </w:p>
          <w:p>
            <w:pPr>
              <w:spacing w:line="240" w:lineRule="auto" w:after="0"/>
              <w:ind w:left="0"/>
            </w:pPr>
            <w:r>
              <w:rPr>
                <w:rFonts w:ascii="Consolas" w:hAnsi="Consolas"/>
                <w:color w:val="1F3535"/>
                <w:sz w:val="18"/>
              </w:rPr>
              <w:t>| M10 | Expert memos, audit &amp; research cases | 9% |</w:t>
            </w:r>
          </w:p>
          <w:p>
            <w:pPr>
              <w:spacing w:line="240" w:lineRule="auto" w:after="0"/>
              <w:ind w:left="0"/>
            </w:pPr>
            <w:r>
              <w:rPr>
                <w:rFonts w:ascii="Consolas" w:hAnsi="Consolas"/>
                <w:color w:val="1F3535"/>
                <w:sz w:val="18"/>
              </w:rPr>
              <w:t>| M11 | Adversarial reasoning &amp; error correction | 5%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Difficulty levels: **Beginner (10%) → Foundational (20%) → Intermediate (25%) → Advanced (25%) → Expert (15%) → Research-grade (5%)**.</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See [`docs/CURRICULUM.md`](docs/CURRICULUM.md) for the full table.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JSONL Record Schema (canonical)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```json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xml:space="preserve">  "messages": [</w:t>
            </w:r>
          </w:p>
          <w:p>
            <w:pPr>
              <w:spacing w:line="240" w:lineRule="auto" w:after="0"/>
              <w:ind w:left="0"/>
            </w:pPr>
            <w:r>
              <w:rPr>
                <w:rFonts w:ascii="Consolas" w:hAnsi="Consolas"/>
                <w:color w:val="1F3535"/>
                <w:sz w:val="18"/>
              </w:rPr>
              <w:t xml:space="preserve">    {"role": "system",    "content": "You are an expert US-GAAP ASC 606 assistant..."},</w:t>
            </w:r>
          </w:p>
          <w:p>
            <w:pPr>
              <w:spacing w:line="240" w:lineRule="auto" w:after="0"/>
              <w:ind w:left="0"/>
            </w:pPr>
            <w:r>
              <w:rPr>
                <w:rFonts w:ascii="Consolas" w:hAnsi="Consolas"/>
                <w:color w:val="1F3535"/>
                <w:sz w:val="18"/>
              </w:rPr>
              <w:t xml:space="preserve">    {"role": "user",      "content": "&lt;prompt&gt;"},</w:t>
            </w:r>
          </w:p>
          <w:p>
            <w:pPr>
              <w:spacing w:line="240" w:lineRule="auto" w:after="0"/>
              <w:ind w:left="0"/>
            </w:pPr>
            <w:r>
              <w:rPr>
                <w:rFonts w:ascii="Consolas" w:hAnsi="Consolas"/>
                <w:color w:val="1F3535"/>
                <w:sz w:val="18"/>
              </w:rPr>
              <w:t xml:space="preserve">    {"role": "assistant", "content": "&lt;detailed answer with citations &amp; calculations&gt;"}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A companion **manifest** (per-record metadata) lives in `data/manifests/`: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```json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xml:space="preserve">  "record_id": "ASC606-M4-A-0042",</w:t>
            </w:r>
          </w:p>
          <w:p>
            <w:pPr>
              <w:spacing w:line="240" w:lineRule="auto" w:after="0"/>
              <w:ind w:left="0"/>
            </w:pPr>
            <w:r>
              <w:rPr>
                <w:rFonts w:ascii="Consolas" w:hAnsi="Consolas"/>
                <w:color w:val="1F3535"/>
                <w:sz w:val="18"/>
              </w:rPr>
              <w:t xml:space="preserve">  "module_id": "M4",</w:t>
            </w:r>
          </w:p>
          <w:p>
            <w:pPr>
              <w:spacing w:line="240" w:lineRule="auto" w:after="0"/>
              <w:ind w:left="0"/>
            </w:pPr>
            <w:r>
              <w:rPr>
                <w:rFonts w:ascii="Consolas" w:hAnsi="Consolas"/>
                <w:color w:val="1F3535"/>
                <w:sz w:val="18"/>
              </w:rPr>
              <w:t xml:space="preserve">  "difficulty": "advanced",</w:t>
            </w:r>
          </w:p>
          <w:p>
            <w:pPr>
              <w:spacing w:line="240" w:lineRule="auto" w:after="0"/>
              <w:ind w:left="0"/>
            </w:pPr>
            <w:r>
              <w:rPr>
                <w:rFonts w:ascii="Consolas" w:hAnsi="Consolas"/>
                <w:color w:val="1F3535"/>
                <w:sz w:val="18"/>
              </w:rPr>
              <w:t xml:space="preserve">  "task_type": "numerical_case",</w:t>
            </w:r>
          </w:p>
          <w:p>
            <w:pPr>
              <w:spacing w:line="240" w:lineRule="auto" w:after="0"/>
              <w:ind w:left="0"/>
            </w:pPr>
            <w:r>
              <w:rPr>
                <w:rFonts w:ascii="Consolas" w:hAnsi="Consolas"/>
                <w:color w:val="1F3535"/>
                <w:sz w:val="18"/>
              </w:rPr>
              <w:t xml:space="preserve">  "topic_tags": ["variable_consideration", "constraint"],</w:t>
            </w:r>
          </w:p>
          <w:p>
            <w:pPr>
              <w:spacing w:line="240" w:lineRule="auto" w:after="0"/>
              <w:ind w:left="0"/>
            </w:pPr>
            <w:r>
              <w:rPr>
                <w:rFonts w:ascii="Consolas" w:hAnsi="Consolas"/>
                <w:color w:val="1F3535"/>
                <w:sz w:val="18"/>
              </w:rPr>
              <w:t xml:space="preserve">  "reference_paragraphs": ["ASC 606-10-32-11", "ASC 606-10-32-12"],</w:t>
            </w:r>
          </w:p>
          <w:p>
            <w:pPr>
              <w:spacing w:line="240" w:lineRule="auto" w:after="0"/>
              <w:ind w:left="0"/>
            </w:pPr>
            <w:r>
              <w:rPr>
                <w:rFonts w:ascii="Consolas" w:hAnsi="Consolas"/>
                <w:color w:val="1F3535"/>
                <w:sz w:val="18"/>
              </w:rPr>
              <w:t xml:space="preserve">  "citation_verified": false,</w:t>
            </w:r>
          </w:p>
          <w:p>
            <w:pPr>
              <w:spacing w:line="240" w:lineRule="auto" w:after="0"/>
              <w:ind w:left="0"/>
            </w:pPr>
            <w:r>
              <w:rPr>
                <w:rFonts w:ascii="Consolas" w:hAnsi="Consolas"/>
                <w:color w:val="1F3535"/>
                <w:sz w:val="18"/>
              </w:rPr>
              <w:t xml:space="preserve">  "answer_verified": false,</w:t>
            </w:r>
          </w:p>
          <w:p>
            <w:pPr>
              <w:spacing w:line="240" w:lineRule="auto" w:after="0"/>
              <w:ind w:left="0"/>
            </w:pPr>
            <w:r>
              <w:rPr>
                <w:rFonts w:ascii="Consolas" w:hAnsi="Consolas"/>
                <w:color w:val="1F3535"/>
                <w:sz w:val="18"/>
              </w:rPr>
              <w:t xml:space="preserve">  "calculation_verified": false,</w:t>
            </w:r>
          </w:p>
          <w:p>
            <w:pPr>
              <w:spacing w:line="240" w:lineRule="auto" w:after="0"/>
              <w:ind w:left="0"/>
            </w:pPr>
            <w:r>
              <w:rPr>
                <w:rFonts w:ascii="Consolas" w:hAnsi="Consolas"/>
                <w:color w:val="1F3535"/>
                <w:sz w:val="18"/>
              </w:rPr>
              <w:t xml:space="preserve">  "standard_version": "US-GAAP-2024",</w:t>
            </w:r>
          </w:p>
          <w:p>
            <w:pPr>
              <w:spacing w:line="240" w:lineRule="auto" w:after="0"/>
              <w:ind w:left="0"/>
            </w:pPr>
            <w:r>
              <w:rPr>
                <w:rFonts w:ascii="Consolas" w:hAnsi="Consolas"/>
                <w:color w:val="1F3535"/>
                <w:sz w:val="18"/>
              </w:rPr>
              <w:t xml:space="preserve">  "split": "train",</w:t>
            </w:r>
          </w:p>
          <w:p>
            <w:pPr>
              <w:spacing w:line="240" w:lineRule="auto" w:after="0"/>
              <w:ind w:left="0"/>
            </w:pPr>
            <w:r>
              <w:rPr>
                <w:rFonts w:ascii="Consolas" w:hAnsi="Consolas"/>
                <w:color w:val="1F3535"/>
                <w:sz w:val="18"/>
              </w:rPr>
              <w:t xml:space="preserve">  "provenance": "template-generated"</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See [`docs/SCHEMA.md`](docs/SCHEMA.md).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Quality Gates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Before any record enters the gold training corpus: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**JSONL parse** — 100% of lines valid.</w:t>
            </w:r>
          </w:p>
          <w:p>
            <w:pPr>
              <w:spacing w:line="240" w:lineRule="auto" w:after="0"/>
              <w:ind w:left="0"/>
            </w:pPr>
            <w:r>
              <w:rPr>
                <w:rFonts w:ascii="Consolas" w:hAnsi="Consolas"/>
                <w:color w:val="1F3535"/>
                <w:sz w:val="18"/>
              </w:rPr>
              <w:t>2. **Citation verification** — every cited paragraph must exist in the Codification and support the proposition.</w:t>
            </w:r>
          </w:p>
          <w:p>
            <w:pPr>
              <w:spacing w:line="240" w:lineRule="auto" w:after="0"/>
              <w:ind w:left="0"/>
            </w:pPr>
            <w:r>
              <w:rPr>
                <w:rFonts w:ascii="Consolas" w:hAnsi="Consolas"/>
                <w:color w:val="1F3535"/>
                <w:sz w:val="18"/>
              </w:rPr>
              <w:t>3. **Independent calculation check** — allocations, schedules, financing math reconciled.</w:t>
            </w:r>
          </w:p>
          <w:p>
            <w:pPr>
              <w:spacing w:line="240" w:lineRule="auto" w:after="0"/>
              <w:ind w:left="0"/>
            </w:pPr>
            <w:r>
              <w:rPr>
                <w:rFonts w:ascii="Consolas" w:hAnsi="Consolas"/>
                <w:color w:val="1F3535"/>
                <w:sz w:val="18"/>
              </w:rPr>
              <w:t>4. **Reviewer approval** — qualified US-GAAP reviewer signs off.</w:t>
            </w:r>
          </w:p>
          <w:p>
            <w:pPr>
              <w:spacing w:line="240" w:lineRule="auto" w:after="0"/>
              <w:ind w:left="0"/>
            </w:pPr>
            <w:r>
              <w:rPr>
                <w:rFonts w:ascii="Consolas" w:hAnsi="Consolas"/>
                <w:color w:val="1F3535"/>
                <w:sz w:val="18"/>
              </w:rPr>
              <w:t>5. **Deduplication** — no near-duplicate prompts across splits.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See [`docs/EVALUATION.md`](docs/EVALUATION.md) for the 5-dimension rubric (technical accuracy 30%, citation accuracy 20%, numerical accuracy 15%, fact analysis 15%, alternative analysis 10%, presentation 10%).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Phased Generation Plan (target 10,000 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Phase | Records | Focus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P1 Pilot | 100 | Schema + templates + smoke test |</w:t>
            </w:r>
          </w:p>
          <w:p>
            <w:pPr>
              <w:spacing w:line="240" w:lineRule="auto" w:after="0"/>
              <w:ind w:left="0"/>
            </w:pPr>
            <w:r>
              <w:rPr>
                <w:rFonts w:ascii="Consolas" w:hAnsi="Consolas"/>
                <w:color w:val="1F3535"/>
                <w:sz w:val="18"/>
              </w:rPr>
              <w:t>| P2 Foundations | 1,900 | M0–M2 |</w:t>
            </w:r>
          </w:p>
          <w:p>
            <w:pPr>
              <w:spacing w:line="240" w:lineRule="auto" w:after="0"/>
              <w:ind w:left="0"/>
            </w:pPr>
            <w:r>
              <w:rPr>
                <w:rFonts w:ascii="Consolas" w:hAnsi="Consolas"/>
                <w:color w:val="1F3535"/>
                <w:sz w:val="18"/>
              </w:rPr>
              <w:t>| P3 Core application | 3,000 | M3–M6 |</w:t>
            </w:r>
          </w:p>
          <w:p>
            <w:pPr>
              <w:spacing w:line="240" w:lineRule="auto" w:after="0"/>
              <w:ind w:left="0"/>
            </w:pPr>
            <w:r>
              <w:rPr>
                <w:rFonts w:ascii="Consolas" w:hAnsi="Consolas"/>
                <w:color w:val="1F3535"/>
                <w:sz w:val="18"/>
              </w:rPr>
              <w:t>| P4 Advanced technical | 2,400 | M7–M9 |</w:t>
            </w:r>
          </w:p>
          <w:p>
            <w:pPr>
              <w:spacing w:line="240" w:lineRule="auto" w:after="0"/>
              <w:ind w:left="0"/>
            </w:pPr>
            <w:r>
              <w:rPr>
                <w:rFonts w:ascii="Consolas" w:hAnsi="Consolas"/>
                <w:color w:val="1F3535"/>
                <w:sz w:val="18"/>
              </w:rPr>
              <w:t>| P5 Expert &amp; adversarial | 1,600 | M10–M11 |</w:t>
            </w:r>
          </w:p>
          <w:p>
            <w:pPr>
              <w:spacing w:line="240" w:lineRule="auto" w:after="0"/>
              <w:ind w:left="0"/>
            </w:pPr>
            <w:r>
              <w:rPr>
                <w:rFonts w:ascii="Consolas" w:hAnsi="Consolas"/>
                <w:color w:val="1F3535"/>
                <w:sz w:val="18"/>
              </w:rPr>
              <w:t>| P6 Consolidate &amp; release | 10,000 | Dedup, split, audit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Authoritative Sources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Build your local `data/raw/` library from:</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**FASB Accounting Standards Codification** (subscription required) — authoritative.</w:t>
            </w:r>
          </w:p>
          <w:p>
            <w:pPr>
              <w:spacing w:line="240" w:lineRule="auto" w:after="0"/>
              <w:ind w:left="0"/>
            </w:pPr>
            <w:r>
              <w:rPr>
                <w:rFonts w:ascii="Consolas" w:hAnsi="Consolas"/>
                <w:color w:val="1F3535"/>
                <w:sz w:val="18"/>
              </w:rPr>
              <w:t>- FASB Revenue Recognition topic overview — explanatory only.</w:t>
            </w:r>
          </w:p>
          <w:p>
            <w:pPr>
              <w:spacing w:line="240" w:lineRule="auto" w:after="0"/>
              <w:ind w:left="0"/>
            </w:pPr>
            <w:r>
              <w:rPr>
                <w:rFonts w:ascii="Consolas" w:hAnsi="Consolas"/>
                <w:color w:val="1F3535"/>
                <w:sz w:val="18"/>
              </w:rPr>
              <w:t>- Deloitte DART ASC 606 roadmap — interpretive.</w:t>
            </w:r>
          </w:p>
          <w:p>
            <w:pPr>
              <w:spacing w:line="240" w:lineRule="auto" w:after="0"/>
              <w:ind w:left="0"/>
            </w:pPr>
            <w:r>
              <w:rPr>
                <w:rFonts w:ascii="Consolas" w:hAnsi="Consolas"/>
                <w:color w:val="1F3535"/>
                <w:sz w:val="18"/>
              </w:rPr>
              <w:t>- EY Financial Reporting Developments — interpretive.</w:t>
            </w:r>
          </w:p>
          <w:p>
            <w:pPr>
              <w:spacing w:line="240" w:lineRule="auto" w:after="0"/>
              <w:ind w:left="0"/>
            </w:pPr>
            <w:r>
              <w:rPr>
                <w:rFonts w:ascii="Consolas" w:hAnsi="Consolas"/>
                <w:color w:val="1F3535"/>
                <w:sz w:val="18"/>
              </w:rPr>
              <w:t>- IFRS Foundation — IFRS 15 (for comparative research only).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**Treat all Big-4 guides as interpretive material, not authoritative GAAP.**</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Anti-Hallucination Requirements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training records deliberately teach the model to:</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Reject unverifiable citations (`ASC 606-10-99-99` is *not* real).</w:t>
            </w:r>
          </w:p>
          <w:p>
            <w:pPr>
              <w:spacing w:line="240" w:lineRule="auto" w:after="0"/>
              <w:ind w:left="0"/>
            </w:pPr>
            <w:r>
              <w:rPr>
                <w:rFonts w:ascii="Consolas" w:hAnsi="Consolas"/>
                <w:color w:val="1F3535"/>
                <w:sz w:val="18"/>
              </w:rPr>
              <w:t>- Refuse to recognize revenue solely because cash was received.</w:t>
            </w:r>
          </w:p>
          <w:p>
            <w:pPr>
              <w:spacing w:line="240" w:lineRule="auto" w:after="0"/>
              <w:ind w:left="0"/>
            </w:pPr>
            <w:r>
              <w:rPr>
                <w:rFonts w:ascii="Consolas" w:hAnsi="Consolas"/>
                <w:color w:val="1F3535"/>
                <w:sz w:val="18"/>
              </w:rPr>
              <w:t>- Refuse to recognize revenue solely because a contract is signed.</w:t>
            </w:r>
          </w:p>
          <w:p>
            <w:pPr>
              <w:spacing w:line="240" w:lineRule="auto" w:after="0"/>
              <w:ind w:left="0"/>
            </w:pPr>
            <w:r>
              <w:rPr>
                <w:rFonts w:ascii="Consolas" w:hAnsi="Consolas"/>
                <w:color w:val="1F3535"/>
                <w:sz w:val="18"/>
              </w:rPr>
              <w:t>- Apply the variable-consideration constraint, not just the probability %.</w:t>
            </w:r>
          </w:p>
          <w:p>
            <w:pPr>
              <w:spacing w:line="240" w:lineRule="auto" w:after="0"/>
              <w:ind w:left="0"/>
            </w:pPr>
            <w:r>
              <w:rPr>
                <w:rFonts w:ascii="Consolas" w:hAnsi="Consolas"/>
                <w:color w:val="1F3535"/>
                <w:sz w:val="18"/>
              </w:rPr>
              <w:t>- Demand missing facts before concluding.</w:t>
            </w:r>
          </w:p>
          <w:p>
            <w:pPr>
              <w:spacing w:line="240" w:lineRule="auto" w:after="0"/>
              <w:ind w:left="0"/>
            </w:pPr>
            <w:r>
              <w:rPr>
                <w:rFonts w:ascii="Consolas" w:hAnsi="Consolas"/>
                <w:color w:val="1F3535"/>
                <w:sz w:val="18"/>
              </w:rPr>
              <w:t>- Distinguish FASB Codification (authoritative) from FASB overviews and Big-4 guides.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Contributing</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See [`docs/CONTRIBUTING.md`](docs/CONTRIBUTING.md). All contributed records must pass the validator and include manifest metadata.</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License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MIT — see [`LICENSE`](LICENSE). The **ASC 606 Codification text is NOT included**; you must obtain a license from FASB.</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 Disclaimer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This repository is for **research and educational purposes only**. It is not accounting, audit, or legal advice. Always consult a qualified professional and verify against the authoritative Codification before relying on any conclusion.</w:t>
            </w:r>
          </w:p>
          <w:p>
            <w:pPr>
              <w:spacing w:line="240" w:lineRule="auto" w:after="0"/>
              <w:ind w:left="0"/>
            </w:pPr>
            <w:r>
              <w:rPr>
                <w:rFonts w:ascii="Consolas" w:hAnsi="Consolas"/>
                <w:color w:val="1F3535"/>
                <w:sz w:val="18"/>
              </w:rPr>
            </w:r>
          </w:p>
        </w:tc>
      </w:tr>
    </w:tbl>
    <w:p>
      <w:pPr>
        <w:spacing w:after="80"/>
      </w:pPr>
    </w:p>
    <w:p>
      <w:pPr>
        <w:pStyle w:val="Heading2"/>
      </w:pPr>
      <w:r>
        <w:rPr>
          <w:color w:val="1F3864"/>
        </w:rPr>
        <w:t>8.2 docs/CURRICULUM.md</w:t>
      </w:r>
    </w:p>
    <w:p>
      <w:pPr>
        <w:spacing w:line="312" w:lineRule="auto" w:after="120"/>
      </w:pPr>
      <w:r>
        <w:rPr>
          <w:rFonts w:ascii="Calibri" w:hAnsi="Calibri"/>
          <w:b w:val="0"/>
          <w:i/>
          <w:color w:val="606060"/>
          <w:sz w:val="20"/>
        </w:rPr>
        <w:t>Curriculum specification</w:t>
      </w:r>
    </w:p>
    <w:p>
      <w:pPr>
        <w:spacing w:before="120" w:after="40"/>
      </w:pPr>
      <w:r>
        <w:rPr>
          <w:i/>
          <w:color w:val="606060"/>
          <w:sz w:val="18"/>
        </w:rPr>
        <w:t xml:space="preserve">  markdown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ASC 606 LLM Training Curriculum</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This document describes the **12 modules × 6 difficulty levels** curriculum used to</w:t>
            </w:r>
          </w:p>
          <w:p>
            <w:pPr>
              <w:spacing w:line="240" w:lineRule="auto" w:after="0"/>
              <w:ind w:left="0"/>
            </w:pPr>
            <w:r>
              <w:rPr>
                <w:rFonts w:ascii="Consolas" w:hAnsi="Consolas"/>
                <w:color w:val="1F3535"/>
                <w:sz w:val="18"/>
              </w:rPr>
              <w:t>construct the training 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Modules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ID | Topic | Target share | Target examples | Description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M0 | Accounting foundations | 5% | 500 | Accrual accounting, debit/credit mechanics, revenue vs. cash, receivables, deferred revenue, estimates, basic financial statements. |</w:t>
            </w:r>
          </w:p>
          <w:p>
            <w:pPr>
              <w:spacing w:line="240" w:lineRule="auto" w:after="0"/>
              <w:ind w:left="0"/>
            </w:pPr>
            <w:r>
              <w:rPr>
                <w:rFonts w:ascii="Consolas" w:hAnsi="Consolas"/>
                <w:color w:val="1F3535"/>
                <w:sz w:val="18"/>
              </w:rPr>
              <w:t>| M1 | ASC 606 core concepts &amp; scope | 9% | 900 | Scope, core principle, five-step model, defined terms, interactions with other US-GAAP topics, scope exceptions. |</w:t>
            </w:r>
          </w:p>
          <w:p>
            <w:pPr>
              <w:spacing w:line="240" w:lineRule="auto" w:after="0"/>
              <w:ind w:left="0"/>
            </w:pPr>
            <w:r>
              <w:rPr>
                <w:rFonts w:ascii="Consolas" w:hAnsi="Consolas"/>
                <w:color w:val="1F3535"/>
                <w:sz w:val="18"/>
              </w:rPr>
              <w:t>| M2 | Contract identification | 7% | 700 | Approval, enforceable rights, payment terms, commercial substance, collectibility, contract combination, reassessment. |</w:t>
            </w:r>
          </w:p>
          <w:p>
            <w:pPr>
              <w:spacing w:line="240" w:lineRule="auto" w:after="0"/>
              <w:ind w:left="0"/>
            </w:pPr>
            <w:r>
              <w:rPr>
                <w:rFonts w:ascii="Consolas" w:hAnsi="Consolas"/>
                <w:color w:val="1F3535"/>
                <w:sz w:val="18"/>
              </w:rPr>
              <w:t>| M3 | Performance obligations | 11% | 1,100 | Promised goods/services, distinctness, series guidance, material rights, options, bundled arrangements. |</w:t>
            </w:r>
          </w:p>
          <w:p>
            <w:pPr>
              <w:spacing w:line="240" w:lineRule="auto" w:after="0"/>
              <w:ind w:left="0"/>
            </w:pPr>
            <w:r>
              <w:rPr>
                <w:rFonts w:ascii="Consolas" w:hAnsi="Consolas"/>
                <w:color w:val="1F3535"/>
                <w:sz w:val="18"/>
              </w:rPr>
              <w:t>| M4 | Transaction price &amp; variable consideration | 12% | 1,200 | Fixed/variable consideration, expected-value vs. most-likely-amount, constraint, rebates, returns, refunds, financing, noncash consideration, consideration payable to customers. |</w:t>
            </w:r>
          </w:p>
          <w:p>
            <w:pPr>
              <w:spacing w:line="240" w:lineRule="auto" w:after="0"/>
              <w:ind w:left="0"/>
            </w:pPr>
            <w:r>
              <w:rPr>
                <w:rFonts w:ascii="Consolas" w:hAnsi="Consolas"/>
                <w:color w:val="1F3535"/>
                <w:sz w:val="18"/>
              </w:rPr>
              <w:t>| M5 | Allocation &amp; standalone selling prices | 7% | 700 | Relative SSPs, observable prices, estimation methods, discounts, variable-consideration allocation, allocation exceptions. |</w:t>
            </w:r>
          </w:p>
          <w:p>
            <w:pPr>
              <w:spacing w:line="240" w:lineRule="auto" w:after="0"/>
              <w:ind w:left="0"/>
            </w:pPr>
            <w:r>
              <w:rPr>
                <w:rFonts w:ascii="Consolas" w:hAnsi="Consolas"/>
                <w:color w:val="1F3535"/>
                <w:sz w:val="18"/>
              </w:rPr>
              <w:t>| M6 | Recognition timing &amp; progress measures | 11% | 1,100 | Point-in-time vs. over-time, control indicators, progress measures, input/output methods, contract acceptance, cutoff. |</w:t>
            </w:r>
          </w:p>
          <w:p>
            <w:pPr>
              <w:spacing w:line="240" w:lineRule="auto" w:after="0"/>
              <w:ind w:left="0"/>
            </w:pPr>
            <w:r>
              <w:rPr>
                <w:rFonts w:ascii="Consolas" w:hAnsi="Consolas"/>
                <w:color w:val="1F3535"/>
                <w:sz w:val="18"/>
              </w:rPr>
              <w:t>| M7 | Contract modifications &amp; complex arrangements | 8% | 800 | Modifications (separate-contract vs. prospective vs. cumulative catch-up), termination clauses, renewals, combinations. |</w:t>
            </w:r>
          </w:p>
          <w:p>
            <w:pPr>
              <w:spacing w:line="240" w:lineRule="auto" w:after="0"/>
              <w:ind w:left="0"/>
            </w:pPr>
            <w:r>
              <w:rPr>
                <w:rFonts w:ascii="Consolas" w:hAnsi="Consolas"/>
                <w:color w:val="1F3535"/>
                <w:sz w:val="18"/>
              </w:rPr>
              <w:t>| M8 | Specialized topics | 10% | 1,000 | Principal vs. agent, licenses of IP, warranties, right of return, bill-and-hold, consignment, repurchase arrangements, contract costs (ASC 340-40), significant financing component. |</w:t>
            </w:r>
          </w:p>
          <w:p>
            <w:pPr>
              <w:spacing w:line="240" w:lineRule="auto" w:after="0"/>
              <w:ind w:left="0"/>
            </w:pPr>
            <w:r>
              <w:rPr>
                <w:rFonts w:ascii="Consolas" w:hAnsi="Consolas"/>
                <w:color w:val="1F3535"/>
                <w:sz w:val="18"/>
              </w:rPr>
              <w:t>| M9 | Presentation, disclosures &amp; controls | 6% | 600 | Contract assets/liabilities, receivables, disaggregation, remaining performance obligations, significant judgments, disclosures, revenue controls. |</w:t>
            </w:r>
          </w:p>
          <w:p>
            <w:pPr>
              <w:spacing w:line="240" w:lineRule="auto" w:after="0"/>
              <w:ind w:left="0"/>
            </w:pPr>
            <w:r>
              <w:rPr>
                <w:rFonts w:ascii="Consolas" w:hAnsi="Consolas"/>
                <w:color w:val="1F3535"/>
                <w:sz w:val="18"/>
              </w:rPr>
              <w:t>| M10 | Expert memos, audit &amp; research cases | 9% | 900 | Technical accounting memos, audit evidence, competing interpretations, SEC-reporting implications, research methodology, ASC 606 vs. IFRS 15. |</w:t>
            </w:r>
          </w:p>
          <w:p>
            <w:pPr>
              <w:spacing w:line="240" w:lineRule="auto" w:after="0"/>
              <w:ind w:left="0"/>
            </w:pPr>
            <w:r>
              <w:rPr>
                <w:rFonts w:ascii="Consolas" w:hAnsi="Consolas"/>
                <w:color w:val="1F3535"/>
                <w:sz w:val="18"/>
              </w:rPr>
              <w:t>| M11 | Adversarial reasoning &amp; error correction | 5% | 500 | Hallucinated citations, misleading premises, insufficient facts, contradictory evidence, arithmetic traps, changed assumptions. |</w:t>
            </w:r>
          </w:p>
          <w:p>
            <w:pPr>
              <w:spacing w:line="240" w:lineRule="auto" w:after="0"/>
              <w:ind w:left="0"/>
            </w:pPr>
            <w:r>
              <w:rPr>
                <w:rFonts w:ascii="Consolas" w:hAnsi="Consolas"/>
                <w:color w:val="1F3535"/>
                <w:sz w:val="18"/>
              </w:rPr>
              <w:t>| **Total** | | **100%** | **10,000** |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Difficulty Levels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Level | Share | Target examples | Required behavior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Beginner | 10% | 1,000 | Define, classify, explain. |</w:t>
            </w:r>
          </w:p>
          <w:p>
            <w:pPr>
              <w:spacing w:line="240" w:lineRule="auto" w:after="0"/>
              <w:ind w:left="0"/>
            </w:pPr>
            <w:r>
              <w:rPr>
                <w:rFonts w:ascii="Consolas" w:hAnsi="Consolas"/>
                <w:color w:val="1F3535"/>
                <w:sz w:val="18"/>
              </w:rPr>
              <w:t>| Foundational | 20% | 2,000 | Apply rules to simple fact patterns. |</w:t>
            </w:r>
          </w:p>
          <w:p>
            <w:pPr>
              <w:spacing w:line="240" w:lineRule="auto" w:after="0"/>
              <w:ind w:left="0"/>
            </w:pPr>
            <w:r>
              <w:rPr>
                <w:rFonts w:ascii="Consolas" w:hAnsi="Consolas"/>
                <w:color w:val="1F3535"/>
                <w:sz w:val="18"/>
              </w:rPr>
              <w:t>| Intermediate | 25% | 2,500 | Calculate, allocate, prepare entries. |</w:t>
            </w:r>
          </w:p>
          <w:p>
            <w:pPr>
              <w:spacing w:line="240" w:lineRule="auto" w:after="0"/>
              <w:ind w:left="0"/>
            </w:pPr>
            <w:r>
              <w:rPr>
                <w:rFonts w:ascii="Consolas" w:hAnsi="Consolas"/>
                <w:color w:val="1F3535"/>
                <w:sz w:val="18"/>
              </w:rPr>
              <w:t>| Advanced | 25% | 2,500 | Resolve interacting issues and ambiguous facts. |</w:t>
            </w:r>
          </w:p>
          <w:p>
            <w:pPr>
              <w:spacing w:line="240" w:lineRule="auto" w:after="0"/>
              <w:ind w:left="0"/>
            </w:pPr>
            <w:r>
              <w:rPr>
                <w:rFonts w:ascii="Consolas" w:hAnsi="Consolas"/>
                <w:color w:val="1F3535"/>
                <w:sz w:val="18"/>
              </w:rPr>
              <w:t>| Expert | 15% | 1,500 | Prepare technical memos and evaluate alternatives. |</w:t>
            </w:r>
          </w:p>
          <w:p>
            <w:pPr>
              <w:spacing w:line="240" w:lineRule="auto" w:after="0"/>
              <w:ind w:left="0"/>
            </w:pPr>
            <w:r>
              <w:rPr>
                <w:rFonts w:ascii="Consolas" w:hAnsi="Consolas"/>
                <w:color w:val="1F3535"/>
                <w:sz w:val="18"/>
              </w:rPr>
              <w:t>| Research | 5% | 500 | Critique assumptions, evidence, and conceptual arguments.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Topic difficulty and reasoning difficulty are *independent* dimensions. A Beginner</w:t>
            </w:r>
          </w:p>
          <w:p>
            <w:pPr>
              <w:spacing w:line="240" w:lineRule="auto" w:after="0"/>
              <w:ind w:left="0"/>
            </w:pPr>
            <w:r>
              <w:rPr>
                <w:rFonts w:ascii="Consolas" w:hAnsi="Consolas"/>
                <w:color w:val="1F3535"/>
                <w:sz w:val="18"/>
              </w:rPr>
              <w:t>question on principal-vs-agent (M8) is easy; an Expert question on the same topic</w:t>
            </w:r>
          </w:p>
          <w:p>
            <w:pPr>
              <w:spacing w:line="240" w:lineRule="auto" w:after="0"/>
              <w:ind w:left="0"/>
            </w:pPr>
            <w:r>
              <w:rPr>
                <w:rFonts w:ascii="Consolas" w:hAnsi="Consolas"/>
                <w:color w:val="1F3535"/>
                <w:sz w:val="18"/>
              </w:rPr>
              <w:t>is hard. Every record is tagged with both `module_id` and `difficulty`.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Five-Step ASC 606 Model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model must learn to apply the FASB's five-step revenue recognition framework:</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**Identify the contract** with a customer (M2).</w:t>
            </w:r>
          </w:p>
          <w:p>
            <w:pPr>
              <w:spacing w:line="240" w:lineRule="auto" w:after="0"/>
              <w:ind w:left="0"/>
            </w:pPr>
            <w:r>
              <w:rPr>
                <w:rFonts w:ascii="Consolas" w:hAnsi="Consolas"/>
                <w:color w:val="1F3535"/>
                <w:sz w:val="18"/>
              </w:rPr>
              <w:t>2. **Identify the performance obligations** (M3).</w:t>
            </w:r>
          </w:p>
          <w:p>
            <w:pPr>
              <w:spacing w:line="240" w:lineRule="auto" w:after="0"/>
              <w:ind w:left="0"/>
            </w:pPr>
            <w:r>
              <w:rPr>
                <w:rFonts w:ascii="Consolas" w:hAnsi="Consolas"/>
                <w:color w:val="1F3535"/>
                <w:sz w:val="18"/>
              </w:rPr>
              <w:t>3. **Determine the transaction price** (M4).</w:t>
            </w:r>
          </w:p>
          <w:p>
            <w:pPr>
              <w:spacing w:line="240" w:lineRule="auto" w:after="0"/>
              <w:ind w:left="0"/>
            </w:pPr>
            <w:r>
              <w:rPr>
                <w:rFonts w:ascii="Consolas" w:hAnsi="Consolas"/>
                <w:color w:val="1F3535"/>
                <w:sz w:val="18"/>
              </w:rPr>
              <w:t>4. **Allocate the transaction price** (M5).</w:t>
            </w:r>
          </w:p>
          <w:p>
            <w:pPr>
              <w:spacing w:line="240" w:lineRule="auto" w:after="0"/>
              <w:ind w:left="0"/>
            </w:pPr>
            <w:r>
              <w:rPr>
                <w:rFonts w:ascii="Consolas" w:hAnsi="Consolas"/>
                <w:color w:val="1F3535"/>
                <w:sz w:val="18"/>
              </w:rPr>
              <w:t>5. **Recognize revenue** when or as each performance obligation is satisfied (M6).</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Phased Generation Plan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Phase | Records | Focus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P1 Pilot | 100 | Schema, templates, smoke test |</w:t>
            </w:r>
          </w:p>
          <w:p>
            <w:pPr>
              <w:spacing w:line="240" w:lineRule="auto" w:after="0"/>
              <w:ind w:left="0"/>
            </w:pPr>
            <w:r>
              <w:rPr>
                <w:rFonts w:ascii="Consolas" w:hAnsi="Consolas"/>
                <w:color w:val="1F3535"/>
                <w:sz w:val="18"/>
              </w:rPr>
              <w:t>| P2 Foundations | 1,900 | M0–M2 (accounting basics, core concepts, contracts) |</w:t>
            </w:r>
          </w:p>
          <w:p>
            <w:pPr>
              <w:spacing w:line="240" w:lineRule="auto" w:after="0"/>
              <w:ind w:left="0"/>
            </w:pPr>
            <w:r>
              <w:rPr>
                <w:rFonts w:ascii="Consolas" w:hAnsi="Consolas"/>
                <w:color w:val="1F3535"/>
                <w:sz w:val="18"/>
              </w:rPr>
              <w:t>| P3 Core application | 3,000 | M3–M6 (performance obligations, transaction price, allocation, timing) |</w:t>
            </w:r>
          </w:p>
          <w:p>
            <w:pPr>
              <w:spacing w:line="240" w:lineRule="auto" w:after="0"/>
              <w:ind w:left="0"/>
            </w:pPr>
            <w:r>
              <w:rPr>
                <w:rFonts w:ascii="Consolas" w:hAnsi="Consolas"/>
                <w:color w:val="1F3535"/>
                <w:sz w:val="18"/>
              </w:rPr>
              <w:t>| P4 Advanced technical | 2,400 | M7–M9 (modifications, specialized topics, presentation) |</w:t>
            </w:r>
          </w:p>
          <w:p>
            <w:pPr>
              <w:spacing w:line="240" w:lineRule="auto" w:after="0"/>
              <w:ind w:left="0"/>
            </w:pPr>
            <w:r>
              <w:rPr>
                <w:rFonts w:ascii="Consolas" w:hAnsi="Consolas"/>
                <w:color w:val="1F3535"/>
                <w:sz w:val="18"/>
              </w:rPr>
              <w:t>| P5 Expert &amp; adversarial | 1,600 | M10–M11 (memos, research, error correction) |</w:t>
            </w:r>
          </w:p>
          <w:p>
            <w:pPr>
              <w:spacing w:line="240" w:lineRule="auto" w:after="0"/>
              <w:ind w:left="0"/>
            </w:pPr>
            <w:r>
              <w:rPr>
                <w:rFonts w:ascii="Consolas" w:hAnsi="Consolas"/>
                <w:color w:val="1F3535"/>
                <w:sz w:val="18"/>
              </w:rPr>
              <w:t>| P6 Consolidate &amp; release | — | Dedup, audit, split, release 10,000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Authoritative Source Library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Build your local `data/raw/` library from:</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**FASB Accounting Standards Codification** (subscription required) — authoritative.</w:t>
            </w:r>
          </w:p>
          <w:p>
            <w:pPr>
              <w:spacing w:line="240" w:lineRule="auto" w:after="0"/>
              <w:ind w:left="0"/>
            </w:pPr>
            <w:r>
              <w:rPr>
                <w:rFonts w:ascii="Consolas" w:hAnsi="Consolas"/>
                <w:color w:val="1F3535"/>
                <w:sz w:val="18"/>
              </w:rPr>
              <w:t>2. FASB Revenue Recognition topic overview — explanatory only.</w:t>
            </w:r>
          </w:p>
          <w:p>
            <w:pPr>
              <w:spacing w:line="240" w:lineRule="auto" w:after="0"/>
              <w:ind w:left="0"/>
            </w:pPr>
            <w:r>
              <w:rPr>
                <w:rFonts w:ascii="Consolas" w:hAnsi="Consolas"/>
                <w:color w:val="1F3535"/>
                <w:sz w:val="18"/>
              </w:rPr>
              <w:t>3. Deloitte DART ASC 606 roadmap — interpretive.</w:t>
            </w:r>
          </w:p>
          <w:p>
            <w:pPr>
              <w:spacing w:line="240" w:lineRule="auto" w:after="0"/>
              <w:ind w:left="0"/>
            </w:pPr>
            <w:r>
              <w:rPr>
                <w:rFonts w:ascii="Consolas" w:hAnsi="Consolas"/>
                <w:color w:val="1F3535"/>
                <w:sz w:val="18"/>
              </w:rPr>
              <w:t>4. EY Financial Reporting Developments — interpretive.</w:t>
            </w:r>
          </w:p>
          <w:p>
            <w:pPr>
              <w:spacing w:line="240" w:lineRule="auto" w:after="0"/>
              <w:ind w:left="0"/>
            </w:pPr>
            <w:r>
              <w:rPr>
                <w:rFonts w:ascii="Consolas" w:hAnsi="Consolas"/>
                <w:color w:val="1F3535"/>
                <w:sz w:val="18"/>
              </w:rPr>
              <w:t>5. IFRS Foundation — IFRS 15 for comparative research only.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**Treat all Big-4 guides as interpretive material, not authoritative GAAP.**</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Anti-Hallucination Curriculum Requirements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dataset deliberately teaches the model to:</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Reject unverifiable citations (`ASC 606-10-99-99` is not real).</w:t>
            </w:r>
          </w:p>
          <w:p>
            <w:pPr>
              <w:spacing w:line="240" w:lineRule="auto" w:after="0"/>
              <w:ind w:left="0"/>
            </w:pPr>
            <w:r>
              <w:rPr>
                <w:rFonts w:ascii="Consolas" w:hAnsi="Consolas"/>
                <w:color w:val="1F3535"/>
                <w:sz w:val="18"/>
              </w:rPr>
              <w:t>- Refuse to recognize revenue solely because cash was received.</w:t>
            </w:r>
          </w:p>
          <w:p>
            <w:pPr>
              <w:spacing w:line="240" w:lineRule="auto" w:after="0"/>
              <w:ind w:left="0"/>
            </w:pPr>
            <w:r>
              <w:rPr>
                <w:rFonts w:ascii="Consolas" w:hAnsi="Consolas"/>
                <w:color w:val="1F3535"/>
                <w:sz w:val="18"/>
              </w:rPr>
              <w:t>- Refuse to recognize revenue solely because a contract is signed.</w:t>
            </w:r>
          </w:p>
          <w:p>
            <w:pPr>
              <w:spacing w:line="240" w:lineRule="auto" w:after="0"/>
              <w:ind w:left="0"/>
            </w:pPr>
            <w:r>
              <w:rPr>
                <w:rFonts w:ascii="Consolas" w:hAnsi="Consolas"/>
                <w:color w:val="1F3535"/>
                <w:sz w:val="18"/>
              </w:rPr>
              <w:t>- Apply the variable-consideration constraint, not just the probability %.</w:t>
            </w:r>
          </w:p>
          <w:p>
            <w:pPr>
              <w:spacing w:line="240" w:lineRule="auto" w:after="0"/>
              <w:ind w:left="0"/>
            </w:pPr>
            <w:r>
              <w:rPr>
                <w:rFonts w:ascii="Consolas" w:hAnsi="Consolas"/>
                <w:color w:val="1F3535"/>
                <w:sz w:val="18"/>
              </w:rPr>
              <w:t>- Demand missing facts before concluding.</w:t>
            </w:r>
          </w:p>
          <w:p>
            <w:pPr>
              <w:spacing w:line="240" w:lineRule="auto" w:after="0"/>
              <w:ind w:left="0"/>
            </w:pPr>
            <w:r>
              <w:rPr>
                <w:rFonts w:ascii="Consolas" w:hAnsi="Consolas"/>
                <w:color w:val="1F3535"/>
                <w:sz w:val="18"/>
              </w:rPr>
              <w:t>- Distinguish FASB Codification (authoritative) from FASB overviews and Big-4 guides.</w:t>
            </w:r>
          </w:p>
          <w:p>
            <w:pPr>
              <w:spacing w:line="240" w:lineRule="auto" w:after="0"/>
              <w:ind w:left="0"/>
            </w:pPr>
            <w:r>
              <w:rPr>
                <w:rFonts w:ascii="Consolas" w:hAnsi="Consolas"/>
                <w:color w:val="1F3535"/>
                <w:sz w:val="18"/>
              </w:rPr>
            </w:r>
          </w:p>
        </w:tc>
      </w:tr>
    </w:tbl>
    <w:p>
      <w:pPr>
        <w:spacing w:after="80"/>
      </w:pPr>
    </w:p>
    <w:p>
      <w:pPr>
        <w:pStyle w:val="Heading2"/>
      </w:pPr>
      <w:r>
        <w:rPr>
          <w:color w:val="1F3864"/>
        </w:rPr>
        <w:t>8.3 docs/SCHEMA.md</w:t>
      </w:r>
    </w:p>
    <w:p>
      <w:pPr>
        <w:spacing w:line="312" w:lineRule="auto" w:after="120"/>
      </w:pPr>
      <w:r>
        <w:rPr>
          <w:rFonts w:ascii="Calibri" w:hAnsi="Calibri"/>
          <w:b w:val="0"/>
          <w:i/>
          <w:color w:val="606060"/>
          <w:sz w:val="20"/>
        </w:rPr>
        <w:t>JSONL + manifest schema</w:t>
      </w:r>
    </w:p>
    <w:p>
      <w:pPr>
        <w:spacing w:before="120" w:after="40"/>
      </w:pPr>
      <w:r>
        <w:rPr>
          <w:i/>
          <w:color w:val="606060"/>
          <w:sz w:val="18"/>
        </w:rPr>
        <w:t xml:space="preserve">  markdown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JSONL + Manifest Schema</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Canonical Training Record (JSONL line)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```json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xml:space="preserve">  "messages": [</w:t>
            </w:r>
          </w:p>
          <w:p>
            <w:pPr>
              <w:spacing w:line="240" w:lineRule="auto" w:after="0"/>
              <w:ind w:left="0"/>
            </w:pPr>
            <w:r>
              <w:rPr>
                <w:rFonts w:ascii="Consolas" w:hAnsi="Consolas"/>
                <w:color w:val="1F3535"/>
                <w:sz w:val="18"/>
              </w:rPr>
              <w:t xml:space="preserve">    {"role": "system",    "content": "You are an expert US-GAAP ASC 606 assistant..."},</w:t>
            </w:r>
          </w:p>
          <w:p>
            <w:pPr>
              <w:spacing w:line="240" w:lineRule="auto" w:after="0"/>
              <w:ind w:left="0"/>
            </w:pPr>
            <w:r>
              <w:rPr>
                <w:rFonts w:ascii="Consolas" w:hAnsi="Consolas"/>
                <w:color w:val="1F3535"/>
                <w:sz w:val="18"/>
              </w:rPr>
              <w:t xml:space="preserve">    {"role": "user",      "content": "&lt;prompt&gt;"},</w:t>
            </w:r>
          </w:p>
          <w:p>
            <w:pPr>
              <w:spacing w:line="240" w:lineRule="auto" w:after="0"/>
              <w:ind w:left="0"/>
            </w:pPr>
            <w:r>
              <w:rPr>
                <w:rFonts w:ascii="Consolas" w:hAnsi="Consolas"/>
                <w:color w:val="1F3535"/>
                <w:sz w:val="18"/>
              </w:rPr>
              <w:t xml:space="preserve">    {"role": "assistant", "content": "&lt;detailed answer with citations &amp; calculations&gt;"}</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Rules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**Exactly 3 messages**, in this order: `system` → `user` → `assistant`.</w:t>
            </w:r>
          </w:p>
          <w:p>
            <w:pPr>
              <w:spacing w:line="240" w:lineRule="auto" w:after="0"/>
              <w:ind w:left="0"/>
            </w:pPr>
            <w:r>
              <w:rPr>
                <w:rFonts w:ascii="Consolas" w:hAnsi="Consolas"/>
                <w:color w:val="1F3535"/>
                <w:sz w:val="18"/>
              </w:rPr>
              <w:t>2. `content` is a non-empty string of length ≤ 32,000 characters.</w:t>
            </w:r>
          </w:p>
          <w:p>
            <w:pPr>
              <w:spacing w:line="240" w:lineRule="auto" w:after="0"/>
              <w:ind w:left="0"/>
            </w:pPr>
            <w:r>
              <w:rPr>
                <w:rFonts w:ascii="Consolas" w:hAnsi="Consolas"/>
                <w:color w:val="1F3535"/>
                <w:sz w:val="18"/>
              </w:rPr>
              <w:t>3. Additional metadata fields (e.g., `record_id`) may ride along — they are</w:t>
            </w:r>
          </w:p>
          <w:p>
            <w:pPr>
              <w:spacing w:line="240" w:lineRule="auto" w:after="0"/>
              <w:ind w:left="0"/>
            </w:pPr>
            <w:r>
              <w:rPr>
                <w:rFonts w:ascii="Consolas" w:hAnsi="Consolas"/>
                <w:color w:val="1F3535"/>
                <w:sz w:val="18"/>
              </w:rPr>
              <w:t xml:space="preserve">   ignored by HuggingFace `datasets` and TRL `SFTTrainer` but used by the</w:t>
            </w:r>
          </w:p>
          <w:p>
            <w:pPr>
              <w:spacing w:line="240" w:lineRule="auto" w:after="0"/>
              <w:ind w:left="0"/>
            </w:pPr>
            <w:r>
              <w:rPr>
                <w:rFonts w:ascii="Consolas" w:hAnsi="Consolas"/>
                <w:color w:val="1F3535"/>
                <w:sz w:val="18"/>
              </w:rPr>
              <w:t xml:space="preserve">   validator to cross-reference the manifest.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Validation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See `src/asc606_trainer/validator.py`. The validator enforces: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JSON parse-ability.</w:t>
            </w:r>
          </w:p>
          <w:p>
            <w:pPr>
              <w:spacing w:line="240" w:lineRule="auto" w:after="0"/>
              <w:ind w:left="0"/>
            </w:pPr>
            <w:r>
              <w:rPr>
                <w:rFonts w:ascii="Consolas" w:hAnsi="Consolas"/>
                <w:color w:val="1F3535"/>
                <w:sz w:val="18"/>
              </w:rPr>
              <w:t>- `TrainingRecord` schema (3 messages, ordered roles).</w:t>
            </w:r>
          </w:p>
          <w:p>
            <w:pPr>
              <w:spacing w:line="240" w:lineRule="auto" w:after="0"/>
              <w:ind w:left="0"/>
            </w:pPr>
            <w:r>
              <w:rPr>
                <w:rFonts w:ascii="Consolas" w:hAnsi="Consolas"/>
                <w:color w:val="1F3535"/>
                <w:sz w:val="18"/>
              </w:rPr>
              <w:t>- No known-bogus citations (e.g., `ASC 606-10-99-99`) in the assistant answer.</w:t>
            </w:r>
          </w:p>
          <w:p>
            <w:pPr>
              <w:spacing w:line="240" w:lineRule="auto" w:after="0"/>
              <w:ind w:left="0"/>
            </w:pPr>
            <w:r>
              <w:rPr>
                <w:rFonts w:ascii="Consolas" w:hAnsi="Consolas"/>
                <w:color w:val="1F3535"/>
                <w:sz w:val="18"/>
              </w:rPr>
              <w:t>- Suspicious section-99 references in the assistant answer.</w:t>
            </w:r>
          </w:p>
          <w:p>
            <w:pPr>
              <w:spacing w:line="240" w:lineRule="auto" w:after="0"/>
              <w:ind w:left="0"/>
            </w:pPr>
            <w:r>
              <w:rPr>
                <w:rFonts w:ascii="Consolas" w:hAnsi="Consolas"/>
                <w:color w:val="1F3535"/>
                <w:sz w:val="18"/>
              </w:rPr>
              <w:t>- Journal-entry balance: any `Dr Account 1,000 / Cr Account 1,000` block in</w:t>
            </w:r>
          </w:p>
          <w:p>
            <w:pPr>
              <w:spacing w:line="240" w:lineRule="auto" w:after="0"/>
              <w:ind w:left="0"/>
            </w:pPr>
            <w:r>
              <w:rPr>
                <w:rFonts w:ascii="Consolas" w:hAnsi="Consolas"/>
                <w:color w:val="1F3535"/>
                <w:sz w:val="18"/>
              </w:rPr>
              <w:t xml:space="preserve">  the assistant answer must balance.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Manifest Record (companion metadata)</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```json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xml:space="preserve">  "record_id": "ASC606-M4-A-0042",</w:t>
            </w:r>
          </w:p>
          <w:p>
            <w:pPr>
              <w:spacing w:line="240" w:lineRule="auto" w:after="0"/>
              <w:ind w:left="0"/>
            </w:pPr>
            <w:r>
              <w:rPr>
                <w:rFonts w:ascii="Consolas" w:hAnsi="Consolas"/>
                <w:color w:val="1F3535"/>
                <w:sz w:val="18"/>
              </w:rPr>
              <w:t xml:space="preserve">  "module_id": "M4",</w:t>
            </w:r>
          </w:p>
          <w:p>
            <w:pPr>
              <w:spacing w:line="240" w:lineRule="auto" w:after="0"/>
              <w:ind w:left="0"/>
            </w:pPr>
            <w:r>
              <w:rPr>
                <w:rFonts w:ascii="Consolas" w:hAnsi="Consolas"/>
                <w:color w:val="1F3535"/>
                <w:sz w:val="18"/>
              </w:rPr>
              <w:t xml:space="preserve">  "difficulty": "advanced",</w:t>
            </w:r>
          </w:p>
          <w:p>
            <w:pPr>
              <w:spacing w:line="240" w:lineRule="auto" w:after="0"/>
              <w:ind w:left="0"/>
            </w:pPr>
            <w:r>
              <w:rPr>
                <w:rFonts w:ascii="Consolas" w:hAnsi="Consolas"/>
                <w:color w:val="1F3535"/>
                <w:sz w:val="18"/>
              </w:rPr>
              <w:t xml:space="preserve">  "task_type": "numerical_case",</w:t>
            </w:r>
          </w:p>
          <w:p>
            <w:pPr>
              <w:spacing w:line="240" w:lineRule="auto" w:after="0"/>
              <w:ind w:left="0"/>
            </w:pPr>
            <w:r>
              <w:rPr>
                <w:rFonts w:ascii="Consolas" w:hAnsi="Consolas"/>
                <w:color w:val="1F3535"/>
                <w:sz w:val="18"/>
              </w:rPr>
              <w:t xml:space="preserve">  "topic_tags": ["variable_consideration", "constraint"],</w:t>
            </w:r>
          </w:p>
          <w:p>
            <w:pPr>
              <w:spacing w:line="240" w:lineRule="auto" w:after="0"/>
              <w:ind w:left="0"/>
            </w:pPr>
            <w:r>
              <w:rPr>
                <w:rFonts w:ascii="Consolas" w:hAnsi="Consolas"/>
                <w:color w:val="1F3535"/>
                <w:sz w:val="18"/>
              </w:rPr>
              <w:t xml:space="preserve">  "facts": null,</w:t>
            </w:r>
          </w:p>
          <w:p>
            <w:pPr>
              <w:spacing w:line="240" w:lineRule="auto" w:after="0"/>
              <w:ind w:left="0"/>
            </w:pPr>
            <w:r>
              <w:rPr>
                <w:rFonts w:ascii="Consolas" w:hAnsi="Consolas"/>
                <w:color w:val="1F3535"/>
                <w:sz w:val="18"/>
              </w:rPr>
              <w:t xml:space="preserve">  "assumptions": [</w:t>
            </w:r>
          </w:p>
          <w:p>
            <w:pPr>
              <w:spacing w:line="240" w:lineRule="auto" w:after="0"/>
              <w:ind w:left="0"/>
            </w:pPr>
            <w:r>
              <w:rPr>
                <w:rFonts w:ascii="Consolas" w:hAnsi="Consolas"/>
                <w:color w:val="1F3535"/>
                <w:sz w:val="18"/>
              </w:rPr>
              <w:t xml:space="preserve">    "All performance obligations are distinct.",</w:t>
            </w:r>
          </w:p>
          <w:p>
            <w:pPr>
              <w:spacing w:line="240" w:lineRule="auto" w:after="0"/>
              <w:ind w:left="0"/>
            </w:pPr>
            <w:r>
              <w:rPr>
                <w:rFonts w:ascii="Consolas" w:hAnsi="Consolas"/>
                <w:color w:val="1F3535"/>
                <w:sz w:val="18"/>
              </w:rPr>
              <w:t xml:space="preserve">    "Relative standalone selling price allocation is appropriate."</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"expected_answer_summary": null,</w:t>
            </w:r>
          </w:p>
          <w:p>
            <w:pPr>
              <w:spacing w:line="240" w:lineRule="auto" w:after="0"/>
              <w:ind w:left="0"/>
            </w:pPr>
            <w:r>
              <w:rPr>
                <w:rFonts w:ascii="Consolas" w:hAnsi="Consolas"/>
                <w:color w:val="1F3535"/>
                <w:sz w:val="18"/>
              </w:rPr>
              <w:t xml:space="preserve">  "required_skills": [</w:t>
            </w:r>
          </w:p>
          <w:p>
            <w:pPr>
              <w:spacing w:line="240" w:lineRule="auto" w:after="0"/>
              <w:ind w:left="0"/>
            </w:pPr>
            <w:r>
              <w:rPr>
                <w:rFonts w:ascii="Consolas" w:hAnsi="Consolas"/>
                <w:color w:val="1F3535"/>
                <w:sz w:val="18"/>
              </w:rPr>
              <w:t xml:space="preserve">    "estimation", "constraint_analysis", "skepticism"</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"authoritative_references": [</w:t>
            </w:r>
          </w:p>
          <w:p>
            <w:pPr>
              <w:spacing w:line="240" w:lineRule="auto" w:after="0"/>
              <w:ind w:left="0"/>
            </w:pPr>
            <w:r>
              <w:rPr>
                <w:rFonts w:ascii="Consolas" w:hAnsi="Consolas"/>
                <w:color w:val="1F3535"/>
                <w:sz w:val="18"/>
              </w:rPr>
              <w:t xml:space="preserve">    "ASC 606-10-32-8",</w:t>
            </w:r>
          </w:p>
          <w:p>
            <w:pPr>
              <w:spacing w:line="240" w:lineRule="auto" w:after="0"/>
              <w:ind w:left="0"/>
            </w:pPr>
            <w:r>
              <w:rPr>
                <w:rFonts w:ascii="Consolas" w:hAnsi="Consolas"/>
                <w:color w:val="1F3535"/>
                <w:sz w:val="18"/>
              </w:rPr>
              <w:t xml:space="preserve">    "ASC 606-10-32-11"</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"grading_rubric": {</w:t>
            </w:r>
          </w:p>
          <w:p>
            <w:pPr>
              <w:spacing w:line="240" w:lineRule="auto" w:after="0"/>
              <w:ind w:left="0"/>
            </w:pPr>
            <w:r>
              <w:rPr>
                <w:rFonts w:ascii="Consolas" w:hAnsi="Consolas"/>
                <w:color w:val="1F3535"/>
                <w:sz w:val="18"/>
              </w:rPr>
              <w:t xml:space="preserve">    "technical_accuracy":   30,</w:t>
            </w:r>
          </w:p>
          <w:p>
            <w:pPr>
              <w:spacing w:line="240" w:lineRule="auto" w:after="0"/>
              <w:ind w:left="0"/>
            </w:pPr>
            <w:r>
              <w:rPr>
                <w:rFonts w:ascii="Consolas" w:hAnsi="Consolas"/>
                <w:color w:val="1F3535"/>
                <w:sz w:val="18"/>
              </w:rPr>
              <w:t xml:space="preserve">    "citation_accuracy":    20,</w:t>
            </w:r>
          </w:p>
          <w:p>
            <w:pPr>
              <w:spacing w:line="240" w:lineRule="auto" w:after="0"/>
              <w:ind w:left="0"/>
            </w:pPr>
            <w:r>
              <w:rPr>
                <w:rFonts w:ascii="Consolas" w:hAnsi="Consolas"/>
                <w:color w:val="1F3535"/>
                <w:sz w:val="18"/>
              </w:rPr>
              <w:t xml:space="preserve">    "numerical_accuracy":   15,</w:t>
            </w:r>
          </w:p>
          <w:p>
            <w:pPr>
              <w:spacing w:line="240" w:lineRule="auto" w:after="0"/>
              <w:ind w:left="0"/>
            </w:pPr>
            <w:r>
              <w:rPr>
                <w:rFonts w:ascii="Consolas" w:hAnsi="Consolas"/>
                <w:color w:val="1F3535"/>
                <w:sz w:val="18"/>
              </w:rPr>
              <w:t xml:space="preserve">    "fact_analysis":        15,</w:t>
            </w:r>
          </w:p>
          <w:p>
            <w:pPr>
              <w:spacing w:line="240" w:lineRule="auto" w:after="0"/>
              <w:ind w:left="0"/>
            </w:pPr>
            <w:r>
              <w:rPr>
                <w:rFonts w:ascii="Consolas" w:hAnsi="Consolas"/>
                <w:color w:val="1F3535"/>
                <w:sz w:val="18"/>
              </w:rPr>
              <w:t xml:space="preserve">    "alternative_analysis": 10,</w:t>
            </w:r>
          </w:p>
          <w:p>
            <w:pPr>
              <w:spacing w:line="240" w:lineRule="auto" w:after="0"/>
              <w:ind w:left="0"/>
            </w:pPr>
            <w:r>
              <w:rPr>
                <w:rFonts w:ascii="Consolas" w:hAnsi="Consolas"/>
                <w:color w:val="1F3535"/>
                <w:sz w:val="18"/>
              </w:rPr>
              <w:t xml:space="preserve">    "presentation":         10</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 xml:space="preserve">  "citation_verified":    false,</w:t>
            </w:r>
          </w:p>
          <w:p>
            <w:pPr>
              <w:spacing w:line="240" w:lineRule="auto" w:after="0"/>
              <w:ind w:left="0"/>
            </w:pPr>
            <w:r>
              <w:rPr>
                <w:rFonts w:ascii="Consolas" w:hAnsi="Consolas"/>
                <w:color w:val="1F3535"/>
                <w:sz w:val="18"/>
              </w:rPr>
              <w:t xml:space="preserve">  "answer_verified":      false,</w:t>
            </w:r>
          </w:p>
          <w:p>
            <w:pPr>
              <w:spacing w:line="240" w:lineRule="auto" w:after="0"/>
              <w:ind w:left="0"/>
            </w:pPr>
            <w:r>
              <w:rPr>
                <w:rFonts w:ascii="Consolas" w:hAnsi="Consolas"/>
                <w:color w:val="1F3535"/>
                <w:sz w:val="18"/>
              </w:rPr>
              <w:t xml:space="preserve">  "calculation_verified": false,</w:t>
            </w:r>
          </w:p>
          <w:p>
            <w:pPr>
              <w:spacing w:line="240" w:lineRule="auto" w:after="0"/>
              <w:ind w:left="0"/>
            </w:pPr>
            <w:r>
              <w:rPr>
                <w:rFonts w:ascii="Consolas" w:hAnsi="Consolas"/>
                <w:color w:val="1F3535"/>
                <w:sz w:val="18"/>
              </w:rPr>
              <w:t xml:space="preserve">  "reviewer_id":          null,</w:t>
            </w:r>
          </w:p>
          <w:p>
            <w:pPr>
              <w:spacing w:line="240" w:lineRule="auto" w:after="0"/>
              <w:ind w:left="0"/>
            </w:pPr>
            <w:r>
              <w:rPr>
                <w:rFonts w:ascii="Consolas" w:hAnsi="Consolas"/>
                <w:color w:val="1F3535"/>
                <w:sz w:val="18"/>
              </w:rPr>
              <w:t xml:space="preserve">  "standard_version":     "US-GAAP-2024",</w:t>
            </w:r>
          </w:p>
          <w:p>
            <w:pPr>
              <w:spacing w:line="240" w:lineRule="auto" w:after="0"/>
              <w:ind w:left="0"/>
            </w:pPr>
            <w:r>
              <w:rPr>
                <w:rFonts w:ascii="Consolas" w:hAnsi="Consolas"/>
                <w:color w:val="1F3535"/>
                <w:sz w:val="18"/>
              </w:rPr>
              <w:t xml:space="preserve">  "split":                 "train",</w:t>
            </w:r>
          </w:p>
          <w:p>
            <w:pPr>
              <w:spacing w:line="240" w:lineRule="auto" w:after="0"/>
              <w:ind w:left="0"/>
            </w:pPr>
            <w:r>
              <w:rPr>
                <w:rFonts w:ascii="Consolas" w:hAnsi="Consolas"/>
                <w:color w:val="1F3535"/>
                <w:sz w:val="18"/>
              </w:rPr>
              <w:t xml:space="preserve">  "provenance":           "template-generated"</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Field Definitions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Field | Type | Notes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`record_id` | string | `ASC606-M{n}-{D}-{nnnn}` where D is the difficulty initial (B/F/I/A/E/R). |</w:t>
            </w:r>
          </w:p>
          <w:p>
            <w:pPr>
              <w:spacing w:line="240" w:lineRule="auto" w:after="0"/>
              <w:ind w:left="0"/>
            </w:pPr>
            <w:r>
              <w:rPr>
                <w:rFonts w:ascii="Consolas" w:hAnsi="Consolas"/>
                <w:color w:val="1F3535"/>
                <w:sz w:val="18"/>
              </w:rPr>
              <w:t>| `module_id` | enum | M0–M11. |</w:t>
            </w:r>
          </w:p>
          <w:p>
            <w:pPr>
              <w:spacing w:line="240" w:lineRule="auto" w:after="0"/>
              <w:ind w:left="0"/>
            </w:pPr>
            <w:r>
              <w:rPr>
                <w:rFonts w:ascii="Consolas" w:hAnsi="Consolas"/>
                <w:color w:val="1F3535"/>
                <w:sz w:val="18"/>
              </w:rPr>
              <w:t>| `difficulty` | enum | beginner, foundational, intermediate, advanced, expert, research. |</w:t>
            </w:r>
          </w:p>
          <w:p>
            <w:pPr>
              <w:spacing w:line="240" w:lineRule="auto" w:after="0"/>
              <w:ind w:left="0"/>
            </w:pPr>
            <w:r>
              <w:rPr>
                <w:rFonts w:ascii="Consolas" w:hAnsi="Consolas"/>
                <w:color w:val="1F3535"/>
                <w:sz w:val="18"/>
              </w:rPr>
              <w:t>| `task_type` | enum | explanation, definition, numerical_case, journal_entry, memo, critique, citation_trap, adversarial, comparative, research. |</w:t>
            </w:r>
          </w:p>
          <w:p>
            <w:pPr>
              <w:spacing w:line="240" w:lineRule="auto" w:after="0"/>
              <w:ind w:left="0"/>
            </w:pPr>
            <w:r>
              <w:rPr>
                <w:rFonts w:ascii="Consolas" w:hAnsi="Consolas"/>
                <w:color w:val="1F3535"/>
                <w:sz w:val="18"/>
              </w:rPr>
              <w:t>| `topic_tags` | list[str] | Free-form accounting topic tags (max 10). |</w:t>
            </w:r>
          </w:p>
          <w:p>
            <w:pPr>
              <w:spacing w:line="240" w:lineRule="auto" w:after="0"/>
              <w:ind w:left="0"/>
            </w:pPr>
            <w:r>
              <w:rPr>
                <w:rFonts w:ascii="Consolas" w:hAnsi="Consolas"/>
                <w:color w:val="1F3535"/>
                <w:sz w:val="18"/>
              </w:rPr>
              <w:t>| `facts` | object \| null | Structured fact inputs (e.g., `{"transaction_price": 100000}`). |</w:t>
            </w:r>
          </w:p>
          <w:p>
            <w:pPr>
              <w:spacing w:line="240" w:lineRule="auto" w:after="0"/>
              <w:ind w:left="0"/>
            </w:pPr>
            <w:r>
              <w:rPr>
                <w:rFonts w:ascii="Consolas" w:hAnsi="Consolas"/>
                <w:color w:val="1F3535"/>
                <w:sz w:val="18"/>
              </w:rPr>
              <w:t>| `assumptions` | list[str] | Stated assumptions used by the gold answer. |</w:t>
            </w:r>
          </w:p>
          <w:p>
            <w:pPr>
              <w:spacing w:line="240" w:lineRule="auto" w:after="0"/>
              <w:ind w:left="0"/>
            </w:pPr>
            <w:r>
              <w:rPr>
                <w:rFonts w:ascii="Consolas" w:hAnsi="Consolas"/>
                <w:color w:val="1F3535"/>
                <w:sz w:val="18"/>
              </w:rPr>
              <w:t>| `expected_answer_summary` | string \| null | Optional one-line summary. |</w:t>
            </w:r>
          </w:p>
          <w:p>
            <w:pPr>
              <w:spacing w:line="240" w:lineRule="auto" w:after="0"/>
              <w:ind w:left="0"/>
            </w:pPr>
            <w:r>
              <w:rPr>
                <w:rFonts w:ascii="Consolas" w:hAnsi="Consolas"/>
                <w:color w:val="1F3535"/>
                <w:sz w:val="18"/>
              </w:rPr>
              <w:t>| `required_skills` | list[str] | Cognitive skills exercised (e.g., `arithmetic_accuracy`, `skepticism`). |</w:t>
            </w:r>
          </w:p>
          <w:p>
            <w:pPr>
              <w:spacing w:line="240" w:lineRule="auto" w:after="0"/>
              <w:ind w:left="0"/>
            </w:pPr>
            <w:r>
              <w:rPr>
                <w:rFonts w:ascii="Consolas" w:hAnsi="Consolas"/>
                <w:color w:val="1F3535"/>
                <w:sz w:val="18"/>
              </w:rPr>
              <w:t>| `authoritative_references` | list[str] | Candidate ASC paragraph references (must be reviewer-verified before training). |</w:t>
            </w:r>
          </w:p>
          <w:p>
            <w:pPr>
              <w:spacing w:line="240" w:lineRule="auto" w:after="0"/>
              <w:ind w:left="0"/>
            </w:pPr>
            <w:r>
              <w:rPr>
                <w:rFonts w:ascii="Consolas" w:hAnsi="Consolas"/>
                <w:color w:val="1F3535"/>
                <w:sz w:val="18"/>
              </w:rPr>
              <w:t>| `grading_rubric` | dict[str,int] | Weights for the 6-dimension rubric (sums to 100). |</w:t>
            </w:r>
          </w:p>
          <w:p>
            <w:pPr>
              <w:spacing w:line="240" w:lineRule="auto" w:after="0"/>
              <w:ind w:left="0"/>
            </w:pPr>
            <w:r>
              <w:rPr>
                <w:rFonts w:ascii="Consolas" w:hAnsi="Consolas"/>
                <w:color w:val="1F3535"/>
                <w:sz w:val="18"/>
              </w:rPr>
              <w:t>| `citation_verified` | bool | `true` only after reviewer validates every cited paragraph exists and supports the claim. |</w:t>
            </w:r>
          </w:p>
          <w:p>
            <w:pPr>
              <w:spacing w:line="240" w:lineRule="auto" w:after="0"/>
              <w:ind w:left="0"/>
            </w:pPr>
            <w:r>
              <w:rPr>
                <w:rFonts w:ascii="Consolas" w:hAnsi="Consolas"/>
                <w:color w:val="1F3535"/>
                <w:sz w:val="18"/>
              </w:rPr>
              <w:t>| `answer_verified` | bool | `true` only after reviewer approves the technical conclusion. |</w:t>
            </w:r>
          </w:p>
          <w:p>
            <w:pPr>
              <w:spacing w:line="240" w:lineRule="auto" w:after="0"/>
              <w:ind w:left="0"/>
            </w:pPr>
            <w:r>
              <w:rPr>
                <w:rFonts w:ascii="Consolas" w:hAnsi="Consolas"/>
                <w:color w:val="1F3535"/>
                <w:sz w:val="18"/>
              </w:rPr>
              <w:t>| `calculation_verified` | bool | `true` only after reviewer independently recomputes all numbers. |</w:t>
            </w:r>
          </w:p>
          <w:p>
            <w:pPr>
              <w:spacing w:line="240" w:lineRule="auto" w:after="0"/>
              <w:ind w:left="0"/>
            </w:pPr>
            <w:r>
              <w:rPr>
                <w:rFonts w:ascii="Consolas" w:hAnsi="Consolas"/>
                <w:color w:val="1F3535"/>
                <w:sz w:val="18"/>
              </w:rPr>
              <w:t>| `reviewer_id` | string \| null | Internal reviewer identifier. |</w:t>
            </w:r>
          </w:p>
          <w:p>
            <w:pPr>
              <w:spacing w:line="240" w:lineRule="auto" w:after="0"/>
              <w:ind w:left="0"/>
            </w:pPr>
            <w:r>
              <w:rPr>
                <w:rFonts w:ascii="Consolas" w:hAnsi="Consolas"/>
                <w:color w:val="1F3535"/>
                <w:sz w:val="18"/>
              </w:rPr>
              <w:t>| `standard_version` | string | Codification version (e.g., `US-GAAP-2024`). |</w:t>
            </w:r>
          </w:p>
          <w:p>
            <w:pPr>
              <w:spacing w:line="240" w:lineRule="auto" w:after="0"/>
              <w:ind w:left="0"/>
            </w:pPr>
            <w:r>
              <w:rPr>
                <w:rFonts w:ascii="Consolas" w:hAnsi="Consolas"/>
                <w:color w:val="1F3535"/>
                <w:sz w:val="18"/>
              </w:rPr>
              <w:t>| `split` | enum | train, validation, test, holdout. |</w:t>
            </w:r>
          </w:p>
          <w:p>
            <w:pPr>
              <w:spacing w:line="240" w:lineRule="auto" w:after="0"/>
              <w:ind w:left="0"/>
            </w:pPr>
            <w:r>
              <w:rPr>
                <w:rFonts w:ascii="Consolas" w:hAnsi="Consolas"/>
                <w:color w:val="1F3535"/>
                <w:sz w:val="18"/>
              </w:rPr>
              <w:t>| `provenance` | enum | human-authored, template-generated, hybrid, model-generated.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`record_id` Pattern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ASC606-{module}-{difficulty_initial}-{4-digit serial}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Examples:</w:t>
            </w:r>
          </w:p>
          <w:p>
            <w:pPr>
              <w:spacing w:line="240" w:lineRule="auto" w:after="0"/>
              <w:ind w:left="0"/>
            </w:pPr>
            <w:r>
              <w:rPr>
                <w:rFonts w:ascii="Consolas" w:hAnsi="Consolas"/>
                <w:color w:val="1F3535"/>
                <w:sz w:val="18"/>
              </w:rPr>
              <w:t>- `ASC606-M0-B-0001` → M0 / Beginner / serial 0001</w:t>
            </w:r>
          </w:p>
          <w:p>
            <w:pPr>
              <w:spacing w:line="240" w:lineRule="auto" w:after="0"/>
              <w:ind w:left="0"/>
            </w:pPr>
            <w:r>
              <w:rPr>
                <w:rFonts w:ascii="Consolas" w:hAnsi="Consolas"/>
                <w:color w:val="1F3535"/>
                <w:sz w:val="18"/>
              </w:rPr>
              <w:t>- `ASC606-M4-A-0042` → M4 / Advanced / serial 0042</w:t>
            </w:r>
          </w:p>
          <w:p>
            <w:pPr>
              <w:spacing w:line="240" w:lineRule="auto" w:after="0"/>
              <w:ind w:left="0"/>
            </w:pPr>
            <w:r>
              <w:rPr>
                <w:rFonts w:ascii="Consolas" w:hAnsi="Consolas"/>
                <w:color w:val="1F3535"/>
                <w:sz w:val="18"/>
              </w:rPr>
              <w:t>- `ASC606-M11-R-0007` → M11 / Research / serial 0007</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Training / Validation / Test Splits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Split | Share | Examples (target) | Purpose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train | 85% | 8,500 | Fit the model |</w:t>
            </w:r>
          </w:p>
          <w:p>
            <w:pPr>
              <w:spacing w:line="240" w:lineRule="auto" w:after="0"/>
              <w:ind w:left="0"/>
            </w:pPr>
            <w:r>
              <w:rPr>
                <w:rFonts w:ascii="Consolas" w:hAnsi="Consolas"/>
                <w:color w:val="1F3535"/>
                <w:sz w:val="18"/>
              </w:rPr>
              <w:t>| validation | 7.5% | 750 | Model selection, hyperparameter tuning |</w:t>
            </w:r>
          </w:p>
          <w:p>
            <w:pPr>
              <w:spacing w:line="240" w:lineRule="auto" w:after="0"/>
              <w:ind w:left="0"/>
            </w:pPr>
            <w:r>
              <w:rPr>
                <w:rFonts w:ascii="Consolas" w:hAnsi="Consolas"/>
                <w:color w:val="1F3535"/>
                <w:sz w:val="18"/>
              </w:rPr>
              <w:t>| test | 7.5% | 750 | Final evaluation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**Leakage control**: the splitter (`scripts/split_dataset.py`) stratifies by</w:t>
            </w:r>
          </w:p>
          <w:p>
            <w:pPr>
              <w:spacing w:line="240" w:lineRule="auto" w:after="0"/>
              <w:ind w:left="0"/>
            </w:pPr>
            <w:r>
              <w:rPr>
                <w:rFonts w:ascii="Consolas" w:hAnsi="Consolas"/>
                <w:color w:val="1F3535"/>
                <w:sz w:val="18"/>
              </w:rPr>
              <w:t>`(module, difficulty)` and keeps entire case families within one split to</w:t>
            </w:r>
          </w:p>
          <w:p>
            <w:pPr>
              <w:spacing w:line="240" w:lineRule="auto" w:after="0"/>
              <w:ind w:left="0"/>
            </w:pPr>
            <w:r>
              <w:rPr>
                <w:rFonts w:ascii="Consolas" w:hAnsi="Consolas"/>
                <w:color w:val="1F3535"/>
                <w:sz w:val="18"/>
              </w:rPr>
              <w:t>prevent near-duplicate leakage.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Predictions JSONL (for evaluation)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When evaluating a fine-tuned model, produce predictions in this format: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```json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xml:space="preserve">  "record_id": "ASC606-M4-A-0042",</w:t>
            </w:r>
          </w:p>
          <w:p>
            <w:pPr>
              <w:spacing w:line="240" w:lineRule="auto" w:after="0"/>
              <w:ind w:left="0"/>
            </w:pPr>
            <w:r>
              <w:rPr>
                <w:rFonts w:ascii="Consolas" w:hAnsi="Consolas"/>
                <w:color w:val="1F3535"/>
                <w:sz w:val="18"/>
              </w:rPr>
              <w:t xml:space="preserve">  "prediction": "The transaction price cannot be determined solely..."</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Then run: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python scripts/evaluate.py \</w:t>
            </w:r>
          </w:p>
          <w:p>
            <w:pPr>
              <w:spacing w:line="240" w:lineRule="auto" w:after="0"/>
              <w:ind w:left="0"/>
            </w:pPr>
            <w:r>
              <w:rPr>
                <w:rFonts w:ascii="Consolas" w:hAnsi="Consolas"/>
                <w:color w:val="1F3535"/>
                <w:sz w:val="18"/>
              </w:rPr>
              <w:t xml:space="preserve">    --predictions logs/predictions.jsonl \</w:t>
            </w:r>
          </w:p>
          <w:p>
            <w:pPr>
              <w:spacing w:line="240" w:lineRule="auto" w:after="0"/>
              <w:ind w:left="0"/>
            </w:pPr>
            <w:r>
              <w:rPr>
                <w:rFonts w:ascii="Consolas" w:hAnsi="Consolas"/>
                <w:color w:val="1F3535"/>
                <w:sz w:val="18"/>
              </w:rPr>
              <w:t xml:space="preserve">    --gold data/test/asc606_test.jsonl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tc>
      </w:tr>
    </w:tbl>
    <w:p>
      <w:pPr>
        <w:spacing w:after="80"/>
      </w:pPr>
    </w:p>
    <w:p>
      <w:pPr>
        <w:pStyle w:val="Heading2"/>
      </w:pPr>
      <w:r>
        <w:rPr>
          <w:color w:val="1F3864"/>
        </w:rPr>
        <w:t>8.4 docs/EVALUATION.md</w:t>
      </w:r>
    </w:p>
    <w:p>
      <w:pPr>
        <w:spacing w:line="312" w:lineRule="auto" w:after="120"/>
      </w:pPr>
      <w:r>
        <w:rPr>
          <w:rFonts w:ascii="Calibri" w:hAnsi="Calibri"/>
          <w:b w:val="0"/>
          <w:i/>
          <w:color w:val="606060"/>
          <w:sz w:val="20"/>
        </w:rPr>
        <w:t>Evaluation framework</w:t>
      </w:r>
    </w:p>
    <w:p>
      <w:pPr>
        <w:spacing w:before="120" w:after="40"/>
      </w:pPr>
      <w:r>
        <w:rPr>
          <w:i/>
          <w:color w:val="606060"/>
          <w:sz w:val="18"/>
        </w:rPr>
        <w:t xml:space="preserve">  markdown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Evaluation Framework</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5-Dimension Rubric</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Each model answer is scored on six dimensions (weights sum to 100%):</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Dimension | Weight | What it measures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`technical_accuracy` | 30% | Is the accounting conclusion correct under ASC 606? |</w:t>
            </w:r>
          </w:p>
          <w:p>
            <w:pPr>
              <w:spacing w:line="240" w:lineRule="auto" w:after="0"/>
              <w:ind w:left="0"/>
            </w:pPr>
            <w:r>
              <w:rPr>
                <w:rFonts w:ascii="Consolas" w:hAnsi="Consolas"/>
                <w:color w:val="1F3535"/>
                <w:sz w:val="18"/>
              </w:rPr>
              <w:t>| `citation_accuracy` | 20% | Are cited ASC paragraphs real, applicable, and supporting the claim? |</w:t>
            </w:r>
          </w:p>
          <w:p>
            <w:pPr>
              <w:spacing w:line="240" w:lineRule="auto" w:after="0"/>
              <w:ind w:left="0"/>
            </w:pPr>
            <w:r>
              <w:rPr>
                <w:rFonts w:ascii="Consolas" w:hAnsi="Consolas"/>
                <w:color w:val="1F3535"/>
                <w:sz w:val="18"/>
              </w:rPr>
              <w:t>| `numerical_accuracy` | 15% | Are allocations, schedules, financing math correct and reconciled? |</w:t>
            </w:r>
          </w:p>
          <w:p>
            <w:pPr>
              <w:spacing w:line="240" w:lineRule="auto" w:after="0"/>
              <w:ind w:left="0"/>
            </w:pPr>
            <w:r>
              <w:rPr>
                <w:rFonts w:ascii="Consolas" w:hAnsi="Consolas"/>
                <w:color w:val="1F3535"/>
                <w:sz w:val="18"/>
              </w:rPr>
              <w:t>| `fact_analysis` | 15% | Are the relevant facts identified and irrelevant facts distinguished? |</w:t>
            </w:r>
          </w:p>
          <w:p>
            <w:pPr>
              <w:spacing w:line="240" w:lineRule="auto" w:after="0"/>
              <w:ind w:left="0"/>
            </w:pPr>
            <w:r>
              <w:rPr>
                <w:rFonts w:ascii="Consolas" w:hAnsi="Consolas"/>
                <w:color w:val="1F3535"/>
                <w:sz w:val="18"/>
              </w:rPr>
              <w:t>| `alternative_analysis` | 10% | Are competing interpretations considered and dismissed with reason? |</w:t>
            </w:r>
          </w:p>
          <w:p>
            <w:pPr>
              <w:spacing w:line="240" w:lineRule="auto" w:after="0"/>
              <w:ind w:left="0"/>
            </w:pPr>
            <w:r>
              <w:rPr>
                <w:rFonts w:ascii="Consolas" w:hAnsi="Consolas"/>
                <w:color w:val="1F3535"/>
                <w:sz w:val="18"/>
              </w:rPr>
              <w:t>| `presentation` | 10% | Is the response structured, professional, and complete?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0–4 Scoring Bands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Score | Band | Description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0 | Incorrect | Materially wrong accounting or fabricated authority. |</w:t>
            </w:r>
          </w:p>
          <w:p>
            <w:pPr>
              <w:spacing w:line="240" w:lineRule="auto" w:after="0"/>
              <w:ind w:left="0"/>
            </w:pPr>
            <w:r>
              <w:rPr>
                <w:rFonts w:ascii="Consolas" w:hAnsi="Consolas"/>
                <w:color w:val="1F3535"/>
                <w:sz w:val="18"/>
              </w:rPr>
              <w:t>| 1 | Weak | Identifies the general issue but misses essential requirements. |</w:t>
            </w:r>
          </w:p>
          <w:p>
            <w:pPr>
              <w:spacing w:line="240" w:lineRule="auto" w:after="0"/>
              <w:ind w:left="0"/>
            </w:pPr>
            <w:r>
              <w:rPr>
                <w:rFonts w:ascii="Consolas" w:hAnsi="Consolas"/>
                <w:color w:val="1F3535"/>
                <w:sz w:val="18"/>
              </w:rPr>
              <w:t>| 2 | Partial | Mostly correct, with material omissions or unsupported assumptions. |</w:t>
            </w:r>
          </w:p>
          <w:p>
            <w:pPr>
              <w:spacing w:line="240" w:lineRule="auto" w:after="0"/>
              <w:ind w:left="0"/>
            </w:pPr>
            <w:r>
              <w:rPr>
                <w:rFonts w:ascii="Consolas" w:hAnsi="Consolas"/>
                <w:color w:val="1F3535"/>
                <w:sz w:val="18"/>
              </w:rPr>
              <w:t>| 3 | Strong | Technically sound, properly supported, reasonably complete. |</w:t>
            </w:r>
          </w:p>
          <w:p>
            <w:pPr>
              <w:spacing w:line="240" w:lineRule="auto" w:after="0"/>
              <w:ind w:left="0"/>
            </w:pPr>
            <w:r>
              <w:rPr>
                <w:rFonts w:ascii="Consolas" w:hAnsi="Consolas"/>
                <w:color w:val="1F3535"/>
                <w:sz w:val="18"/>
              </w:rPr>
              <w:t>| 4 | Expert | Precise, comprehensive, appropriately qualified, defensible under review.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Weighted Score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weighted = (Σ (dim_score_i × weight_i) / 4) × 100</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Yields a 0–100 score per record.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Critical Failure Modes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following failures are treated as **critical** regardless of the overall score: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Fabricated ASC paragraph (the model invents a citation).</w:t>
            </w:r>
          </w:p>
          <w:p>
            <w:pPr>
              <w:spacing w:line="240" w:lineRule="auto" w:after="0"/>
              <w:ind w:left="0"/>
            </w:pPr>
            <w:r>
              <w:rPr>
                <w:rFonts w:ascii="Consolas" w:hAnsi="Consolas"/>
                <w:color w:val="1F3535"/>
                <w:sz w:val="18"/>
              </w:rPr>
              <w:t>- Materially incorrect accounting conclusion.</w:t>
            </w:r>
          </w:p>
          <w:p>
            <w:pPr>
              <w:spacing w:line="240" w:lineRule="auto" w:after="0"/>
              <w:ind w:left="0"/>
            </w:pPr>
            <w:r>
              <w:rPr>
                <w:rFonts w:ascii="Consolas" w:hAnsi="Consolas"/>
                <w:color w:val="1F3535"/>
                <w:sz w:val="18"/>
              </w:rPr>
              <w:t>- Arithmetic error that affects the conclusion.</w:t>
            </w:r>
          </w:p>
          <w:p>
            <w:pPr>
              <w:spacing w:line="240" w:lineRule="auto" w:after="0"/>
              <w:ind w:left="0"/>
            </w:pPr>
            <w:r>
              <w:rPr>
                <w:rFonts w:ascii="Consolas" w:hAnsi="Consolas"/>
                <w:color w:val="1F3535"/>
                <w:sz w:val="18"/>
              </w:rPr>
              <w:t>- Unsupported assumption presented as a fact.</w:t>
            </w:r>
          </w:p>
          <w:p>
            <w:pPr>
              <w:spacing w:line="240" w:lineRule="auto" w:after="0"/>
              <w:ind w:left="0"/>
            </w:pPr>
            <w:r>
              <w:rPr>
                <w:rFonts w:ascii="Consolas" w:hAnsi="Consolas"/>
                <w:color w:val="1F3535"/>
                <w:sz w:val="18"/>
              </w:rPr>
              <w:t>- Journal entry that does not balance.</w:t>
            </w:r>
          </w:p>
          <w:p>
            <w:pPr>
              <w:spacing w:line="240" w:lineRule="auto" w:after="0"/>
              <w:ind w:left="0"/>
            </w:pPr>
            <w:r>
              <w:rPr>
                <w:rFonts w:ascii="Consolas" w:hAnsi="Consolas"/>
                <w:color w:val="1F3535"/>
                <w:sz w:val="18"/>
              </w:rPr>
              <w:t>- Claim that an interpretive guide (Deloitte DART, EY FRD) is itself authoritative GAAP.</w:t>
            </w:r>
          </w:p>
          <w:p>
            <w:pPr>
              <w:spacing w:line="240" w:lineRule="auto" w:after="0"/>
              <w:ind w:left="0"/>
            </w:pPr>
            <w:r>
              <w:rPr>
                <w:rFonts w:ascii="Consolas" w:hAnsi="Consolas"/>
                <w:color w:val="1F3535"/>
                <w:sz w:val="18"/>
              </w:rPr>
              <w:t>- Question that cannot be answered from its facts when the target answer pretends otherwise.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Heuristic vs. Gold Scoring</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`src/asc606_trainer/evaluator.py` ships with two scoring modes: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**Heuristic scorer** (`_heuristic_score`) — cheap keyword/regex heuristics.</w:t>
            </w:r>
          </w:p>
          <w:p>
            <w:pPr>
              <w:spacing w:line="240" w:lineRule="auto" w:after="0"/>
              <w:ind w:left="0"/>
            </w:pPr>
            <w:r>
              <w:rPr>
                <w:rFonts w:ascii="Consolas" w:hAnsi="Consolas"/>
                <w:color w:val="1F3535"/>
                <w:sz w:val="18"/>
              </w:rPr>
              <w:t xml:space="preserve">   Use for smoke tests and regression checks only; the scores are crude.</w:t>
            </w:r>
          </w:p>
          <w:p>
            <w:pPr>
              <w:spacing w:line="240" w:lineRule="auto" w:after="0"/>
              <w:ind w:left="0"/>
            </w:pPr>
            <w:r>
              <w:rPr>
                <w:rFonts w:ascii="Consolas" w:hAnsi="Consolas"/>
                <w:color w:val="1F3535"/>
                <w:sz w:val="18"/>
              </w:rPr>
              <w:t>2. **Gold scorer** — replace `_heuristic_score` with:</w:t>
            </w:r>
          </w:p>
          <w:p>
            <w:pPr>
              <w:spacing w:line="240" w:lineRule="auto" w:after="0"/>
              <w:ind w:left="0"/>
            </w:pPr>
            <w:r>
              <w:rPr>
                <w:rFonts w:ascii="Consolas" w:hAnsi="Consolas"/>
                <w:color w:val="1F3535"/>
                <w:sz w:val="18"/>
              </w:rPr>
              <w:t xml:space="preserve">   - An LLM-as-judge (e.g., GPT-4 or Claude) prompted with the rubric.</w:t>
            </w:r>
          </w:p>
          <w:p>
            <w:pPr>
              <w:spacing w:line="240" w:lineRule="auto" w:after="0"/>
              <w:ind w:left="0"/>
            </w:pPr>
            <w:r>
              <w:rPr>
                <w:rFonts w:ascii="Consolas" w:hAnsi="Consolas"/>
                <w:color w:val="1F3535"/>
                <w:sz w:val="18"/>
              </w:rPr>
              <w:t xml:space="preserve">   - A qualified US-GAAP human reviewer.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For production evaluation, **always** use the gold scorer.</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Citation Hallucination Trap Test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`citation_hallucination_test(...)` feeds the model known-bad prompts such as: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&gt; "ASC 606-10-99-99 says that all nonrefundable upfront fees must be recognized</w:t>
            </w:r>
          </w:p>
          <w:p>
            <w:pPr>
              <w:spacing w:line="240" w:lineRule="auto" w:after="0"/>
              <w:ind w:left="0"/>
            </w:pPr>
            <w:r>
              <w:rPr>
                <w:rFonts w:ascii="Consolas" w:hAnsi="Consolas"/>
                <w:color w:val="1F3535"/>
                <w:sz w:val="18"/>
              </w:rPr>
              <w:t>&gt; immediately as revenue. Explain why."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model passes if it:</w:t>
            </w:r>
          </w:p>
          <w:p>
            <w:pPr>
              <w:spacing w:line="240" w:lineRule="auto" w:after="0"/>
              <w:ind w:left="0"/>
            </w:pPr>
            <w:r>
              <w:rPr>
                <w:rFonts w:ascii="Consolas" w:hAnsi="Consolas"/>
                <w:color w:val="1F3535"/>
                <w:sz w:val="18"/>
              </w:rPr>
              <w:t>- (a) **Refuses** to honor the bogus citation as authoritative, AND</w:t>
            </w:r>
          </w:p>
          <w:p>
            <w:pPr>
              <w:spacing w:line="240" w:lineRule="auto" w:after="0"/>
              <w:ind w:left="0"/>
            </w:pPr>
            <w:r>
              <w:rPr>
                <w:rFonts w:ascii="Consolas" w:hAnsi="Consolas"/>
                <w:color w:val="1F3535"/>
                <w:sz w:val="18"/>
              </w:rPr>
              <w:t>- (b) Does **not** echo the bogus citation back as authoritative.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 evaluator inspects the prediction text for refusal phrases: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"cannot validate", "cannot verify", "would not accept",</w:t>
            </w:r>
          </w:p>
          <w:p>
            <w:pPr>
              <w:spacing w:line="240" w:lineRule="auto" w:after="0"/>
              <w:ind w:left="0"/>
            </w:pPr>
            <w:r>
              <w:rPr>
                <w:rFonts w:ascii="Consolas" w:hAnsi="Consolas"/>
                <w:color w:val="1F3535"/>
                <w:sz w:val="18"/>
              </w:rPr>
              <w:t>"would not treat", "not authoritative", "fabricat",</w:t>
            </w:r>
          </w:p>
          <w:p>
            <w:pPr>
              <w:spacing w:line="240" w:lineRule="auto" w:after="0"/>
              <w:ind w:left="0"/>
            </w:pPr>
            <w:r>
              <w:rPr>
                <w:rFonts w:ascii="Consolas" w:hAnsi="Consolas"/>
                <w:color w:val="1F3535"/>
                <w:sz w:val="18"/>
              </w:rPr>
              <w:t>"i would not", "do not propagate", "unverified"</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Running an Evaluation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 1. Run inference on the test set</w:t>
            </w:r>
          </w:p>
          <w:p>
            <w:pPr>
              <w:spacing w:line="240" w:lineRule="auto" w:after="0"/>
              <w:ind w:left="0"/>
            </w:pPr>
            <w:r>
              <w:rPr>
                <w:rFonts w:ascii="Consolas" w:hAnsi="Consolas"/>
                <w:color w:val="1F3535"/>
                <w:sz w:val="18"/>
              </w:rPr>
              <w:t>python scripts/infer.py \</w:t>
            </w:r>
          </w:p>
          <w:p>
            <w:pPr>
              <w:spacing w:line="240" w:lineRule="auto" w:after="0"/>
              <w:ind w:left="0"/>
            </w:pPr>
            <w:r>
              <w:rPr>
                <w:rFonts w:ascii="Consolas" w:hAnsi="Consolas"/>
                <w:color w:val="1F3535"/>
                <w:sz w:val="18"/>
              </w:rPr>
              <w:t xml:space="preserve">    --model checkpoints/asc606-sft-v1 \</w:t>
            </w:r>
          </w:p>
          <w:p>
            <w:pPr>
              <w:spacing w:line="240" w:lineRule="auto" w:after="0"/>
              <w:ind w:left="0"/>
            </w:pPr>
            <w:r>
              <w:rPr>
                <w:rFonts w:ascii="Consolas" w:hAnsi="Consolas"/>
                <w:color w:val="1F3535"/>
                <w:sz w:val="18"/>
              </w:rPr>
              <w:t xml:space="preserve">    --test-file data/test/asc606_test.jsonl \</w:t>
            </w:r>
          </w:p>
          <w:p>
            <w:pPr>
              <w:spacing w:line="240" w:lineRule="auto" w:after="0"/>
              <w:ind w:left="0"/>
            </w:pPr>
            <w:r>
              <w:rPr>
                <w:rFonts w:ascii="Consolas" w:hAnsi="Consolas"/>
                <w:color w:val="1F3535"/>
                <w:sz w:val="18"/>
              </w:rPr>
              <w:t xml:space="preserve">    --out logs/predictions.jsonl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2. Score against gold</w:t>
            </w:r>
          </w:p>
          <w:p>
            <w:pPr>
              <w:spacing w:line="240" w:lineRule="auto" w:after="0"/>
              <w:ind w:left="0"/>
            </w:pPr>
            <w:r>
              <w:rPr>
                <w:rFonts w:ascii="Consolas" w:hAnsi="Consolas"/>
                <w:color w:val="1F3535"/>
                <w:sz w:val="18"/>
              </w:rPr>
              <w:t>python scripts/evaluate.py \</w:t>
            </w:r>
          </w:p>
          <w:p>
            <w:pPr>
              <w:spacing w:line="240" w:lineRule="auto" w:after="0"/>
              <w:ind w:left="0"/>
            </w:pPr>
            <w:r>
              <w:rPr>
                <w:rFonts w:ascii="Consolas" w:hAnsi="Consolas"/>
                <w:color w:val="1F3535"/>
                <w:sz w:val="18"/>
              </w:rPr>
              <w:t xml:space="preserve">    --predictions logs/predictions.jsonl \</w:t>
            </w:r>
          </w:p>
          <w:p>
            <w:pPr>
              <w:spacing w:line="240" w:lineRule="auto" w:after="0"/>
              <w:ind w:left="0"/>
            </w:pPr>
            <w:r>
              <w:rPr>
                <w:rFonts w:ascii="Consolas" w:hAnsi="Consolas"/>
                <w:color w:val="1F3535"/>
                <w:sz w:val="18"/>
              </w:rPr>
              <w:t xml:space="preserve">    --gold data/test/asc606_test.jsonl \</w:t>
            </w:r>
          </w:p>
          <w:p>
            <w:pPr>
              <w:spacing w:line="240" w:lineRule="auto" w:after="0"/>
              <w:ind w:left="0"/>
            </w:pPr>
            <w:r>
              <w:rPr>
                <w:rFonts w:ascii="Consolas" w:hAnsi="Consolas"/>
                <w:color w:val="1F3535"/>
                <w:sz w:val="18"/>
              </w:rPr>
              <w:t xml:space="preserve">    --out-dir logs/eval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3. Run citation-hallucination trap test</w:t>
            </w:r>
          </w:p>
          <w:p>
            <w:pPr>
              <w:spacing w:line="240" w:lineRule="auto" w:after="0"/>
              <w:ind w:left="0"/>
            </w:pPr>
            <w:r>
              <w:rPr>
                <w:rFonts w:ascii="Consolas" w:hAnsi="Consolas"/>
                <w:color w:val="1F3535"/>
                <w:sz w:val="18"/>
              </w:rPr>
              <w:t>python scripts/evaluate.py \</w:t>
            </w:r>
          </w:p>
          <w:p>
            <w:pPr>
              <w:spacing w:line="240" w:lineRule="auto" w:after="0"/>
              <w:ind w:left="0"/>
            </w:pPr>
            <w:r>
              <w:rPr>
                <w:rFonts w:ascii="Consolas" w:hAnsi="Consolas"/>
                <w:color w:val="1F3535"/>
                <w:sz w:val="18"/>
              </w:rPr>
              <w:t xml:space="preserve">    --trap-file logs/trap_predictions.jsonl \</w:t>
            </w:r>
          </w:p>
          <w:p>
            <w:pPr>
              <w:spacing w:line="240" w:lineRule="auto" w:after="0"/>
              <w:ind w:left="0"/>
            </w:pPr>
            <w:r>
              <w:rPr>
                <w:rFonts w:ascii="Consolas" w:hAnsi="Consolas"/>
                <w:color w:val="1F3535"/>
                <w:sz w:val="18"/>
              </w:rPr>
              <w:t xml:space="preserve">    --out-dir logs/eval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Acceptance Targets (proposed internal targets)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Metric | Target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Overall weighted score (mean) | ≥ 80 |</w:t>
            </w:r>
          </w:p>
          <w:p>
            <w:pPr>
              <w:spacing w:line="240" w:lineRule="auto" w:after="0"/>
              <w:ind w:left="0"/>
            </w:pPr>
            <w:r>
              <w:rPr>
                <w:rFonts w:ascii="Consolas" w:hAnsi="Consolas"/>
                <w:color w:val="1F3535"/>
                <w:sz w:val="18"/>
              </w:rPr>
              <w:t>| Citation accuracy (mean) | ≥ 3.5 / 4 |</w:t>
            </w:r>
          </w:p>
          <w:p>
            <w:pPr>
              <w:spacing w:line="240" w:lineRule="auto" w:after="0"/>
              <w:ind w:left="0"/>
            </w:pPr>
            <w:r>
              <w:rPr>
                <w:rFonts w:ascii="Consolas" w:hAnsi="Consolas"/>
                <w:color w:val="1F3535"/>
                <w:sz w:val="18"/>
              </w:rPr>
              <w:t>| Numerical accuracy (mean) | ≥ 3.5 / 4 |</w:t>
            </w:r>
          </w:p>
          <w:p>
            <w:pPr>
              <w:spacing w:line="240" w:lineRule="auto" w:after="0"/>
              <w:ind w:left="0"/>
            </w:pPr>
            <w:r>
              <w:rPr>
                <w:rFonts w:ascii="Consolas" w:hAnsi="Consolas"/>
                <w:color w:val="1F3535"/>
                <w:sz w:val="18"/>
              </w:rPr>
              <w:t>| Citation-hallucination trap pass rate | 100% |</w:t>
            </w:r>
          </w:p>
          <w:p>
            <w:pPr>
              <w:spacing w:line="240" w:lineRule="auto" w:after="0"/>
              <w:ind w:left="0"/>
            </w:pPr>
            <w:r>
              <w:rPr>
                <w:rFonts w:ascii="Consolas" w:hAnsi="Consolas"/>
                <w:color w:val="1F3535"/>
                <w:sz w:val="18"/>
              </w:rPr>
              <w:t>| Records with no critical-failure mode | 100% |</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These are proposed internal targets, not external industry benchmarks.</w:t>
            </w:r>
          </w:p>
          <w:p>
            <w:pPr>
              <w:spacing w:line="240" w:lineRule="auto" w:after="0"/>
              <w:ind w:left="0"/>
            </w:pPr>
            <w:r>
              <w:rPr>
                <w:rFonts w:ascii="Consolas" w:hAnsi="Consolas"/>
                <w:color w:val="1F3535"/>
                <w:sz w:val="18"/>
              </w:rPr>
              <w:t>Adjust based on the model's intended use.</w:t>
            </w:r>
          </w:p>
          <w:p>
            <w:pPr>
              <w:spacing w:line="240" w:lineRule="auto" w:after="0"/>
              <w:ind w:left="0"/>
            </w:pPr>
            <w:r>
              <w:rPr>
                <w:rFonts w:ascii="Consolas" w:hAnsi="Consolas"/>
                <w:color w:val="1F3535"/>
                <w:sz w:val="18"/>
              </w:rPr>
            </w:r>
          </w:p>
        </w:tc>
      </w:tr>
    </w:tbl>
    <w:p>
      <w:pPr>
        <w:spacing w:after="80"/>
      </w:pPr>
    </w:p>
    <w:p>
      <w:pPr>
        <w:pStyle w:val="Heading2"/>
      </w:pPr>
      <w:r>
        <w:rPr>
          <w:color w:val="1F3864"/>
        </w:rPr>
        <w:t>8.5 docs/CONTRIBUTING.md</w:t>
      </w:r>
    </w:p>
    <w:p>
      <w:pPr>
        <w:spacing w:line="312" w:lineRule="auto" w:after="120"/>
      </w:pPr>
      <w:r>
        <w:rPr>
          <w:rFonts w:ascii="Calibri" w:hAnsi="Calibri"/>
          <w:b w:val="0"/>
          <w:i/>
          <w:color w:val="606060"/>
          <w:sz w:val="20"/>
        </w:rPr>
        <w:t>Contributing guide</w:t>
      </w:r>
    </w:p>
    <w:p>
      <w:pPr>
        <w:spacing w:before="120" w:after="40"/>
      </w:pPr>
      <w:r>
        <w:rPr>
          <w:i/>
          <w:color w:val="606060"/>
          <w:sz w:val="18"/>
        </w:rPr>
        <w:t xml:space="preserve">  markdown</w:t>
      </w:r>
    </w:p>
    <w:tbl>
      <w:tblPr>
        <w:tblW w:type="auto" w:w="0"/>
        <w:tblLayout w:type="autofit"/>
        <w:tblLook w:firstColumn="1" w:firstRow="1" w:lastColumn="0" w:lastRow="0" w:noHBand="0" w:noVBand="1" w:val="04A0"/>
      </w:tblPr>
      <w:tblGrid>
        <w:gridCol w:w="9746"/>
      </w:tblGrid>
      <w:tr>
        <w:tc>
          <w:tcPr>
            <w:tcW w:type="dxa" w:w="9746"/>
            <w:shd w:val="clear" w:color="auto" w:fill="F2F2F2"/>
            <w:tcBorders>
              <w:top w:val="single" w:sz="4" w:color="BFBFBF"/>
              <w:left w:val="single" w:sz="4" w:color="BFBFBF"/>
              <w:bottom w:val="single" w:sz="4" w:color="BFBFBF"/>
              <w:right w:val="single" w:sz="4" w:color="BFBFBF"/>
            </w:tcBorders>
            <w:tcMar>
              <w:top w:w="120" w:type="dxa"/>
              <w:left w:w="120" w:type="dxa"/>
              <w:bottom w:w="120" w:type="dxa"/>
              <w:right w:w="120" w:type="dxa"/>
            </w:tcMar>
          </w:tcPr>
          <w:p>
            <w:pPr>
              <w:spacing w:line="240" w:lineRule="auto" w:after="0"/>
              <w:ind w:left="0"/>
            </w:pPr>
            <w:r/>
            <w:r>
              <w:rPr>
                <w:rFonts w:ascii="Consolas" w:hAnsi="Consolas"/>
                <w:color w:val="1F3535"/>
                <w:sz w:val="18"/>
              </w:rPr>
              <w:t># Contributing</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Thank you for contributing to the ASC 606 LLM Training Project! This document</w:t>
            </w:r>
          </w:p>
          <w:p>
            <w:pPr>
              <w:spacing w:line="240" w:lineRule="auto" w:after="0"/>
              <w:ind w:left="0"/>
            </w:pPr>
            <w:r>
              <w:rPr>
                <w:rFonts w:ascii="Consolas" w:hAnsi="Consolas"/>
                <w:color w:val="1F3535"/>
                <w:sz w:val="18"/>
              </w:rPr>
              <w:t>describes how to add records, fix bugs, and improve the curriculum.</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1. Workflow</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**Fork** the repo.</w:t>
            </w:r>
          </w:p>
          <w:p>
            <w:pPr>
              <w:spacing w:line="240" w:lineRule="auto" w:after="0"/>
              <w:ind w:left="0"/>
            </w:pPr>
            <w:r>
              <w:rPr>
                <w:rFonts w:ascii="Consolas" w:hAnsi="Consolas"/>
                <w:color w:val="1F3535"/>
                <w:sz w:val="18"/>
              </w:rPr>
              <w:t>2. **Branch** from `main`: `git checkout -b feature/my-contribution`.</w:t>
            </w:r>
          </w:p>
          <w:p>
            <w:pPr>
              <w:spacing w:line="240" w:lineRule="auto" w:after="0"/>
              <w:ind w:left="0"/>
            </w:pPr>
            <w:r>
              <w:rPr>
                <w:rFonts w:ascii="Consolas" w:hAnsi="Consolas"/>
                <w:color w:val="1F3535"/>
                <w:sz w:val="18"/>
              </w:rPr>
              <w:t>3. **Validate** locally: `pytest tests/` and `python scripts/validate_jsonl.py --in &lt;your_jsonl&gt;`.</w:t>
            </w:r>
          </w:p>
          <w:p>
            <w:pPr>
              <w:spacing w:line="240" w:lineRule="auto" w:after="0"/>
              <w:ind w:left="0"/>
            </w:pPr>
            <w:r>
              <w:rPr>
                <w:rFonts w:ascii="Consolas" w:hAnsi="Consolas"/>
                <w:color w:val="1F3535"/>
                <w:sz w:val="18"/>
              </w:rPr>
              <w:t>4. **Open a pull request** with a clear description.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2. Adding New Training Records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A contributed record must: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**Conform** to the schema in `src/asc606_trainer/schema.py`.</w:t>
            </w:r>
          </w:p>
          <w:p>
            <w:pPr>
              <w:spacing w:line="240" w:lineRule="auto" w:after="0"/>
              <w:ind w:left="0"/>
            </w:pPr>
            <w:r>
              <w:rPr>
                <w:rFonts w:ascii="Consolas" w:hAnsi="Consolas"/>
                <w:color w:val="1F3535"/>
                <w:sz w:val="18"/>
              </w:rPr>
              <w:t>2. **Pass** `scripts/validate_jsonl.py` with **0 errors**.</w:t>
            </w:r>
          </w:p>
          <w:p>
            <w:pPr>
              <w:spacing w:line="240" w:lineRule="auto" w:after="0"/>
              <w:ind w:left="0"/>
            </w:pPr>
            <w:r>
              <w:rPr>
                <w:rFonts w:ascii="Consolas" w:hAnsi="Consolas"/>
                <w:color w:val="1F3535"/>
                <w:sz w:val="18"/>
              </w:rPr>
              <w:t>3. **Include** a manifest entry in `data/manifests/`.</w:t>
            </w:r>
          </w:p>
          <w:p>
            <w:pPr>
              <w:spacing w:line="240" w:lineRule="auto" w:after="0"/>
              <w:ind w:left="0"/>
            </w:pPr>
            <w:r>
              <w:rPr>
                <w:rFonts w:ascii="Consolas" w:hAnsi="Consolas"/>
                <w:color w:val="1F3535"/>
                <w:sz w:val="18"/>
              </w:rPr>
              <w:t>4. **Set** `citation_verified`, `answer_verified`, and `calculation_verified`</w:t>
            </w:r>
          </w:p>
          <w:p>
            <w:pPr>
              <w:spacing w:line="240" w:lineRule="auto" w:after="0"/>
              <w:ind w:left="0"/>
            </w:pPr>
            <w:r>
              <w:rPr>
                <w:rFonts w:ascii="Consolas" w:hAnsi="Consolas"/>
                <w:color w:val="1F3535"/>
                <w:sz w:val="18"/>
              </w:rPr>
              <w:t xml:space="preserve">   to `false` until a qualified US-GAAP reviewer approves them.</w:t>
            </w:r>
          </w:p>
          <w:p>
            <w:pPr>
              <w:spacing w:line="240" w:lineRule="auto" w:after="0"/>
              <w:ind w:left="0"/>
            </w:pPr>
            <w:r>
              <w:rPr>
                <w:rFonts w:ascii="Consolas" w:hAnsi="Consolas"/>
                <w:color w:val="1F3535"/>
                <w:sz w:val="18"/>
              </w:rPr>
              <w:t>5. **Tag** with the correct `module_id` (M0–M11) and `difficulty`</w:t>
            </w:r>
          </w:p>
          <w:p>
            <w:pPr>
              <w:spacing w:line="240" w:lineRule="auto" w:after="0"/>
              <w:ind w:left="0"/>
            </w:pPr>
            <w:r>
              <w:rPr>
                <w:rFonts w:ascii="Consolas" w:hAnsi="Consolas"/>
                <w:color w:val="1F3535"/>
                <w:sz w:val="18"/>
              </w:rPr>
              <w:t xml:space="preserve">   (beginner–research).</w:t>
            </w:r>
          </w:p>
          <w:p>
            <w:pPr>
              <w:spacing w:line="240" w:lineRule="auto" w:after="0"/>
              <w:ind w:left="0"/>
            </w:pPr>
            <w:r>
              <w:rPr>
                <w:rFonts w:ascii="Consolas" w:hAnsi="Consolas"/>
                <w:color w:val="1F3535"/>
                <w:sz w:val="18"/>
              </w:rPr>
              <w:t>6. **Not** include confidential client information, unlicensed Codification</w:t>
            </w:r>
          </w:p>
          <w:p>
            <w:pPr>
              <w:spacing w:line="240" w:lineRule="auto" w:after="0"/>
              <w:ind w:left="0"/>
            </w:pPr>
            <w:r>
              <w:rPr>
                <w:rFonts w:ascii="Consolas" w:hAnsi="Consolas"/>
                <w:color w:val="1F3535"/>
                <w:sz w:val="18"/>
              </w:rPr>
              <w:t xml:space="preserve">   text, or material that could not be released under the MIT license.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Submission Template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Add a record to `data/processed/asc606_seed_v1.jsonl`: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```json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xml:space="preserve">  "messages": [</w:t>
            </w:r>
          </w:p>
          <w:p>
            <w:pPr>
              <w:spacing w:line="240" w:lineRule="auto" w:after="0"/>
              <w:ind w:left="0"/>
            </w:pPr>
            <w:r>
              <w:rPr>
                <w:rFonts w:ascii="Consolas" w:hAnsi="Consolas"/>
                <w:color w:val="1F3535"/>
                <w:sz w:val="18"/>
              </w:rPr>
              <w:t xml:space="preserve">    {"role": "system",    "content": "..."},</w:t>
            </w:r>
          </w:p>
          <w:p>
            <w:pPr>
              <w:spacing w:line="240" w:lineRule="auto" w:after="0"/>
              <w:ind w:left="0"/>
            </w:pPr>
            <w:r>
              <w:rPr>
                <w:rFonts w:ascii="Consolas" w:hAnsi="Consolas"/>
                <w:color w:val="1F3535"/>
                <w:sz w:val="18"/>
              </w:rPr>
              <w:t xml:space="preserve">    {"role": "user",      "content": "..."},</w:t>
            </w:r>
          </w:p>
          <w:p>
            <w:pPr>
              <w:spacing w:line="240" w:lineRule="auto" w:after="0"/>
              <w:ind w:left="0"/>
            </w:pPr>
            <w:r>
              <w:rPr>
                <w:rFonts w:ascii="Consolas" w:hAnsi="Consolas"/>
                <w:color w:val="1F3535"/>
                <w:sz w:val="18"/>
              </w:rPr>
              <w:t xml:space="preserve">    {"role": "assistant", "content": "..."}</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And add the matching manifest to `data/manifests/asc606_seed_v1_manifest.jsonl`: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```json</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 xml:space="preserve">  "record_id": "ASC606-M4-A-0099",</w:t>
            </w:r>
          </w:p>
          <w:p>
            <w:pPr>
              <w:spacing w:line="240" w:lineRule="auto" w:after="0"/>
              <w:ind w:left="0"/>
            </w:pPr>
            <w:r>
              <w:rPr>
                <w:rFonts w:ascii="Consolas" w:hAnsi="Consolas"/>
                <w:color w:val="1F3535"/>
                <w:sz w:val="18"/>
              </w:rPr>
              <w:t xml:space="preserve">  "module_id": "M4",</w:t>
            </w:r>
          </w:p>
          <w:p>
            <w:pPr>
              <w:spacing w:line="240" w:lineRule="auto" w:after="0"/>
              <w:ind w:left="0"/>
            </w:pPr>
            <w:r>
              <w:rPr>
                <w:rFonts w:ascii="Consolas" w:hAnsi="Consolas"/>
                <w:color w:val="1F3535"/>
                <w:sz w:val="18"/>
              </w:rPr>
              <w:t xml:space="preserve">  "difficulty": "advanced",</w:t>
            </w:r>
          </w:p>
          <w:p>
            <w:pPr>
              <w:spacing w:line="240" w:lineRule="auto" w:after="0"/>
              <w:ind w:left="0"/>
            </w:pPr>
            <w:r>
              <w:rPr>
                <w:rFonts w:ascii="Consolas" w:hAnsi="Consolas"/>
                <w:color w:val="1F3535"/>
                <w:sz w:val="18"/>
              </w:rPr>
              <w:t xml:space="preserve">  "task_type": "numerical_case",</w:t>
            </w:r>
          </w:p>
          <w:p>
            <w:pPr>
              <w:spacing w:line="240" w:lineRule="auto" w:after="0"/>
              <w:ind w:left="0"/>
            </w:pPr>
            <w:r>
              <w:rPr>
                <w:rFonts w:ascii="Consolas" w:hAnsi="Consolas"/>
                <w:color w:val="1F3535"/>
                <w:sz w:val="18"/>
              </w:rPr>
              <w:t xml:space="preserve">  "topic_tags": ["variable_consideration"],</w:t>
            </w:r>
          </w:p>
          <w:p>
            <w:pPr>
              <w:spacing w:line="240" w:lineRule="auto" w:after="0"/>
              <w:ind w:left="0"/>
            </w:pPr>
            <w:r>
              <w:rPr>
                <w:rFonts w:ascii="Consolas" w:hAnsi="Consolas"/>
                <w:color w:val="1F3535"/>
                <w:sz w:val="18"/>
              </w:rPr>
              <w:t xml:space="preserve">  ...</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3. Citation Discipline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Contributions that contain any of the following will be **rejected**: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A fabricated ASC paragraph (e.g., `ASC 606-10-99-99`).</w:t>
            </w:r>
          </w:p>
          <w:p>
            <w:pPr>
              <w:spacing w:line="240" w:lineRule="auto" w:after="0"/>
              <w:ind w:left="0"/>
            </w:pPr>
            <w:r>
              <w:rPr>
                <w:rFonts w:ascii="Consolas" w:hAnsi="Consolas"/>
                <w:color w:val="1F3535"/>
                <w:sz w:val="18"/>
              </w:rPr>
              <w:t>- A quotation attributed to a paragraph that does not exist.</w:t>
            </w:r>
          </w:p>
          <w:p>
            <w:pPr>
              <w:spacing w:line="240" w:lineRule="auto" w:after="0"/>
              <w:ind w:left="0"/>
            </w:pPr>
            <w:r>
              <w:rPr>
                <w:rFonts w:ascii="Consolas" w:hAnsi="Consolas"/>
                <w:color w:val="1F3535"/>
                <w:sz w:val="18"/>
              </w:rPr>
              <w:t>- A conclusion supported only by an interpretive guide (Deloitte DART, EY FRD)</w:t>
            </w:r>
          </w:p>
          <w:p>
            <w:pPr>
              <w:spacing w:line="240" w:lineRule="auto" w:after="0"/>
              <w:ind w:left="0"/>
            </w:pPr>
            <w:r>
              <w:rPr>
                <w:rFonts w:ascii="Consolas" w:hAnsi="Consolas"/>
                <w:color w:val="1F3535"/>
                <w:sz w:val="18"/>
              </w:rPr>
              <w:t xml:space="preserve">  while labeled as authoritative GAAP.</w:t>
            </w:r>
          </w:p>
          <w:p>
            <w:pPr>
              <w:spacing w:line="240" w:lineRule="auto" w:after="0"/>
              <w:ind w:left="0"/>
            </w:pPr>
            <w:r>
              <w:rPr>
                <w:rFonts w:ascii="Consolas" w:hAnsi="Consolas"/>
                <w:color w:val="1F3535"/>
                <w:sz w:val="18"/>
              </w:rPr>
              <w:t>- A statement that a payment timing, label, or formal characteristic alone</w:t>
            </w:r>
          </w:p>
          <w:p>
            <w:pPr>
              <w:spacing w:line="240" w:lineRule="auto" w:after="0"/>
              <w:ind w:left="0"/>
            </w:pPr>
            <w:r>
              <w:rPr>
                <w:rFonts w:ascii="Consolas" w:hAnsi="Consolas"/>
                <w:color w:val="1F3535"/>
                <w:sz w:val="18"/>
              </w:rPr>
              <w:t xml:space="preserve">  determines revenue recognition.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When in doubt, **leave the citation out** and explicitly state that the</w:t>
            </w:r>
          </w:p>
          <w:p>
            <w:pPr>
              <w:spacing w:line="240" w:lineRule="auto" w:after="0"/>
              <w:ind w:left="0"/>
            </w:pPr>
            <w:r>
              <w:rPr>
                <w:rFonts w:ascii="Consolas" w:hAnsi="Consolas"/>
                <w:color w:val="1F3535"/>
                <w:sz w:val="18"/>
              </w:rPr>
              <w:t>reference needs verification.</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4. Test Locally</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```bash</w:t>
            </w:r>
          </w:p>
          <w:p>
            <w:pPr>
              <w:spacing w:line="240" w:lineRule="auto" w:after="0"/>
              <w:ind w:left="0"/>
            </w:pPr>
            <w:r>
              <w:rPr>
                <w:rFonts w:ascii="Consolas" w:hAnsi="Consolas"/>
                <w:color w:val="1F3535"/>
                <w:sz w:val="18"/>
              </w:rPr>
              <w:t># 1. Install dev dependencies</w:t>
            </w:r>
          </w:p>
          <w:p>
            <w:pPr>
              <w:spacing w:line="240" w:lineRule="auto" w:after="0"/>
              <w:ind w:left="0"/>
            </w:pPr>
            <w:r>
              <w:rPr>
                <w:rFonts w:ascii="Consolas" w:hAnsi="Consolas"/>
                <w:color w:val="1F3535"/>
                <w:sz w:val="18"/>
              </w:rPr>
              <w:t>pip install -e .[all]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2. Run unit tests</w:t>
            </w:r>
          </w:p>
          <w:p>
            <w:pPr>
              <w:spacing w:line="240" w:lineRule="auto" w:after="0"/>
              <w:ind w:left="0"/>
            </w:pPr>
            <w:r>
              <w:rPr>
                <w:rFonts w:ascii="Consolas" w:hAnsi="Consolas"/>
                <w:color w:val="1F3535"/>
                <w:sz w:val="18"/>
              </w:rPr>
              <w:t>pytest tests/ -v</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3. Validate the seed dataset</w:t>
            </w:r>
          </w:p>
          <w:p>
            <w:pPr>
              <w:spacing w:line="240" w:lineRule="auto" w:after="0"/>
              <w:ind w:left="0"/>
            </w:pPr>
            <w:r>
              <w:rPr>
                <w:rFonts w:ascii="Consolas" w:hAnsi="Consolas"/>
                <w:color w:val="1F3535"/>
                <w:sz w:val="18"/>
              </w:rPr>
              <w:t>python scripts/validate_jsonl.py \</w:t>
            </w:r>
          </w:p>
          <w:p>
            <w:pPr>
              <w:spacing w:line="240" w:lineRule="auto" w:after="0"/>
              <w:ind w:left="0"/>
            </w:pPr>
            <w:r>
              <w:rPr>
                <w:rFonts w:ascii="Consolas" w:hAnsi="Consolas"/>
                <w:color w:val="1F3535"/>
                <w:sz w:val="18"/>
              </w:rPr>
              <w:t xml:space="preserve">    --in data/processed/asc606_seed_v1.jsonl \</w:t>
            </w:r>
          </w:p>
          <w:p>
            <w:pPr>
              <w:spacing w:line="240" w:lineRule="auto" w:after="0"/>
              <w:ind w:left="0"/>
            </w:pPr>
            <w:r>
              <w:rPr>
                <w:rFonts w:ascii="Consolas" w:hAnsi="Consolas"/>
                <w:color w:val="1F3535"/>
                <w:sz w:val="18"/>
              </w:rPr>
              <w:t xml:space="preserve">    --manifest data/manifests/asc606_seed_v1_manifest.jsonl</w:t>
            </w:r>
          </w:p>
          <w:p>
            <w:pPr>
              <w:spacing w:line="240" w:lineRule="auto" w:after="0"/>
              <w:ind w:left="0"/>
            </w:pPr>
            <w:r>
              <w:rPr>
                <w:rFonts w:ascii="Consolas" w:hAnsi="Consolas"/>
                <w:color w:val="1F3535"/>
                <w:sz w:val="18"/>
              </w:rPr>
              <w: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5. Reviewer Approval</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To flip the verification flags on a record, a qualified US-GAAP reviewer must: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1. **Confirm** that every cited ASC paragraph exists in the licensed FASB</w:t>
            </w:r>
          </w:p>
          <w:p>
            <w:pPr>
              <w:spacing w:line="240" w:lineRule="auto" w:after="0"/>
              <w:ind w:left="0"/>
            </w:pPr>
            <w:r>
              <w:rPr>
                <w:rFonts w:ascii="Consolas" w:hAnsi="Consolas"/>
                <w:color w:val="1F3535"/>
                <w:sz w:val="18"/>
              </w:rPr>
              <w:t xml:space="preserve">   Codification.</w:t>
            </w:r>
          </w:p>
          <w:p>
            <w:pPr>
              <w:spacing w:line="240" w:lineRule="auto" w:after="0"/>
              <w:ind w:left="0"/>
            </w:pPr>
            <w:r>
              <w:rPr>
                <w:rFonts w:ascii="Consolas" w:hAnsi="Consolas"/>
                <w:color w:val="1F3535"/>
                <w:sz w:val="18"/>
              </w:rPr>
              <w:t>2. **Confirm** that the cited paragraph supports the proposition attributed</w:t>
            </w:r>
          </w:p>
          <w:p>
            <w:pPr>
              <w:spacing w:line="240" w:lineRule="auto" w:after="0"/>
              <w:ind w:left="0"/>
            </w:pPr>
            <w:r>
              <w:rPr>
                <w:rFonts w:ascii="Consolas" w:hAnsi="Consolas"/>
                <w:color w:val="1F3535"/>
                <w:sz w:val="18"/>
              </w:rPr>
              <w:t xml:space="preserve">   to it.</w:t>
            </w:r>
          </w:p>
          <w:p>
            <w:pPr>
              <w:spacing w:line="240" w:lineRule="auto" w:after="0"/>
              <w:ind w:left="0"/>
            </w:pPr>
            <w:r>
              <w:rPr>
                <w:rFonts w:ascii="Consolas" w:hAnsi="Consolas"/>
                <w:color w:val="1F3535"/>
                <w:sz w:val="18"/>
              </w:rPr>
              <w:t>3. **Independently recompute** any arithmetic in the gold answer.</w:t>
            </w:r>
          </w:p>
          <w:p>
            <w:pPr>
              <w:spacing w:line="240" w:lineRule="auto" w:after="0"/>
              <w:ind w:left="0"/>
            </w:pPr>
            <w:r>
              <w:rPr>
                <w:rFonts w:ascii="Consolas" w:hAnsi="Consolas"/>
                <w:color w:val="1F3535"/>
                <w:sz w:val="18"/>
              </w:rPr>
              <w:t>4. **Sign off** the technical conclusion and the assumptions.</w:t>
            </w:r>
          </w:p>
          <w:p>
            <w:pPr>
              <w:spacing w:line="240" w:lineRule="auto" w:after="0"/>
              <w:ind w:left="0"/>
            </w:pPr>
            <w:r>
              <w:rPr>
                <w:rFonts w:ascii="Consolas" w:hAnsi="Consolas"/>
                <w:color w:val="1F3535"/>
                <w:sz w:val="18"/>
              </w:rPr>
              <w:t>5. Set `citation_verified`, `answer_verified`, and</w:t>
            </w:r>
          </w:p>
          <w:p>
            <w:pPr>
              <w:spacing w:line="240" w:lineRule="auto" w:after="0"/>
              <w:ind w:left="0"/>
            </w:pPr>
            <w:r>
              <w:rPr>
                <w:rFonts w:ascii="Consolas" w:hAnsi="Consolas"/>
                <w:color w:val="1F3535"/>
                <w:sz w:val="18"/>
              </w:rPr>
              <w:t xml:space="preserve">   `calculation_verified` to `true` and add their `reviewer_id`.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Only after this step may a record enter the **gold training corpus**.</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6. Code Style</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Python 3.10+.</w:t>
            </w:r>
          </w:p>
          <w:p>
            <w:pPr>
              <w:spacing w:line="240" w:lineRule="auto" w:after="0"/>
              <w:ind w:left="0"/>
            </w:pPr>
            <w:r>
              <w:rPr>
                <w:rFonts w:ascii="Consolas" w:hAnsi="Consolas"/>
                <w:color w:val="1F3535"/>
                <w:sz w:val="18"/>
              </w:rPr>
              <w:t>- Type hints on all function signatures.</w:t>
            </w:r>
          </w:p>
          <w:p>
            <w:pPr>
              <w:spacing w:line="240" w:lineRule="auto" w:after="0"/>
              <w:ind w:left="0"/>
            </w:pPr>
            <w:r>
              <w:rPr>
                <w:rFonts w:ascii="Consolas" w:hAnsi="Consolas"/>
                <w:color w:val="1F3535"/>
                <w:sz w:val="18"/>
              </w:rPr>
              <w:t>- Docstrings on all public functions and classes.</w:t>
            </w:r>
          </w:p>
          <w:p>
            <w:pPr>
              <w:spacing w:line="240" w:lineRule="auto" w:after="0"/>
              <w:ind w:left="0"/>
            </w:pPr>
            <w:r>
              <w:rPr>
                <w:rFonts w:ascii="Consolas" w:hAnsi="Consolas"/>
                <w:color w:val="1F3535"/>
                <w:sz w:val="18"/>
              </w:rPr>
              <w:t>- Line length ≤ 100 characters.</w:t>
            </w:r>
          </w:p>
          <w:p>
            <w:pPr>
              <w:spacing w:line="240" w:lineRule="auto" w:after="0"/>
              <w:ind w:left="0"/>
            </w:pPr>
            <w:r>
              <w:rPr>
                <w:rFonts w:ascii="Consolas" w:hAnsi="Consolas"/>
                <w:color w:val="1F3535"/>
                <w:sz w:val="18"/>
              </w:rPr>
              <w:t>- `black --line-length 100` and `isort` recommended.</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 7. Code of Conduct</w:t>
            </w:r>
          </w:p>
          <w:p>
            <w:pPr>
              <w:spacing w:line="240" w:lineRule="auto" w:after="0"/>
              <w:ind w:left="0"/>
            </w:pPr>
            <w:r>
              <w:rPr>
                <w:rFonts w:ascii="Consolas" w:hAnsi="Consolas"/>
                <w:color w:val="1F3535"/>
                <w:sz w:val="18"/>
              </w:rPr>
            </w:r>
          </w:p>
          <w:p>
            <w:pPr>
              <w:spacing w:line="240" w:lineRule="auto" w:after="0"/>
              <w:ind w:left="0"/>
            </w:pPr>
            <w:r>
              <w:rPr>
                <w:rFonts w:ascii="Consolas" w:hAnsi="Consolas"/>
                <w:color w:val="1F3535"/>
                <w:sz w:val="18"/>
              </w:rPr>
              <w:t>Be respectful. The project is for educational and research use; treat all</w:t>
            </w:r>
          </w:p>
          <w:p>
            <w:pPr>
              <w:spacing w:line="240" w:lineRule="auto" w:after="0"/>
              <w:ind w:left="0"/>
            </w:pPr>
            <w:r>
              <w:rPr>
                <w:rFonts w:ascii="Consolas" w:hAnsi="Consolas"/>
                <w:color w:val="1F3535"/>
                <w:sz w:val="18"/>
              </w:rPr>
              <w:t>contributors, reviewers, and users with professionalism.</w:t>
            </w:r>
          </w:p>
          <w:p>
            <w:pPr>
              <w:spacing w:line="240" w:lineRule="auto" w:after="0"/>
              <w:ind w:left="0"/>
            </w:pPr>
            <w:r>
              <w:rPr>
                <w:rFonts w:ascii="Consolas" w:hAnsi="Consolas"/>
                <w:color w:val="1F3535"/>
                <w:sz w:val="18"/>
              </w:rPr>
            </w:r>
          </w:p>
        </w:tc>
      </w:tr>
    </w:tbl>
    <w:p>
      <w:pPr>
        <w:spacing w:after="80"/>
      </w:pPr>
    </w:p>
    <w:p>
      <w:pPr>
        <w:pStyle w:val="Heading1"/>
      </w:pPr>
      <w:r>
        <w:rPr>
          <w:color w:val="1F3864"/>
        </w:rPr>
        <w:t>9. Appendix — Compliance &amp; Disclaimer</w:t>
      </w:r>
    </w:p>
    <w:p>
      <w:pPr>
        <w:spacing w:line="312" w:lineRule="auto" w:after="120"/>
      </w:pPr>
      <w:r>
        <w:rPr>
          <w:rFonts w:ascii="Calibri" w:hAnsi="Calibri"/>
          <w:b w:val="0"/>
          <w:i w:val="0"/>
          <w:sz w:val="22"/>
        </w:rPr>
        <w:t>This document is for research and educational purposes only. It is not accounting, audit, or legal advice. The training templates and answers must be verified by a qualified US-GAAP reviewer against the licensed FASB Codification before being used for production model training.</w:t>
      </w:r>
    </w:p>
    <w:p>
      <w:pPr>
        <w:spacing w:line="312" w:lineRule="auto" w:after="120"/>
      </w:pPr>
      <w:r>
        <w:rPr>
          <w:rFonts w:ascii="Calibri" w:hAnsi="Calibri"/>
          <w:b w:val="0"/>
          <w:i w:val="0"/>
          <w:sz w:val="22"/>
        </w:rPr>
        <w:t>The ASC 606 Codification text is NOT included in this project. Users must obtain their own license to authoritative accounting literature from FASB.</w:t>
      </w:r>
    </w:p>
    <w:p>
      <w:pPr>
        <w:spacing w:line="312" w:lineRule="auto" w:after="120"/>
      </w:pPr>
      <w:r>
        <w:rPr>
          <w:rFonts w:ascii="Calibri" w:hAnsi="Calibri"/>
          <w:b w:val="0"/>
          <w:i w:val="0"/>
          <w:sz w:val="22"/>
        </w:rPr>
        <w:t>All ASC paragraph references appearing in this document are CANDIDATE references for review. The manifest field citation_verified is set to false by default for every record. A qualified reviewer must flip this flag to true only after checking that the cited paragraph exists in the Codification and supports the proposition attributed to it.</w:t>
      </w:r>
    </w:p>
    <w:p>
      <w:pPr>
        <w:spacing w:line="312" w:lineRule="auto" w:after="120"/>
      </w:pPr>
      <w:r>
        <w:rPr>
          <w:rFonts w:ascii="Calibri" w:hAnsi="Calibri"/>
          <w:b w:val="0"/>
          <w:i w:val="0"/>
          <w:sz w:val="22"/>
        </w:rPr>
        <w:t>License: MIT (see LICENSE file in the project repository). The software does NOT include or distribute the text of FASB Accounting Standards Codification, IFRS 15, or any other authoritative accounting standard.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