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rFonts w:ascii="SimHei" w:cs="SimHei" w:hAnsi="SimHei" w:eastAsia="SimHei"/>
          <w:sz w:val="32"/>
          <w:szCs w:val="32"/>
          <w:lang w:val="zh-TW" w:eastAsia="zh-TW"/>
        </w:rPr>
      </w:pPr>
      <w:r>
        <w:rPr>
          <w:rFonts w:eastAsia="SimHei" w:hint="eastAsia"/>
          <w:sz w:val="32"/>
          <w:szCs w:val="32"/>
          <w:rtl w:val="0"/>
          <w:lang w:val="zh-TW" w:eastAsia="zh-TW"/>
        </w:rPr>
        <w:t>华南理工大学国内公务出差审批单</w:t>
      </w:r>
    </w:p>
    <w:p>
      <w:pPr>
        <w:pStyle w:val="Normal.0"/>
        <w:rPr>
          <w:sz w:val="24"/>
          <w:szCs w:val="24"/>
        </w:rPr>
      </w:pPr>
    </w:p>
    <w:tbl>
      <w:tblPr>
        <w:tblW w:w="972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1"/>
        <w:gridCol w:w="1418"/>
        <w:gridCol w:w="1276"/>
        <w:gridCol w:w="1279"/>
        <w:gridCol w:w="1348"/>
        <w:gridCol w:w="1349"/>
        <w:gridCol w:w="1349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出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差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人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姓名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王</w:t>
            </w:r>
            <w:r>
              <w:rPr>
                <w:rFonts w:ascii="SimSun" w:hAnsi="SimSun"/>
                <w:sz w:val="24"/>
                <w:szCs w:val="24"/>
                <w:rtl w:val="0"/>
                <w:lang w:val="zh-CN" w:eastAsia="zh-CN"/>
              </w:rPr>
              <w:t>XX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张</w:t>
            </w:r>
            <w:r>
              <w:rPr>
                <w:rFonts w:ascii="SimSun" w:hAnsi="SimSun"/>
                <w:sz w:val="24"/>
                <w:szCs w:val="24"/>
                <w:rtl w:val="0"/>
                <w:lang w:val="zh-CN" w:eastAsia="zh-CN"/>
              </w:rPr>
              <w:t>XX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孙</w:t>
            </w:r>
            <w:r>
              <w:rPr>
                <w:rFonts w:ascii="SimSun" w:hAnsi="SimSun"/>
                <w:sz w:val="24"/>
                <w:szCs w:val="24"/>
                <w:rtl w:val="0"/>
                <w:lang w:val="zh-CN" w:eastAsia="zh-CN"/>
              </w:rPr>
              <w:t>XX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吴</w:t>
            </w:r>
            <w:r>
              <w:rPr>
                <w:sz w:val="24"/>
                <w:szCs w:val="24"/>
                <w:rtl w:val="0"/>
                <w:lang w:val="zh-CN" w:eastAsia="zh-CN"/>
              </w:rPr>
              <w:t>XX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周</w:t>
            </w:r>
            <w:r>
              <w:rPr>
                <w:rFonts w:ascii="SimSun" w:hAnsi="SimSun"/>
                <w:sz w:val="24"/>
                <w:szCs w:val="24"/>
                <w:rtl w:val="0"/>
                <w:lang w:val="zh-CN" w:eastAsia="zh-CN"/>
              </w:rPr>
              <w:t>XX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黄</w:t>
            </w:r>
            <w:r>
              <w:rPr>
                <w:rFonts w:ascii="SimSun" w:hAnsi="SimSun"/>
                <w:sz w:val="24"/>
                <w:szCs w:val="24"/>
                <w:rtl w:val="0"/>
                <w:lang w:val="zh-CN" w:eastAsia="zh-CN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836" w:hRule="atLeast"/>
        </w:trPr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单位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软件学院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软件学院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数学学院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数学学院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计算机科学与工程学院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z w:val="24"/>
                <w:szCs w:val="24"/>
              </w:rPr>
            </w:pPr>
            <w:r>
              <w:rPr>
                <w:rFonts w:eastAsia="SimSun" w:hint="eastAsia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职务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职称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(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级别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本科生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本科生</w:t>
            </w:r>
          </w:p>
        </w:tc>
        <w:tc>
          <w:tcPr>
            <w:tcW w:type="dxa" w:w="1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本科生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本科生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本科生</w:t>
            </w:r>
          </w:p>
        </w:tc>
      </w:tr>
      <w:tr>
        <w:tblPrEx>
          <w:shd w:val="clear" w:color="auto" w:fill="ced7e7"/>
        </w:tblPrEx>
        <w:trPr>
          <w:trHeight w:val="486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目的地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南昌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出差期间</w:t>
            </w:r>
          </w:p>
        </w:tc>
        <w:tc>
          <w:tcPr>
            <w:tcW w:type="dxa" w:w="532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sz w:val="24"/>
                <w:szCs w:val="24"/>
                <w:rtl w:val="0"/>
                <w:lang w:val="en-US"/>
              </w:rPr>
              <w:t>31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到</w:t>
            </w:r>
            <w:r>
              <w:rPr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1887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出差事由</w:t>
            </w:r>
          </w:p>
        </w:tc>
        <w:tc>
          <w:tcPr>
            <w:tcW w:type="dxa" w:w="801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赴南昌参加</w:t>
            </w:r>
            <w:r>
              <w:rPr>
                <w:sz w:val="24"/>
                <w:szCs w:val="24"/>
                <w:rtl w:val="0"/>
                <w:lang w:val="en-US"/>
              </w:rPr>
              <w:t>ICPC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南昌邀请赛。</w:t>
            </w:r>
          </w:p>
          <w:p>
            <w:pPr>
              <w:pStyle w:val="Normal.0"/>
              <w:rPr>
                <w:rFonts w:ascii="SimSun" w:cs="SimSun" w:hAnsi="SimSun" w:eastAsia="SimSun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出差人（带队人）签名：</w:t>
            </w:r>
            <w:r>
              <w:rPr>
                <w:sz w:val="24"/>
                <w:szCs w:val="24"/>
                <w:rtl w:val="0"/>
                <w:lang w:val="en-US"/>
              </w:rPr>
              <w:t xml:space="preserve">             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电话：</w:t>
            </w:r>
            <w:r>
              <w:rPr>
                <w:sz w:val="24"/>
                <w:szCs w:val="24"/>
                <w:rtl w:val="0"/>
                <w:lang w:val="en-US"/>
              </w:rPr>
              <w:t xml:space="preserve">          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日期：</w:t>
            </w:r>
            <w:r>
              <w:rPr>
                <w:sz w:val="24"/>
                <w:szCs w:val="24"/>
                <w:rtl w:val="0"/>
                <w:lang w:val="en-US"/>
              </w:rPr>
              <w:t>2019.5.25</w:t>
            </w:r>
          </w:p>
        </w:tc>
      </w:tr>
      <w:tr>
        <w:tblPrEx>
          <w:shd w:val="clear" w:color="auto" w:fill="ced7e7"/>
        </w:tblPrEx>
        <w:trPr>
          <w:trHeight w:val="1689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center"/>
              <w:rPr>
                <w:b w:val="1"/>
                <w:bCs w:val="1"/>
                <w:sz w:val="24"/>
                <w:szCs w:val="24"/>
              </w:rPr>
            </w:pPr>
            <w:r>
              <w:rPr>
                <w:rFonts w:eastAsia="SimSun" w:hint="eastAsia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特殊事项</w:t>
            </w:r>
          </w:p>
          <w:p>
            <w:pPr>
              <w:pStyle w:val="Normal.0"/>
              <w:bidi w:val="0"/>
              <w:spacing w:line="40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说明</w:t>
            </w:r>
          </w:p>
        </w:tc>
        <w:tc>
          <w:tcPr>
            <w:tcW w:type="dxa" w:w="801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697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jc w:val="center"/>
              <w:rPr>
                <w:b w:val="1"/>
                <w:bCs w:val="1"/>
                <w:sz w:val="24"/>
                <w:szCs w:val="24"/>
              </w:rPr>
            </w:pPr>
            <w:r>
              <w:rPr>
                <w:rFonts w:eastAsia="SimSun" w:hint="eastAsia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单位负责人</w:t>
            </w:r>
          </w:p>
          <w:p>
            <w:pPr>
              <w:pStyle w:val="Normal.0"/>
              <w:bidi w:val="0"/>
              <w:spacing w:line="40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审批</w:t>
            </w:r>
          </w:p>
        </w:tc>
        <w:tc>
          <w:tcPr>
            <w:tcW w:type="dxa" w:w="801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               </w:t>
            </w:r>
          </w:p>
          <w:p>
            <w:pPr>
              <w:pStyle w:val="Normal.0"/>
              <w:spacing w:line="400" w:lineRule="exact"/>
              <w:rPr>
                <w:sz w:val="24"/>
                <w:szCs w:val="24"/>
                <w:lang w:val="en-US"/>
              </w:rPr>
            </w:pPr>
          </w:p>
          <w:p>
            <w:pPr>
              <w:pStyle w:val="Normal.0"/>
              <w:spacing w:line="400" w:lineRule="exact"/>
              <w:ind w:firstLine="6000"/>
              <w:rPr>
                <w:sz w:val="24"/>
                <w:szCs w:val="24"/>
                <w:lang w:val="en-US"/>
              </w:rPr>
            </w:pPr>
          </w:p>
          <w:p>
            <w:pPr>
              <w:pStyle w:val="Normal.0"/>
              <w:bidi w:val="0"/>
              <w:spacing w:line="400" w:lineRule="exact"/>
              <w:ind w:left="0" w:right="0" w:firstLine="4320"/>
              <w:jc w:val="both"/>
              <w:rPr>
                <w:rtl w:val="0"/>
              </w:rPr>
            </w:pPr>
            <w:r>
              <w:rPr>
                <w:rFonts w:eastAsia="FangSong" w:hint="eastAsia"/>
                <w:sz w:val="24"/>
                <w:szCs w:val="24"/>
                <w:rtl w:val="0"/>
                <w:lang w:val="zh-TW" w:eastAsia="zh-TW"/>
              </w:rPr>
              <w:t>签名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：</w:t>
            </w:r>
            <w:r>
              <w:rPr>
                <w:sz w:val="24"/>
                <w:szCs w:val="24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1697" w:hRule="atLeast"/>
        </w:trPr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400" w:lineRule="exact"/>
              <w:ind w:firstLine="240"/>
              <w:rPr>
                <w:b w:val="1"/>
                <w:bCs w:val="1"/>
                <w:sz w:val="24"/>
                <w:szCs w:val="24"/>
              </w:rPr>
            </w:pPr>
            <w:r>
              <w:rPr>
                <w:rFonts w:eastAsia="SimSun" w:hint="eastAsia"/>
                <w:b w:val="0"/>
                <w:bCs w:val="0"/>
                <w:sz w:val="24"/>
                <w:szCs w:val="24"/>
                <w:rtl w:val="0"/>
                <w:lang w:val="zh-TW" w:eastAsia="zh-TW"/>
              </w:rPr>
              <w:t>学校领导</w:t>
            </w:r>
          </w:p>
          <w:p>
            <w:pPr>
              <w:pStyle w:val="Normal.0"/>
              <w:bidi w:val="0"/>
              <w:spacing w:line="400" w:lineRule="exact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审批</w:t>
            </w:r>
          </w:p>
        </w:tc>
        <w:tc>
          <w:tcPr>
            <w:tcW w:type="dxa" w:w="8019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400" w:lineRule="exact"/>
              <w:rPr>
                <w:sz w:val="24"/>
                <w:szCs w:val="24"/>
                <w:lang w:val="en-US"/>
              </w:rPr>
            </w:pPr>
          </w:p>
          <w:p>
            <w:pPr>
              <w:pStyle w:val="Normal.0"/>
              <w:spacing w:line="400" w:lineRule="exact"/>
              <w:rPr>
                <w:sz w:val="24"/>
                <w:szCs w:val="24"/>
                <w:lang w:val="en-US"/>
              </w:rPr>
            </w:pPr>
          </w:p>
          <w:p>
            <w:pPr>
              <w:pStyle w:val="Normal.0"/>
              <w:spacing w:line="400" w:lineRule="exact"/>
              <w:rPr>
                <w:sz w:val="24"/>
                <w:szCs w:val="24"/>
                <w:lang w:val="en-US"/>
              </w:rPr>
            </w:pPr>
          </w:p>
          <w:p>
            <w:pPr>
              <w:pStyle w:val="Normal.0"/>
              <w:bidi w:val="0"/>
              <w:spacing w:line="400" w:lineRule="exact"/>
              <w:ind w:left="0" w:right="0" w:firstLine="4320"/>
              <w:jc w:val="both"/>
              <w:rPr>
                <w:rtl w:val="0"/>
              </w:rPr>
            </w:pPr>
            <w:r>
              <w:rPr>
                <w:rFonts w:eastAsia="FangSong" w:hint="eastAsia"/>
                <w:sz w:val="24"/>
                <w:szCs w:val="24"/>
                <w:rtl w:val="0"/>
                <w:lang w:val="zh-TW" w:eastAsia="zh-TW"/>
              </w:rPr>
              <w:t>签名</w:t>
            </w:r>
            <w:r>
              <w:rPr>
                <w:rFonts w:eastAsia="SimSun" w:hint="eastAsia"/>
                <w:sz w:val="24"/>
                <w:szCs w:val="24"/>
                <w:rtl w:val="0"/>
                <w:lang w:val="zh-TW" w:eastAsia="zh-TW"/>
              </w:rPr>
              <w:t>：</w:t>
            </w:r>
            <w:r>
              <w:rPr>
                <w:sz w:val="24"/>
                <w:szCs w:val="24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2383" w:hRule="atLeast"/>
        </w:trPr>
        <w:tc>
          <w:tcPr>
            <w:tcW w:type="dxa" w:w="972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Fonts w:eastAsia="SimSun" w:hint="eastAsia"/>
                <w:rtl w:val="0"/>
                <w:lang w:val="zh-TW" w:eastAsia="zh-TW"/>
              </w:rPr>
              <w:t>填表说明：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1</w:t>
            </w:r>
            <w:r>
              <w:rPr>
                <w:rFonts w:eastAsia="SimSun" w:hint="eastAsia"/>
                <w:rtl w:val="0"/>
                <w:lang w:val="zh-TW" w:eastAsia="zh-TW"/>
              </w:rPr>
              <w:t>、出差人员出差前应根据《差旅费管理办法》履行公务出差审批手续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2</w:t>
            </w:r>
            <w:r>
              <w:rPr>
                <w:rFonts w:eastAsia="SimSun" w:hint="eastAsia"/>
                <w:rtl w:val="0"/>
                <w:lang w:val="zh-TW" w:eastAsia="zh-TW"/>
              </w:rPr>
              <w:t>、从单位预算经费支出的，由单位负责人审批，单位正职负责人出差的，由学校领导审批。单位预算经费包含人员经费、业务费、学生活动费以及专项经费。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3</w:t>
            </w:r>
            <w:r>
              <w:rPr>
                <w:rFonts w:eastAsia="SimSun" w:hint="eastAsia"/>
                <w:rtl w:val="0"/>
                <w:lang w:val="zh-TW" w:eastAsia="zh-TW"/>
              </w:rPr>
              <w:t>、出差人数在</w:t>
            </w:r>
            <w:r>
              <w:rPr>
                <w:rtl w:val="0"/>
                <w:lang w:val="en-US"/>
              </w:rPr>
              <w:t>2</w:t>
            </w:r>
            <w:r>
              <w:rPr>
                <w:rFonts w:eastAsia="SimSun" w:hint="eastAsia"/>
                <w:rtl w:val="0"/>
                <w:lang w:val="zh-TW" w:eastAsia="zh-TW"/>
              </w:rPr>
              <w:t>人以上的，带队人信息请靠前填写；职称请注明级别，如副高</w:t>
            </w:r>
            <w:r>
              <w:rPr>
                <w:b w:val="1"/>
                <w:bCs w:val="1"/>
                <w:rtl w:val="0"/>
                <w:lang w:val="en-US"/>
              </w:rPr>
              <w:t>(</w:t>
            </w:r>
            <w:r>
              <w:rPr>
                <w:rFonts w:eastAsia="SimSun" w:hint="eastAsia"/>
                <w:rtl w:val="0"/>
                <w:lang w:val="zh-TW" w:eastAsia="zh-TW"/>
              </w:rPr>
              <w:t>五级</w:t>
            </w:r>
            <w:r>
              <w:rPr>
                <w:b w:val="1"/>
                <w:bCs w:val="1"/>
                <w:rtl w:val="0"/>
                <w:lang w:val="en-US"/>
              </w:rPr>
              <w:t>)</w:t>
            </w:r>
            <w:r>
              <w:rPr>
                <w:rFonts w:eastAsia="SimSun" w:hint="eastAsia"/>
                <w:rtl w:val="0"/>
                <w:lang w:val="zh-TW" w:eastAsia="zh-TW"/>
              </w:rPr>
              <w:t>。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4</w:t>
            </w:r>
            <w:r>
              <w:rPr>
                <w:rFonts w:eastAsia="SimSun" w:hint="eastAsia"/>
                <w:rtl w:val="0"/>
                <w:lang w:val="zh-TW" w:eastAsia="zh-TW"/>
              </w:rPr>
              <w:t>、省部级人员、院士，可乘坐飞机头等舱，</w:t>
            </w:r>
            <w:r>
              <w:rPr>
                <w:rFonts w:eastAsia="SimSun" w:hint="eastAsia"/>
                <w:u w:val="wave"/>
                <w:rtl w:val="0"/>
                <w:lang w:val="zh-TW" w:eastAsia="zh-TW"/>
              </w:rPr>
              <w:t>其余人员乘坐经济舱</w:t>
            </w:r>
            <w:r>
              <w:rPr>
                <w:rFonts w:eastAsia="SimSun" w:hint="eastAsia"/>
                <w:rtl w:val="0"/>
                <w:lang w:val="zh-TW" w:eastAsia="zh-TW"/>
              </w:rPr>
              <w:t>；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5</w:t>
            </w:r>
            <w:r>
              <w:rPr>
                <w:rFonts w:eastAsia="SimSun" w:hint="eastAsia"/>
                <w:rtl w:val="0"/>
                <w:lang w:val="zh-TW" w:eastAsia="zh-TW"/>
              </w:rPr>
              <w:t>、省部级人员、院士，可住普通套间（不能入住豪华套间），其余人员住单间或标准间。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6</w:t>
            </w:r>
            <w:r>
              <w:rPr>
                <w:rFonts w:eastAsia="SimSun" w:hint="eastAsia"/>
                <w:rtl w:val="0"/>
                <w:lang w:val="zh-TW" w:eastAsia="zh-TW"/>
              </w:rPr>
              <w:t>、市内交通费凭票报销的，应同差旅费其他票据一并报销，不得单独报销，不再领取交通补助费。</w:t>
            </w:r>
          </w:p>
          <w:p>
            <w:pPr>
              <w:pStyle w:val="Normal.0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</w:t>
            </w:r>
            <w:r>
              <w:rPr>
                <w:rFonts w:eastAsia="SimSun" w:hint="eastAsia"/>
                <w:rtl w:val="0"/>
                <w:lang w:val="zh-TW" w:eastAsia="zh-TW"/>
              </w:rPr>
              <w:t>（</w:t>
            </w:r>
            <w:r>
              <w:rPr>
                <w:b w:val="1"/>
                <w:bCs w:val="1"/>
                <w:rtl w:val="0"/>
                <w:lang w:val="en-US"/>
              </w:rPr>
              <w:t>2014</w:t>
            </w:r>
            <w:r>
              <w:rPr>
                <w:rFonts w:eastAsia="SimSun" w:hint="eastAsia"/>
                <w:rtl w:val="0"/>
                <w:lang w:val="zh-TW" w:eastAsia="zh-TW"/>
              </w:rPr>
              <w:t>版）</w:t>
            </w:r>
          </w:p>
        </w:tc>
      </w:tr>
    </w:tbl>
    <w:p>
      <w:pPr>
        <w:pStyle w:val="Normal.0"/>
        <w:ind w:left="324" w:hanging="324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964" w:right="1134" w:bottom="1077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imHei">
    <w:charset w:val="00"/>
    <w:family w:val="roman"/>
    <w:pitch w:val="default"/>
  </w:font>
  <w:font w:name="SimSun">
    <w:charset w:val="00"/>
    <w:family w:val="roman"/>
    <w:pitch w:val="default"/>
  </w:font>
  <w:font w:name="FangSong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