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jc w:val="center"/>
      </w:pPr>
      <w:r>
        <w:rPr>
          <w:b/>
          <w:color w:val="1F4E79"/>
          <w:sz w:val="36"/>
        </w:rPr>
        <w:t>BÁO CÁO TÓM TẮT CHIẾN LƯỢC DOANH THU &amp; ĐỊNH GIÁ SMARTLIFE</w:t>
      </w:r>
    </w:p>
    <w:p>
      <w:pPr>
        <w:spacing w:after="400"/>
        <w:jc w:val="center"/>
      </w:pPr>
      <w:r>
        <w:rPr>
          <w:i/>
          <w:color w:val="4F5D73"/>
          <w:sz w:val="22"/>
        </w:rPr>
        <w:t>Bản Quy Đổi Từ Báo Cáo Markdown Hệ Thống</w:t>
      </w:r>
    </w:p>
    <w:p>
      <w:pPr>
        <w:jc w:val="center"/>
      </w:pPr>
      <w:r>
        <w:t>──────────────────────────────────────────────────────────</w:t>
      </w:r>
    </w:p>
    <w:p>
      <w:pPr>
        <w:spacing w:before="240"/>
      </w:pPr>
      <w:r>
        <w:rPr>
          <w:b/>
          <w:color w:val="1F4E79"/>
          <w:sz w:val="28"/>
        </w:rPr>
        <w:t>1. Tóm tắt Mô hình Định giá Mới (Pricing Tiers)</w:t>
      </w:r>
    </w:p>
    <w:p>
      <w:r>
        <w:t>• Gói Free: Không hỗ trợ tính năng AI (Advisor &amp; Quick Insight). Chỉ dùng các tính năng quản lý cơ bản (Lịch trình, todolist, habit, pomodoro, bookmark).</w:t>
        <w:br/>
        <w:t>• Gói Pro / Lifetime: Hỗ trợ đầy đủ AI với hạn mức tối đa 600.000 tokens/tháng.</w:t>
      </w:r>
    </w:p>
    <w:tbl>
      <w:tblPr>
        <w:tblW w:type="auto" w:w="0"/>
        <w:jc w:val="center"/>
        <w:tblLook w:firstColumn="1" w:firstRow="1" w:lastColumn="0" w:lastRow="0" w:noHBand="0" w:noVBand="1" w:val="04A0"/>
      </w:tblPr>
      <w:tblGrid>
        <w:gridCol w:w="2340"/>
        <w:gridCol w:w="2340"/>
        <w:gridCol w:w="2340"/>
        <w:gridCol w:w="2340"/>
      </w:tblGrid>
      <w:tr>
        <w:tc>
          <w:tcPr>
            <w:tcW w:type="dxa" w:w="2340"/>
            <w:shd w:fill="1F4E79"/>
          </w:tcPr>
          <w:p>
            <w:pPr>
              <w:jc w:val="center"/>
            </w:pPr>
            <w:r>
              <w:rPr>
                <w:b/>
                <w:color w:val="FFFFFF"/>
              </w:rPr>
              <w:t>Thời hạn gói Pro</w:t>
            </w:r>
          </w:p>
        </w:tc>
        <w:tc>
          <w:tcPr>
            <w:tcW w:type="dxa" w:w="2340"/>
            <w:shd w:fill="1F4E79"/>
          </w:tcPr>
          <w:p>
            <w:pPr>
              <w:jc w:val="center"/>
            </w:pPr>
            <w:r>
              <w:rPr>
                <w:b/>
                <w:color w:val="FFFFFF"/>
              </w:rPr>
              <w:t>Đơn giá thanh toán</w:t>
            </w:r>
          </w:p>
        </w:tc>
        <w:tc>
          <w:tcPr>
            <w:tcW w:type="dxa" w:w="2340"/>
            <w:shd w:fill="1F4E79"/>
          </w:tcPr>
          <w:p>
            <w:pPr>
              <w:jc w:val="center"/>
            </w:pPr>
            <w:r>
              <w:rPr>
                <w:b/>
                <w:color w:val="FFFFFF"/>
              </w:rPr>
              <w:t>Đơn giá quy đổi tháng</w:t>
            </w:r>
          </w:p>
        </w:tc>
        <w:tc>
          <w:tcPr>
            <w:tcW w:type="dxa" w:w="2340"/>
            <w:shd w:fill="1F4E79"/>
          </w:tcPr>
          <w:p>
            <w:pPr>
              <w:jc w:val="center"/>
            </w:pPr>
            <w:r>
              <w:rPr>
                <w:b/>
                <w:color w:val="FFFFFF"/>
              </w:rPr>
              <w:t>Tỷ lệ tiết kiệm (%)</w:t>
            </w:r>
          </w:p>
        </w:tc>
      </w:tr>
      <w:tr>
        <w:tc>
          <w:tcPr>
            <w:tcW w:type="dxa" w:w="2340"/>
          </w:tcPr>
          <w:p>
            <w:r>
              <w:rPr>
                <w:sz w:val="20"/>
              </w:rPr>
              <w:t>1 Tháng</w:t>
            </w:r>
          </w:p>
        </w:tc>
        <w:tc>
          <w:tcPr>
            <w:tcW w:type="dxa" w:w="2340"/>
          </w:tcPr>
          <w:p>
            <w:pPr>
              <w:jc w:val="center"/>
            </w:pPr>
            <w:r>
              <w:rPr>
                <w:sz w:val="20"/>
              </w:rPr>
              <w:t>59.000 VNĐ</w:t>
            </w:r>
          </w:p>
        </w:tc>
        <w:tc>
          <w:tcPr>
            <w:tcW w:type="dxa" w:w="2340"/>
          </w:tcPr>
          <w:p>
            <w:pPr>
              <w:jc w:val="center"/>
            </w:pPr>
            <w:r>
              <w:rPr>
                <w:sz w:val="20"/>
              </w:rPr>
              <w:t>59.000 VNĐ / tháng</w:t>
            </w:r>
          </w:p>
        </w:tc>
        <w:tc>
          <w:tcPr>
            <w:tcW w:type="dxa" w:w="2340"/>
          </w:tcPr>
          <w:p>
            <w:pPr>
              <w:jc w:val="center"/>
            </w:pPr>
            <w:r>
              <w:rPr>
                <w:sz w:val="20"/>
              </w:rPr>
              <w:t>Mốc cơ sở (0%)</w:t>
            </w:r>
          </w:p>
        </w:tc>
      </w:tr>
      <w:tr>
        <w:tc>
          <w:tcPr>
            <w:tcW w:type="dxa" w:w="2340"/>
            <w:shd w:fill="F2F5F8"/>
          </w:tcPr>
          <w:p>
            <w:r>
              <w:rPr>
                <w:sz w:val="20"/>
              </w:rPr>
              <w:t>3 Tháng</w:t>
            </w:r>
          </w:p>
        </w:tc>
        <w:tc>
          <w:tcPr>
            <w:tcW w:type="dxa" w:w="2340"/>
            <w:shd w:fill="F2F5F8"/>
          </w:tcPr>
          <w:p>
            <w:pPr>
              <w:jc w:val="center"/>
            </w:pPr>
            <w:r>
              <w:rPr>
                <w:sz w:val="20"/>
              </w:rPr>
              <w:t>139.000 VNĐ</w:t>
            </w:r>
          </w:p>
        </w:tc>
        <w:tc>
          <w:tcPr>
            <w:tcW w:type="dxa" w:w="2340"/>
            <w:shd w:fill="F2F5F8"/>
          </w:tcPr>
          <w:p>
            <w:pPr>
              <w:jc w:val="center"/>
            </w:pPr>
            <w:r>
              <w:rPr>
                <w:sz w:val="20"/>
              </w:rPr>
              <w:t>~46.333 VNĐ / tháng</w:t>
            </w:r>
          </w:p>
        </w:tc>
        <w:tc>
          <w:tcPr>
            <w:tcW w:type="dxa" w:w="2340"/>
            <w:shd w:fill="F2F5F8"/>
          </w:tcPr>
          <w:p>
            <w:pPr>
              <w:jc w:val="center"/>
            </w:pPr>
            <w:r>
              <w:rPr>
                <w:sz w:val="20"/>
              </w:rPr>
              <w:t>Tiết kiệm 21%</w:t>
            </w:r>
          </w:p>
        </w:tc>
      </w:tr>
      <w:tr>
        <w:tc>
          <w:tcPr>
            <w:tcW w:type="dxa" w:w="2340"/>
          </w:tcPr>
          <w:p>
            <w:r>
              <w:rPr>
                <w:sz w:val="20"/>
              </w:rPr>
              <w:t>12 Tháng</w:t>
            </w:r>
          </w:p>
        </w:tc>
        <w:tc>
          <w:tcPr>
            <w:tcW w:type="dxa" w:w="2340"/>
          </w:tcPr>
          <w:p>
            <w:pPr>
              <w:jc w:val="center"/>
            </w:pPr>
            <w:r>
              <w:rPr>
                <w:sz w:val="20"/>
              </w:rPr>
              <w:t>399.000 VNĐ</w:t>
            </w:r>
          </w:p>
        </w:tc>
        <w:tc>
          <w:tcPr>
            <w:tcW w:type="dxa" w:w="2340"/>
          </w:tcPr>
          <w:p>
            <w:pPr>
              <w:jc w:val="center"/>
            </w:pPr>
            <w:r>
              <w:rPr>
                <w:sz w:val="20"/>
              </w:rPr>
              <w:t>~33.250 VNĐ / tháng</w:t>
            </w:r>
          </w:p>
        </w:tc>
        <w:tc>
          <w:tcPr>
            <w:tcW w:type="dxa" w:w="2340"/>
          </w:tcPr>
          <w:p>
            <w:pPr>
              <w:jc w:val="center"/>
            </w:pPr>
            <w:r>
              <w:rPr>
                <w:sz w:val="20"/>
              </w:rPr>
              <w:t>Tiết kiệm 44%</w:t>
            </w:r>
          </w:p>
        </w:tc>
      </w:tr>
      <w:tr>
        <w:tc>
          <w:tcPr>
            <w:tcW w:type="dxa" w:w="2340"/>
            <w:shd w:fill="F2F5F8"/>
          </w:tcPr>
          <w:p>
            <w:r>
              <w:rPr>
                <w:sz w:val="20"/>
              </w:rPr>
              <w:t>Lifetime (Trọn đời)</w:t>
            </w:r>
          </w:p>
        </w:tc>
        <w:tc>
          <w:tcPr>
            <w:tcW w:type="dxa" w:w="2340"/>
            <w:shd w:fill="F2F5F8"/>
          </w:tcPr>
          <w:p>
            <w:pPr>
              <w:jc w:val="center"/>
            </w:pPr>
            <w:r>
              <w:rPr>
                <w:sz w:val="20"/>
              </w:rPr>
              <w:t>899.000 VNĐ</w:t>
            </w:r>
          </w:p>
        </w:tc>
        <w:tc>
          <w:tcPr>
            <w:tcW w:type="dxa" w:w="2340"/>
            <w:shd w:fill="F2F5F8"/>
          </w:tcPr>
          <w:p>
            <w:pPr>
              <w:jc w:val="center"/>
            </w:pPr>
            <w:r>
              <w:rPr>
                <w:sz w:val="20"/>
              </w:rPr>
              <w:t>Sử dụng vĩnh viễn</w:t>
            </w:r>
          </w:p>
        </w:tc>
        <w:tc>
          <w:tcPr>
            <w:tcW w:type="dxa" w:w="2340"/>
            <w:shd w:fill="F2F5F8"/>
          </w:tcPr>
          <w:p>
            <w:pPr>
              <w:jc w:val="center"/>
            </w:pPr>
            <w:r>
              <w:rPr>
                <w:sz w:val="20"/>
              </w:rPr>
              <w:t>Giá trị tối ưu nhất</w:t>
            </w:r>
          </w:p>
        </w:tc>
      </w:tr>
    </w:tbl>
    <w:p/>
    <w:p>
      <w:r>
        <w:t>• Gói AI Boost Packs (Mua thêm khi hết hạn mức tháng):</w:t>
      </w:r>
    </w:p>
    <w:tbl>
      <w:tblPr>
        <w:tblW w:type="auto" w:w="0"/>
        <w:jc w:val="center"/>
        <w:tblLook w:firstColumn="1" w:firstRow="1" w:lastColumn="0" w:lastRow="0" w:noHBand="0" w:noVBand="1" w:val="04A0"/>
      </w:tblPr>
      <w:tblGrid>
        <w:gridCol w:w="2340"/>
        <w:gridCol w:w="2340"/>
        <w:gridCol w:w="2340"/>
        <w:gridCol w:w="2340"/>
      </w:tblGrid>
      <w:tr>
        <w:tc>
          <w:tcPr>
            <w:tcW w:type="dxa" w:w="2340"/>
            <w:shd w:fill="1F4E79"/>
          </w:tcPr>
          <w:p>
            <w:pPr>
              <w:jc w:val="center"/>
            </w:pPr>
            <w:r>
              <w:rPr>
                <w:b/>
                <w:color w:val="FFFFFF"/>
              </w:rPr>
              <w:t>Tên gói Boost</w:t>
            </w:r>
          </w:p>
        </w:tc>
        <w:tc>
          <w:tcPr>
            <w:tcW w:type="dxa" w:w="2340"/>
            <w:shd w:fill="1F4E79"/>
          </w:tcPr>
          <w:p>
            <w:pPr>
              <w:jc w:val="center"/>
            </w:pPr>
            <w:r>
              <w:rPr>
                <w:b/>
                <w:color w:val="FFFFFF"/>
              </w:rPr>
              <w:t>Tokens bổ sung</w:t>
            </w:r>
          </w:p>
        </w:tc>
        <w:tc>
          <w:tcPr>
            <w:tcW w:type="dxa" w:w="2340"/>
            <w:shd w:fill="1F4E79"/>
          </w:tcPr>
          <w:p>
            <w:pPr>
              <w:jc w:val="center"/>
            </w:pPr>
            <w:r>
              <w:rPr>
                <w:b/>
                <w:color w:val="FFFFFF"/>
              </w:rPr>
              <w:t>Đơn giá</w:t>
            </w:r>
          </w:p>
        </w:tc>
        <w:tc>
          <w:tcPr>
            <w:tcW w:type="dxa" w:w="2340"/>
            <w:shd w:fill="1F4E79"/>
          </w:tcPr>
          <w:p>
            <w:pPr>
              <w:jc w:val="center"/>
            </w:pPr>
            <w:r>
              <w:rPr>
                <w:b/>
                <w:color w:val="FFFFFF"/>
              </w:rPr>
              <w:t>Hạn sử dụng</w:t>
            </w:r>
          </w:p>
        </w:tc>
      </w:tr>
      <w:tr>
        <w:tc>
          <w:tcPr>
            <w:tcW w:type="dxa" w:w="2340"/>
          </w:tcPr>
          <w:p>
            <w:r>
              <w:rPr>
                <w:sz w:val="20"/>
              </w:rPr>
              <w:t>AI Boost S</w:t>
            </w:r>
          </w:p>
        </w:tc>
        <w:tc>
          <w:tcPr>
            <w:tcW w:type="dxa" w:w="2340"/>
          </w:tcPr>
          <w:p>
            <w:pPr>
              <w:jc w:val="center"/>
            </w:pPr>
            <w:r>
              <w:rPr>
                <w:sz w:val="20"/>
              </w:rPr>
              <w:t>+500.000 tokens</w:t>
            </w:r>
          </w:p>
        </w:tc>
        <w:tc>
          <w:tcPr>
            <w:tcW w:type="dxa" w:w="2340"/>
          </w:tcPr>
          <w:p>
            <w:pPr>
              <w:jc w:val="center"/>
            </w:pPr>
            <w:r>
              <w:rPr>
                <w:sz w:val="20"/>
              </w:rPr>
              <w:t>29.000 VNĐ</w:t>
            </w:r>
          </w:p>
        </w:tc>
        <w:tc>
          <w:tcPr>
            <w:tcW w:type="dxa" w:w="2340"/>
          </w:tcPr>
          <w:p>
            <w:pPr>
              <w:jc w:val="center"/>
            </w:pPr>
            <w:r>
              <w:rPr>
                <w:sz w:val="20"/>
              </w:rPr>
              <w:t>30 ngày</w:t>
            </w:r>
          </w:p>
        </w:tc>
      </w:tr>
      <w:tr>
        <w:tc>
          <w:tcPr>
            <w:tcW w:type="dxa" w:w="2340"/>
            <w:shd w:fill="F2F5F8"/>
          </w:tcPr>
          <w:p>
            <w:r>
              <w:rPr>
                <w:sz w:val="20"/>
              </w:rPr>
              <w:t>AI Boost M</w:t>
            </w:r>
          </w:p>
        </w:tc>
        <w:tc>
          <w:tcPr>
            <w:tcW w:type="dxa" w:w="2340"/>
            <w:shd w:fill="F2F5F8"/>
          </w:tcPr>
          <w:p>
            <w:pPr>
              <w:jc w:val="center"/>
            </w:pPr>
            <w:r>
              <w:rPr>
                <w:sz w:val="20"/>
              </w:rPr>
              <w:t>+1.000.000 tokens</w:t>
            </w:r>
          </w:p>
        </w:tc>
        <w:tc>
          <w:tcPr>
            <w:tcW w:type="dxa" w:w="2340"/>
            <w:shd w:fill="F2F5F8"/>
          </w:tcPr>
          <w:p>
            <w:pPr>
              <w:jc w:val="center"/>
            </w:pPr>
            <w:r>
              <w:rPr>
                <w:sz w:val="20"/>
              </w:rPr>
              <w:t>49.000 VNĐ</w:t>
            </w:r>
          </w:p>
        </w:tc>
        <w:tc>
          <w:tcPr>
            <w:tcW w:type="dxa" w:w="2340"/>
            <w:shd w:fill="F2F5F8"/>
          </w:tcPr>
          <w:p>
            <w:pPr>
              <w:jc w:val="center"/>
            </w:pPr>
            <w:r>
              <w:rPr>
                <w:sz w:val="20"/>
              </w:rPr>
              <w:t>60 ngày</w:t>
            </w:r>
          </w:p>
        </w:tc>
      </w:tr>
      <w:tr>
        <w:tc>
          <w:tcPr>
            <w:tcW w:type="dxa" w:w="2340"/>
          </w:tcPr>
          <w:p>
            <w:r>
              <w:rPr>
                <w:sz w:val="20"/>
              </w:rPr>
              <w:t>AI Boost L</w:t>
            </w:r>
          </w:p>
        </w:tc>
        <w:tc>
          <w:tcPr>
            <w:tcW w:type="dxa" w:w="2340"/>
          </w:tcPr>
          <w:p>
            <w:pPr>
              <w:jc w:val="center"/>
            </w:pPr>
            <w:r>
              <w:rPr>
                <w:sz w:val="20"/>
              </w:rPr>
              <w:t>+3.000.000 tokens</w:t>
            </w:r>
          </w:p>
        </w:tc>
        <w:tc>
          <w:tcPr>
            <w:tcW w:type="dxa" w:w="2340"/>
          </w:tcPr>
          <w:p>
            <w:pPr>
              <w:jc w:val="center"/>
            </w:pPr>
            <w:r>
              <w:rPr>
                <w:sz w:val="20"/>
              </w:rPr>
              <w:t>119.000 VNĐ</w:t>
            </w:r>
          </w:p>
        </w:tc>
        <w:tc>
          <w:tcPr>
            <w:tcW w:type="dxa" w:w="2340"/>
          </w:tcPr>
          <w:p>
            <w:pPr>
              <w:jc w:val="center"/>
            </w:pPr>
            <w:r>
              <w:rPr>
                <w:sz w:val="20"/>
              </w:rPr>
              <w:t>90 ngày</w:t>
            </w:r>
          </w:p>
        </w:tc>
      </w:tr>
    </w:tbl>
    <w:p/>
    <w:p>
      <w:pPr>
        <w:spacing w:before="240"/>
      </w:pPr>
      <w:r>
        <w:rPr>
          <w:b/>
          <w:color w:val="1F4E79"/>
          <w:sz w:val="28"/>
        </w:rPr>
        <w:t>2. Phân tích Chi phí Token AI (Chống Bù Lỗ)</w:t>
      </w:r>
    </w:p>
    <w:p>
      <w:r>
        <w:t>Đơn giá Google Gemini 2.5 Flash API:</w:t>
        <w:br/>
        <w:t>• Input Token: 0.075 USD / 1M tokens (~1.912 VNĐ / triệu tokens)</w:t>
        <w:br/>
        <w:t>• Output Token: 0.300 USD / 1M tokens (~7.650 VNĐ / triệu tokens)</w:t>
        <w:br/>
        <w:t>• Đơn giá trung bình (Tỷ lệ 80% input, 20% output): 3.060 VNĐ / 1M tokens.</w:t>
      </w:r>
    </w:p>
    <w:p>
      <w:r>
        <w:rPr>
          <w:b/>
          <w:color w:val="4F5D73"/>
          <w:sz w:val="24"/>
        </w:rPr>
        <w:t>Đối soát Biên lợi nhuận Gộp đối với Gói Pro:</w:t>
      </w:r>
    </w:p>
    <w:p>
      <w:r>
        <w:t>• Chi phí AI tối đa/người dùng/tháng (Sử dụng hết 100% hạn mức 600k tokens):</w:t>
        <w:br/>
        <w:t xml:space="preserve">  Chi phí tối đa = 0.6M tokens * 3.060 VNĐ = 1.836 VNĐ/tháng</w:t>
        <w:br/>
        <w:t>• So với doanh thu gói Pro rẻ nhất (Gói 12 tháng quy đổi là 33.250 VNĐ/tháng):</w:t>
        <w:br/>
        <w:t xml:space="preserve">  Biên lợi nhuận gộp tối thiểu = (33.250đ - 1.836đ) / 33.250đ = 94,5%</w:t>
      </w:r>
    </w:p>
    <w:p>
      <w:r>
        <w:rPr>
          <w:b/>
          <w:color w:val="4F5D73"/>
          <w:sz w:val="24"/>
        </w:rPr>
        <w:t>Đối soát Biên lợi nhuận Gói Boost Packs:</w:t>
      </w:r>
    </w:p>
    <w:p>
      <w:r>
        <w:t>• Gói Boost S (29.000 VNĐ bán / 1.530 VNĐ vốn): Biên lợi nhuận 94,7%</w:t>
        <w:br/>
        <w:t>• Gói Boost M (49.000 VNĐ bán / 3.060 VNĐ vốn): Biên lợi nhuận 93,7%</w:t>
        <w:br/>
        <w:t>• Gói Boost L (119.000 VNĐ bán / 9.180 VNĐ vốn): Biên lợi nhuận 92,2%</w:t>
      </w:r>
    </w:p>
    <w:p>
      <w:pPr>
        <w:spacing w:before="240"/>
      </w:pPr>
      <w:r>
        <w:rPr>
          <w:b/>
          <w:color w:val="1F4E79"/>
          <w:sz w:val="28"/>
        </w:rPr>
        <w:t>3. Chiến lược Quản trị Rủi ro Hệ thống</w:t>
      </w:r>
    </w:p>
    <w:p>
      <w:r>
        <w:t>• Rủi ro spam API: Thiết lập chốt chặn Server-Side Quota giới hạn tối đa 10 requests/ngày và 50.000 tokens/ngày trên mỗi người dùng Pro.</w:t>
        <w:br/>
        <w:t>• Rủi ro lộ API Keys: Ẩn hoàn toàn khóa API trên Serverless Proxy (api/gemini.js), API key chỉ tồn tại ở môi trường máy chủ bảo mật.</w:t>
        <w:br/>
        <w:t>• Bảo mật tài khoản: Mọi yêu cầu gọi AI bắt buộc phải xác thực thông qua JWT token do Supabase cung cấp trên Header Authorization.</w:t>
        <w:br/>
        <w:t>• Tối ưu hóa dung lượng (Context Reduction): Cắt giảm 76% lượng token nạp vào tính năng Quick Insight bằng cách lược bỏ ngữ cảnh tĩnh dư thừa (GPA, thời khóa biểu) và giảm giới hạn lịch sử giao dịch đối chiếu xuống 15 mục.</w:t>
      </w:r>
    </w:p>
    <w:p>
      <w:pPr>
        <w:spacing w:before="240"/>
      </w:pPr>
      <w:r>
        <w:rPr>
          <w:b/>
          <w:color w:val="1F4E79"/>
          <w:sz w:val="28"/>
        </w:rPr>
        <w:t>4. Mô hình Phân tích Thị trường TAM - SAM - SOM</w:t>
      </w:r>
    </w:p>
    <w:tbl>
      <w:tblPr>
        <w:tblW w:type="auto" w:w="0"/>
        <w:jc w:val="center"/>
        <w:tblLook w:firstColumn="1" w:firstRow="1" w:lastColumn="0" w:lastRow="0" w:noHBand="0" w:noVBand="1" w:val="04A0"/>
      </w:tblPr>
      <w:tblGrid>
        <w:gridCol w:w="3120"/>
        <w:gridCol w:w="3120"/>
        <w:gridCol w:w="3120"/>
      </w:tblGrid>
      <w:tr>
        <w:tc>
          <w:tcPr>
            <w:tcW w:type="dxa" w:w="3120"/>
            <w:shd w:fill="1F4E79"/>
          </w:tcPr>
          <w:p>
            <w:pPr>
              <w:jc w:val="center"/>
            </w:pPr>
            <w:r>
              <w:rPr>
                <w:b/>
                <w:color w:val="FFFFFF"/>
              </w:rPr>
              <w:t>Phân khúc thị trường</w:t>
            </w:r>
          </w:p>
        </w:tc>
        <w:tc>
          <w:tcPr>
            <w:tcW w:type="dxa" w:w="3120"/>
            <w:shd w:fill="1F4E79"/>
          </w:tcPr>
          <w:p>
            <w:pPr>
              <w:jc w:val="center"/>
            </w:pPr>
            <w:r>
              <w:rPr>
                <w:b/>
                <w:color w:val="FFFFFF"/>
              </w:rPr>
              <w:t>Định nghĩa</w:t>
            </w:r>
          </w:p>
        </w:tc>
        <w:tc>
          <w:tcPr>
            <w:tcW w:type="dxa" w:w="3120"/>
            <w:shd w:fill="1F4E79"/>
          </w:tcPr>
          <w:p>
            <w:pPr>
              <w:jc w:val="center"/>
            </w:pPr>
            <w:r>
              <w:rPr>
                <w:b/>
                <w:color w:val="FFFFFF"/>
              </w:rPr>
              <w:t>Quy mô ước tính</w:t>
            </w:r>
          </w:p>
        </w:tc>
      </w:tr>
      <w:tr>
        <w:tc>
          <w:tcPr>
            <w:tcW w:type="dxa" w:w="3120"/>
          </w:tcPr>
          <w:p>
            <w:r>
              <w:rPr>
                <w:sz w:val="20"/>
              </w:rPr>
              <w:t>TAM (Thị trường tổng thể)</w:t>
            </w:r>
          </w:p>
        </w:tc>
        <w:tc>
          <w:tcPr>
            <w:tcW w:type="dxa" w:w="3120"/>
          </w:tcPr>
          <w:p>
            <w:pPr>
              <w:jc w:val="center"/>
            </w:pPr>
            <w:r>
              <w:rPr>
                <w:sz w:val="20"/>
              </w:rPr>
              <w:t>Toàn bộ học sinh THCS/THPT, sinh viên Đại học &amp; Người đi làm trẻ tại Việt Nam có nhu cầu tự quản lý cuộc sống và học tập.</w:t>
            </w:r>
          </w:p>
        </w:tc>
        <w:tc>
          <w:tcPr>
            <w:tcW w:type="dxa" w:w="3120"/>
          </w:tcPr>
          <w:p>
            <w:pPr>
              <w:jc w:val="center"/>
            </w:pPr>
            <w:r>
              <w:rPr>
                <w:sz w:val="20"/>
              </w:rPr>
              <w:t>15.000.000 người</w:t>
            </w:r>
          </w:p>
        </w:tc>
      </w:tr>
      <w:tr>
        <w:tc>
          <w:tcPr>
            <w:tcW w:type="dxa" w:w="3120"/>
            <w:shd w:fill="F2F5F8"/>
          </w:tcPr>
          <w:p>
            <w:r>
              <w:rPr>
                <w:sz w:val="20"/>
              </w:rPr>
              <w:t>SAM (Thị trường tiếp cận)</w:t>
            </w:r>
          </w:p>
        </w:tc>
        <w:tc>
          <w:tcPr>
            <w:tcW w:type="dxa" w:w="3120"/>
            <w:shd w:fill="F2F5F8"/>
          </w:tcPr>
          <w:p>
            <w:pPr>
              <w:jc w:val="center"/>
            </w:pPr>
            <w:r>
              <w:rPr>
                <w:sz w:val="20"/>
              </w:rPr>
              <w:t>Học sinh THPT và sinh viên tại các thành phố lớn có smartphone/laptop, quen sử dụng ví điện tử/banking chuyển khoản trực tuyến.</w:t>
            </w:r>
          </w:p>
        </w:tc>
        <w:tc>
          <w:tcPr>
            <w:tcW w:type="dxa" w:w="3120"/>
            <w:shd w:fill="F2F5F8"/>
          </w:tcPr>
          <w:p>
            <w:pPr>
              <w:jc w:val="center"/>
            </w:pPr>
            <w:r>
              <w:rPr>
                <w:sz w:val="20"/>
              </w:rPr>
              <w:t>3.500.000 người</w:t>
            </w:r>
          </w:p>
        </w:tc>
      </w:tr>
      <w:tr>
        <w:tc>
          <w:tcPr>
            <w:tcW w:type="dxa" w:w="3120"/>
          </w:tcPr>
          <w:p>
            <w:r>
              <w:rPr>
                <w:sz w:val="20"/>
              </w:rPr>
              <w:t>SOM (Thị trường mục tiêu)</w:t>
            </w:r>
          </w:p>
        </w:tc>
        <w:tc>
          <w:tcPr>
            <w:tcW w:type="dxa" w:w="3120"/>
          </w:tcPr>
          <w:p>
            <w:pPr>
              <w:jc w:val="center"/>
            </w:pPr>
            <w:r>
              <w:rPr>
                <w:sz w:val="20"/>
              </w:rPr>
              <w:t>Mục tiêu thực tế chiếm lĩnh 2% của SAM trong 2-3 năm đầu hoạt động sau khi chạy các chiến dịch Marketing có chủ đích.</w:t>
            </w:r>
          </w:p>
        </w:tc>
        <w:tc>
          <w:tcPr>
            <w:tcW w:type="dxa" w:w="3120"/>
          </w:tcPr>
          <w:p>
            <w:pPr>
              <w:jc w:val="center"/>
            </w:pPr>
            <w:r>
              <w:rPr>
                <w:sz w:val="20"/>
              </w:rPr>
              <w:t>70.000 người dùng trả phí</w:t>
            </w:r>
          </w:p>
        </w:tc>
      </w:tr>
    </w:tbl>
    <w:p/>
    <w:p>
      <w:r>
        <w:t>• Dự phóng Doanh thu: Với ARPU kỳ vọng đạt 200.000 VNĐ / năm, doanh thu SOM dự phóng đạt 14 tỷ VNĐ/năm.</w:t>
        <w:br/>
        <w:t>• Điểm hòa vốn: Với chi phí cố định ước tính ~300 triệu VNĐ/năm, dự án chỉ cần đạt tối thiểu 1.600 người dùng Pro hoạt động để bắt đầu sinh lời ròng hoàn toàn.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2" w:lineRule="auto" w:after="120"/>
    </w:pPr>
    <w:rPr>
      <w:rFonts w:ascii="Times New Roman" w:hAnsi="Times New Roman"/>
      <w:color w:val="333333"/>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