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2545"/>
          <w:sz w:val="36"/>
        </w:rPr>
        <w:t>BÁO CÁO CHIẾN LƯỢC DOANH THU &amp; ĐỊNH GIÁ SMARTLIFE</w:t>
      </w:r>
    </w:p>
    <w:p>
      <w:pPr>
        <w:jc w:val="center"/>
      </w:pPr>
      <w:r>
        <w:rPr>
          <w:rFonts w:ascii="Calibri" w:hAnsi="Calibri" w:eastAsia="Calibri"/>
          <w:i/>
          <w:color w:val="595959"/>
          <w:sz w:val="23"/>
        </w:rPr>
        <w:t>Tính năng thu phí, mô hình giá, vai trò doanh thu và chi phí AI</w:t>
      </w:r>
    </w:p>
    <w:tbl>
      <w:tblGrid>
        <w:gridCol w:w="2100"/>
        <w:gridCol w:w="726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Hạng mục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Nội dung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Mục tiêu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Làm rõ SmartLife kiếm tiền từ đâu, tính năng nào tạo giá trị trả phí và mỗi mô hình giá có vai trò gì.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Căn cứ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Codebase hiện tại, tài liệu docs, pricing/subscription flow, AI quota/boost và giá Gemini 2.5 Flash chính thức.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Giá hiện tại trong code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Pro: 59.000đ/tháng, 139.000đ/3 tháng, 399.000đ/năm, 899.000đ lifetime; AI Boost: 29k/49k/119k.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Giả định AI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Gemini 2.5 Flash; request trung bình 10k-30k token; Pro included 600k token/tháng.</w:t>
            </w:r>
          </w:p>
        </w:tc>
      </w:tr>
    </w:tbl>
    <w:p>
      <w:pPr>
        <w:pStyle w:val="Heading1"/>
      </w:pPr>
      <w:r>
        <w:t>1. Tóm tắt chiến lược</w:t>
      </w:r>
    </w:p>
    <w:p>
      <w:r>
        <w:t xml:space="preserve">SmartLife nên được trình bày như một </w:t>
      </w:r>
      <w:r>
        <w:rPr>
          <w:b/>
        </w:rPr>
        <w:t>nền tảng AI self-management cho sinh viên</w:t>
      </w:r>
      <w:r>
        <w:t>, không phải một app productivity rời rạc. Doanh thu nên có ba lớp: subscription để mở khóa hệ sinh thái Pro, pay-as-you-go để người dùng nặng tự trả chi phí AI phát sinh, và gói B2B/lifetime để tạo dòng tiền lớn hơn theo giai đoạn.</w:t>
      </w:r>
    </w:p>
    <w:tbl>
      <w:tblGrid>
        <w:gridCol w:w="1550"/>
        <w:gridCol w:w="2700"/>
        <w:gridCol w:w="2600"/>
        <w:gridCol w:w="251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  <w:tblHeader w:val="true"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Quyết định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Khuyến nghị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Giá trị business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Rủi ro cần kiểm soát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bán AI vô hạn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10 request/ngày + 50k token/ngày + 600k token/tháng.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Kiểm soát chi phí khi mỗi request có thể 10k-30k token.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Nếu chỉ giới hạn request, giá vốn AI có thể vượt doanh thu.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Subscription là lõi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Đẩy gói 3 tháng và 12 tháng.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Doanh thu định kỳ, phù hợp học kỳ/năm học.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Giá/tháng thấp nên cần fair-use AI.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Pay-as-you-go là van an toàn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AI Boost 500k/1M/3M token.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User dùng nặng trả thêm, user nhẹ không bị tăng giá.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Cần log token và hiển thị quota rõ.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Tính năng ngoài AI phải mạnh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Visual Board, GPA, Finance, Habit, CV, Storage.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Tăng lý do trả tiền ngoài token AI.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Nếu chỉ bán AI, biên lợi nhuận dễ bị ăn mòn.</w:t>
            </w:r>
          </w:p>
        </w:tc>
      </w:tr>
    </w:tbl>
    <w:tbl>
      <w:tblGrid>
        <w:gridCol w:w="936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</w: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Kết luận ngắn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SmartLife nên bán “hệ sinh thái tự quản trị cá nhân có AI”, trong đó AI là tính năng cao cấp có fair-use. Người dùng phổ thông trả subscription; người dùng AI nặng mua thêm token; trường/lớp có thể mua gói cohort dashboard ẩn danh.</w:t>
            </w:r>
          </w:p>
        </w:tc>
      </w:tr>
    </w:tbl>
    <w:p>
      <w:pPr>
        <w:pStyle w:val="Heading1"/>
      </w:pPr>
      <w:r>
        <w:t>2. Bảng tính năng có thể thu phí và giá trị</w:t>
      </w:r>
    </w:p>
    <w:tbl>
      <w:tblGrid>
        <w:gridCol w:w="1500"/>
        <w:gridCol w:w="2200"/>
        <w:gridCol w:w="2200"/>
        <w:gridCol w:w="1700"/>
        <w:gridCol w:w="176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4"/>
              </w:rPr>
              <w:t>Nhóm tính năng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4"/>
              </w:rPr>
              <w:t>Có thể thu phí gì?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4"/>
              </w:rPr>
              <w:t>Giá trị với user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4"/>
              </w:rPr>
              <w:t>Mô hình giá phù hợp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4"/>
              </w:rPr>
              <w:t>Vai trò doanh thu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AI Advisor cá nhân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Chat theo dữ liệu tài chính, lịch, todo, GPA, journal.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Tư vấn cá nhân hóa, không phải hỏi đáp chung.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+ AI Boost.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Neo giá trị cao nhất; phải kiểm token.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AI Career Analyzer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Phân tích ngành học, tính cách, GPA, kỹ năng.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Hỗ trợ chọn hướng nghề nghiệp/thực tập.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hoặc report add-on.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Doanh thu theo sự kiện career.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CV Builder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Tạo CV, lưu phiên bản, export PDF, gợi ý kỹ năng.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Giảm thời gian chuẩn bị hồ sơ.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+ export add-on.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Giá trị rõ, dễ demo.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Visual Board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Dashboard tổng quan học tập, tiền, thói quen, deadline.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Biết tình trạng cá nhân trong một màn hình.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Core Pro.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Tăng retention, lý do nâng cấp ngoài AI.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Finance &amp; Cashflow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Ngân sách, ví/quỹ, sổ nợ, cashflow, insight.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Kiểm soát tiền và dòng tiền cá nhân.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Free basic + Pro analytics.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Dữ liệu đầu vào quan trọng cho AI.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GPA Tracker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Tính GPA, cảnh báo học vụ, dự báo tốt nghiệp.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Biến điểm số thành kế hoạch hành động.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Student Pro.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Rất khớp persona sinh viên.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Schedule, Todo, Goals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Lịch học, deadline, mục tiêu, smart planning.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Biết nên làm gì trước.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Free basic + Pro smart planning.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Tăng daily active usage.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Habit, Countdown, StarBrain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Streak, countdown/count-up, sao thưởng.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Tạo động lực và game loop.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gamification.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Tăng engagement/churn reduction.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Journal &amp; Mood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Nhật ký, mood, dữ liệu cho AI khi user đồng ý.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Phản tư và chăm sóc tinh thần.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privacy-first.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Tăng chiều sâu dữ liệu.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Focus, Lofi, MySpotify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Focus timer, playlist cá nhân, upload track.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Không gian học tập/tập trung.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experience bundle.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Tăng thời gian trong app.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MyStorage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Lưu file, link, note, audio/video học tập.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Kho học tập gắn với mục tiêu/lịch.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Free quota + Pro storage.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Có thể mở add-on storage.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Báo cáo cá nhân hóa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Báo cáo tuần/tháng, export PDF.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Thấy tiến bộ và việc cần sửa.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+ report add-on.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Tạo giá trị định kỳ.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Cohort/School dashboard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Dashboard ẩn danh theo lớp/khoa.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Nhà trường có insight tổng hợp.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B2B pilot/license.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Doanh thu lớn hơn B2C.</w:t>
            </w:r>
          </w:p>
        </w:tc>
      </w:tr>
    </w:tbl>
    <w:p>
      <w:pPr>
        <w:pStyle w:val="Heading1"/>
      </w:pPr>
      <w:r>
        <w:t>3. Mô hình giá và vai trò từng mô hình</w:t>
      </w:r>
    </w:p>
    <w:tbl>
      <w:tblGrid>
        <w:gridCol w:w="1200"/>
        <w:gridCol w:w="1650"/>
        <w:gridCol w:w="2600"/>
        <w:gridCol w:w="2100"/>
        <w:gridCol w:w="181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4"/>
              </w:rPr>
              <w:t>Mô hình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4"/>
              </w:rPr>
              <w:t>Giá/cấu trúc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4"/>
              </w:rPr>
              <w:t>Bao gồm gì?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4"/>
              </w:rPr>
              <w:t>Vai trò business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4"/>
              </w:rPr>
              <w:t>Rủi ro/điều kiện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Free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0đ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Core basic, không AI hoặc AI demo rất hạn chế.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Thu hút user, tạo phễu chuyển đổi.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Không để phát sinh chi phí AI.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Trial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7 ngày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trải nghiệm, 3 request/ngày, 30k token/ngày.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Cho user thấy giá trị trước khi trả tiền.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Cần CTA và nhắc hết hạn rõ.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1 tháng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59.000đ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Toàn bộ Pro + 600k token/tháng.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Gói vào cửa, giảm rào cản chi trả.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Churn cao hơn, cần onboarding tốt.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3 tháng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139.000đ (~46.333đ/tháng)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theo học kỳ/ngắn hạn.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Gói chủ lực, tăng cam kết sử dụng.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Nếu có promo tặng tháng phải đồng bộ code.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12 tháng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399.000đ (~33.250đ/tháng)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Pro cả năm, có thể kèm report định kỳ.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Thu tiền trước, giữ chân user dài hạn.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Giá/tháng thấp nên không mở AI quá rộng.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Lifetime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899.000đ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Lifetime app access; AI fair-use như Pro.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Cash upfront/early-backer.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Không được hiểu là AI vô hạn.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AI Boost Pay-as-you-go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29k/49k/119k cho 500k/1M/3M token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Token bổ sung sau quota tháng.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Chuyển biến phí AI sang user dùng nặng.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Cần tracking token chính xác.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Add-on storage/report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Có thể 19k-49k/tháng sau MVP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Storage cao hơn, export/report chuyên sâu.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Doanh thu phụ không phụ thuộc AI.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Chỉ mở khi có nhu cầu thật.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B2B school/cohort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Theo pilot/lớp/khoa/trường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Dashboard ẩn danh, báo cáo tác động, setup cohort.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Doanh thu lớn, tăng credibility.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4"/>
              </w:rPr>
              <w:t>Cần consent và privacy chặt.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4. Gói sản phẩm đề xuất để trình bày</w:t>
      </w:r>
    </w:p>
    <w:tbl>
      <w:tblGrid>
        <w:gridCol w:w="1450"/>
        <w:gridCol w:w="1600"/>
        <w:gridCol w:w="2600"/>
        <w:gridCol w:w="2600"/>
        <w:gridCol w:w="111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Gói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Đối tượng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Thông điệp bán hàng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Quyền lợi chính</w:t>
            </w:r>
          </w:p>
        </w:tc>
        <w:tc>
          <w:tcPr>
            <w:tcW w:type="dxa" w:w="1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5"/>
              </w:rPr>
              <w:t>Vai trò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Free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User mới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Bắt đầu tự quản trị cuộc sống trong một app.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Core planning, habit/focus cơ bản, dữ liệu cá nhân.</w:t>
            </w:r>
          </w:p>
        </w:tc>
        <w:tc>
          <w:tcPr>
            <w:tcW w:type="dxa" w:w="1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Tạo adoption.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Student Pro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Sinh viên dùng thường xuyên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Một học kỳ được quản trị bằng dashboard + AI.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Pro features, 10 request/ngày, 50k token/ngày, 600k token/tháng.</w:t>
            </w:r>
          </w:p>
        </w:tc>
        <w:tc>
          <w:tcPr>
            <w:tcW w:type="dxa" w:w="1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Doanh thu B2C chính.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AI Boost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Power user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Dùng thêm AI khi cần phân tích sâu/file dài.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500k/1M/3M token bổ sung theo hạn dùng.</w:t>
            </w:r>
          </w:p>
        </w:tc>
        <w:tc>
          <w:tcPr>
            <w:tcW w:type="dxa" w:w="1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Bảo vệ biên lợi nhuận.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Lifetime Early Backer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Người ủng hộ sớm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Trả một lần cho quyền Pro dài hạn.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App access dài hạn, AI fair-use.</w:t>
            </w:r>
          </w:p>
        </w:tc>
        <w:tc>
          <w:tcPr>
            <w:tcW w:type="dxa" w:w="1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Dòng tiền sớm.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School/Cohort Pilot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Lớp/khoa/trường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Hỗ trợ self-management ở cấp nhóm.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Cohort setup, dashboard ẩn danh, báo cáo tác động.</w:t>
            </w:r>
          </w:p>
        </w:tc>
        <w:tc>
          <w:tcPr>
            <w:tcW w:type="dxa" w:w="1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5"/>
              </w:rPr>
              <w:t>Mở đường B2B.</w:t>
            </w:r>
          </w:p>
        </w:tc>
      </w:tr>
    </w:tbl>
    <w:p>
      <w:pPr>
        <w:pStyle w:val="Heading1"/>
      </w:pPr>
      <w:r>
        <w:t>5. Chi phí AI và định giá token</w:t>
      </w:r>
    </w:p>
    <w:p>
      <w:r>
        <w:rPr>
          <w:b/>
        </w:rPr>
        <w:t xml:space="preserve">Cập nhật quan trọng: </w:t>
      </w:r>
      <w:r>
        <w:t>Gemini 2.5 Flash paid tier: input text/image/video 0.30 USD/1M token, output gồm thinking token 2.50 USD/1M token. Với giả định 85% input và 15% output/thinking, blended cost khoảng 0.63 USD/1M token, tương đương 16.600đ/1M token.</w:t>
      </w:r>
    </w:p>
    <w:tbl>
      <w:tblGrid>
        <w:gridCol w:w="1750"/>
        <w:gridCol w:w="1350"/>
        <w:gridCol w:w="1600"/>
        <w:gridCol w:w="2450"/>
        <w:gridCol w:w="221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  <w:tblHeader w:val="true"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Mức dùng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Token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Giá vốn ước tính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Nếu 10 request/ngày trong 30 ngày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Kết luận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Pro included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600k/tháng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9.900đ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áp dụng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Chấp nhận được nếu giữ cap.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Request nhẹ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10k/request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200đ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49.700đ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Đã sát biên gói tháng nếu dùng tối đa.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Request chuẩn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20k/request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300đ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99.400đ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thể cho dùng vô hạn trong gói Pro.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Request nặng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30k/request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500đ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149.100đ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Nên chuyển sang Boost hoặc giới hạn file/context.</w:t>
            </w:r>
          </w:p>
        </w:tc>
      </w:tr>
    </w:tbl>
    <w:tbl>
      <w:tblGrid>
        <w:gridCol w:w="1300"/>
        <w:gridCol w:w="950"/>
        <w:gridCol w:w="1200"/>
        <w:gridCol w:w="1300"/>
        <w:gridCol w:w="1600"/>
        <w:gridCol w:w="301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Boost Pack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Token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Giá bán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Giá vốn AI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Biên gộp trước overhead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Vai trò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AI Boost S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500k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29.000đ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8.300đ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71%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Thêm vài lượt phân tích trong tháng.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AI Boost M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1M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49.000đ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16.600đ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66%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Gói phổ biến cho phân tích tài liệu/lộ trình.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AI Boost L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3M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119.000đ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49.700đ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58%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Power user dùng AI thường xuyên.</w:t>
            </w:r>
          </w:p>
        </w:tc>
      </w:tr>
    </w:tbl>
    <w:tbl>
      <w:tblGrid>
        <w:gridCol w:w="1700"/>
        <w:gridCol w:w="1700"/>
        <w:gridCol w:w="1700"/>
        <w:gridCol w:w="1500"/>
        <w:gridCol w:w="276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Output/thinking share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Cost/1M token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600k token/tháng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1M Boost cost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Ý nghĩa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13.700đ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8.200đ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13.700đ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Tối ưu tốt, output ngắn.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15%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16.600đ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9.900đ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16.600đ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Giả định cơ sở.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25%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22.400đ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13.400đ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22.400đ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AI trả lời dài/thinking nhiều.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40%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31.000đ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18.600đ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31.000đ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Rủi ro nếu không giới hạn output.</w:t>
            </w:r>
          </w:p>
        </w:tc>
      </w:tr>
    </w:tbl>
    <w:p>
      <w:pPr>
        <w:pStyle w:val="Heading1"/>
      </w:pPr>
      <w:r>
        <w:t>6. Khuyến nghị vận hành giá</w:t>
      </w:r>
    </w:p>
    <w:tbl>
      <w:tblGrid>
        <w:gridCol w:w="1500"/>
        <w:gridCol w:w="3000"/>
        <w:gridCol w:w="2500"/>
        <w:gridCol w:w="236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Quyết định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Khuyến nghị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Lý do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Cần kiểm tra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Định vị Pro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Bán hệ sinh thái self-management có AI, không bán AI đơn lẻ.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Giá trị đến từ dữ liệu + dashboard + hành vi.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Copy pricing và onboarding.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Quota AI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Giữ request cap và token cap kép.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Request chống spam; token bảo vệ chi phí.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Test request vượt cap sau khi gọi API.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Boost Pack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Truyền thông là pay-as-you-go token.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User nặng trả thêm đúng mức dùng.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token còn lại và hạn dùng.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Lifetime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dùng như early-backer; AI fair-use.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Tránh nghĩa vụ chi phí dài hạn.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Điều khoản không unlimited AI.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B2B Pilot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Chuẩn bị gói cohort dashboard ẩn danh.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Tăng quy mô doanh thu và độ tin cậy.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Consent, privacy, báo cáo tổng hợp.</w:t>
            </w:r>
          </w:p>
        </w:tc>
      </w:tr>
    </w:tbl>
    <w:p>
      <w:pPr>
        <w:pStyle w:val="Heading1"/>
      </w:pPr>
      <w:r>
        <w:t>7. Cách nói trước ban giám khảo</w:t>
      </w:r>
    </w:p>
    <w:tbl>
      <w:tblGrid>
        <w:gridCol w:w="9360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  <w:tblInd w:w="120" w:type="dxa"/>
      </w:tblPr>
      <w:tr>
        <w:trPr>
          <w:cantSplit/>
        </w:trP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</w: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Thông điệp đề xuất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9"/>
              </w:rPr>
              <w:t>SmartLife kiếm tiền bằng subscription cho hệ sinh thái tự quản trị cá nhân, pay-as-you-go cho phần AI token phát sinh và gói institutional khi triển khai theo lớp/khoa/trường. Chúng tôi không bán AI vô hạn; chúng tôi bán năng lực giúp sinh viên hiểu tình trạng cá nhân, ra quyết định tốt hơn và duy trì thói quen học tập - tài chính - sự nghiệp một cách bền vững.</w:t>
            </w:r>
          </w:p>
        </w:tc>
      </w:tr>
    </w:tbl>
    <w:p>
      <w:pPr>
        <w:pStyle w:val="Heading2"/>
      </w:pPr>
      <w:r>
        <w:t>Nguồn phân tích</w:t>
      </w:r>
    </w:p>
    <w:p>
      <w:pPr>
        <w:pStyle w:val="Source"/>
      </w:pPr>
      <w:r>
        <w:rPr>
          <w:b/>
        </w:rPr>
        <w:t xml:space="preserve">Code pricing/subscription: </w:t>
      </w:r>
      <w:r>
        <w:t>src/services/subscriptionService.ts; src/components/PricingModal.tsx; src/components/AIBoostModal.tsx</w:t>
      </w:r>
    </w:p>
    <w:p>
      <w:pPr>
        <w:pStyle w:val="Source"/>
      </w:pPr>
      <w:r>
        <w:rPr>
          <w:b/>
        </w:rPr>
        <w:t xml:space="preserve">Code AI quota/proxy: </w:t>
      </w:r>
      <w:r>
        <w:t>api/gemini.js; src/services/aiQuotaService.ts; sql/create_user_ai_quota.sql; sql/create_user_ai_boost.sql</w:t>
      </w:r>
    </w:p>
    <w:p>
      <w:pPr>
        <w:pStyle w:val="Source"/>
      </w:pPr>
      <w:r>
        <w:rPr>
          <w:b/>
        </w:rPr>
        <w:t xml:space="preserve">Product/business docs: </w:t>
      </w:r>
      <w:r>
        <w:t>docs/PRODUCT_BUSINESS.md; docs/SYSTEM_ARCHITECTURE.md; docs/Smartlife.md</w:t>
      </w:r>
    </w:p>
    <w:p>
      <w:pPr>
        <w:pStyle w:val="Source"/>
      </w:pPr>
      <w:r>
        <w:rPr>
          <w:b/>
        </w:rPr>
        <w:t xml:space="preserve">Google Gemini API pricing: </w:t>
      </w:r>
      <w:hyperlink r:id="rId11">
        <w:r>
          <w:rPr>
            <w:color w:val="0563C1"/>
            <w:u w:val="single"/>
          </w:rPr>
          <w:t>https://ai.google.dev/gemini-api/docs/pricing</w:t>
        </w:r>
      </w:hyperlink>
    </w:p>
    <w:p>
      <w:pPr>
        <w:pStyle w:val="Source"/>
      </w:pPr>
      <w:r>
        <w:rPr>
          <w:b/>
        </w:rPr>
        <w:t xml:space="preserve">Giả định: </w:t>
      </w:r>
      <w:r>
        <w:t>Tỷ giá kế hoạch 1 USD ~= 26.300 VND; chi phí chưa gồm Supabase/Firebase/Vercel, phí thanh toán, VAT/thuế, hỗ trợ khách hàng và vận hành.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95959"/>
        <w:sz w:val="17"/>
      </w:rPr>
      <w:t>SmartLife | Pricing &amp; Revenue Strategy | 17/06/2026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rFonts w:ascii="Calibri" w:hAnsi="Calibri" w:eastAsia="Calibri"/>
              <w:color w:val="595959"/>
              <w:sz w:val="17"/>
            </w:rPr>
            <w:t>SmartLife Revenue Strategy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 w:eastAsia="Calibri"/>
              <w:color w:val="595959"/>
              <w:sz w:val="17"/>
            </w:rPr>
            <w:t>Feature Monetization &amp; Pricing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40"/>
    </w:pPr>
    <w:rPr>
      <w:rFonts w:ascii="Calibri" w:hAnsi="Calibri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i.google.dev/gemini-api/docs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