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13BD" w14:textId="77777777" w:rsidR="00B84F05" w:rsidRPr="00333208" w:rsidRDefault="00846886">
      <w:pPr>
        <w:spacing w:after="396" w:line="259" w:lineRule="auto"/>
        <w:ind w:left="56" w:right="0" w:firstLine="0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 </w:t>
      </w:r>
    </w:p>
    <w:p w14:paraId="615F0137" w14:textId="77777777" w:rsidR="00B84F05" w:rsidRDefault="00846886">
      <w:pPr>
        <w:spacing w:after="19" w:line="259" w:lineRule="auto"/>
        <w:ind w:left="2498" w:right="0" w:firstLine="0"/>
        <w:jc w:val="left"/>
        <w:rPr>
          <w:sz w:val="32"/>
          <w:szCs w:val="32"/>
        </w:rPr>
      </w:pPr>
      <w:r w:rsidRPr="00333208">
        <w:rPr>
          <w:b/>
          <w:sz w:val="32"/>
          <w:szCs w:val="32"/>
        </w:rPr>
        <w:t>Universidad del Valle de Guatemala</w:t>
      </w:r>
      <w:r w:rsidRPr="00333208">
        <w:rPr>
          <w:sz w:val="32"/>
          <w:szCs w:val="32"/>
        </w:rPr>
        <w:t xml:space="preserve"> </w:t>
      </w:r>
    </w:p>
    <w:p w14:paraId="14BE86BB" w14:textId="77777777" w:rsidR="00333208" w:rsidRPr="00333208" w:rsidRDefault="00333208">
      <w:pPr>
        <w:spacing w:after="19" w:line="259" w:lineRule="auto"/>
        <w:ind w:left="2498" w:right="0" w:firstLine="0"/>
        <w:jc w:val="left"/>
        <w:rPr>
          <w:sz w:val="32"/>
          <w:szCs w:val="32"/>
        </w:rPr>
      </w:pPr>
    </w:p>
    <w:p w14:paraId="6C436F0D" w14:textId="77777777" w:rsidR="00B84F05" w:rsidRPr="00333208" w:rsidRDefault="00846886">
      <w:pPr>
        <w:spacing w:after="58" w:line="259" w:lineRule="auto"/>
        <w:ind w:left="0" w:right="5" w:firstLine="0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Facultad de Ingeniería </w:t>
      </w:r>
    </w:p>
    <w:p w14:paraId="72082B9F" w14:textId="77777777" w:rsidR="00B84F05" w:rsidRPr="00333208" w:rsidRDefault="00846886">
      <w:pPr>
        <w:spacing w:after="50" w:line="259" w:lineRule="auto"/>
        <w:ind w:left="2429" w:right="0" w:firstLine="0"/>
        <w:jc w:val="left"/>
        <w:rPr>
          <w:sz w:val="28"/>
          <w:szCs w:val="28"/>
        </w:rPr>
      </w:pPr>
      <w:r w:rsidRPr="00333208">
        <w:rPr>
          <w:sz w:val="28"/>
          <w:szCs w:val="28"/>
        </w:rPr>
        <w:t xml:space="preserve">Departamento de Ciencias de la Computación </w:t>
      </w:r>
    </w:p>
    <w:p w14:paraId="3E7E742A" w14:textId="77777777" w:rsidR="00B84F05" w:rsidRDefault="00846886">
      <w:pPr>
        <w:spacing w:after="729" w:line="259" w:lineRule="auto"/>
        <w:ind w:left="2794" w:right="0" w:firstLine="0"/>
        <w:jc w:val="left"/>
        <w:rPr>
          <w:sz w:val="28"/>
          <w:szCs w:val="28"/>
          <w:lang w:val="en-US"/>
        </w:rPr>
      </w:pPr>
      <w:r w:rsidRPr="00333208">
        <w:rPr>
          <w:sz w:val="28"/>
          <w:szCs w:val="28"/>
          <w:lang w:val="en-US"/>
        </w:rPr>
        <w:t>CC30</w:t>
      </w:r>
      <w:r w:rsidR="00AF02B8">
        <w:rPr>
          <w:sz w:val="28"/>
          <w:szCs w:val="28"/>
          <w:lang w:val="en-US"/>
        </w:rPr>
        <w:t>92</w:t>
      </w:r>
      <w:r w:rsidRPr="00333208">
        <w:rPr>
          <w:sz w:val="28"/>
          <w:szCs w:val="28"/>
          <w:lang w:val="en-US"/>
        </w:rPr>
        <w:t xml:space="preserve"> </w:t>
      </w:r>
      <w:r w:rsidR="0064534F">
        <w:rPr>
          <w:sz w:val="28"/>
          <w:szCs w:val="28"/>
          <w:lang w:val="en-US"/>
        </w:rPr>
        <w:t>Deep Learning</w:t>
      </w:r>
      <w:r w:rsidRPr="00333208">
        <w:rPr>
          <w:sz w:val="28"/>
          <w:szCs w:val="28"/>
          <w:lang w:val="en-US"/>
        </w:rPr>
        <w:t xml:space="preserve">, </w:t>
      </w:r>
      <w:proofErr w:type="spellStart"/>
      <w:r w:rsidRPr="00333208">
        <w:rPr>
          <w:sz w:val="28"/>
          <w:szCs w:val="28"/>
          <w:lang w:val="en-US"/>
        </w:rPr>
        <w:t>Semestre</w:t>
      </w:r>
      <w:proofErr w:type="spellEnd"/>
      <w:r w:rsidRPr="00333208">
        <w:rPr>
          <w:sz w:val="28"/>
          <w:szCs w:val="28"/>
          <w:lang w:val="en-US"/>
        </w:rPr>
        <w:t xml:space="preserve"> II 2026 </w:t>
      </w:r>
    </w:p>
    <w:p w14:paraId="143B3D69" w14:textId="77777777" w:rsidR="00333208" w:rsidRPr="00333208" w:rsidRDefault="00333208">
      <w:pPr>
        <w:spacing w:after="729" w:line="259" w:lineRule="auto"/>
        <w:ind w:left="2794" w:right="0" w:firstLine="0"/>
        <w:jc w:val="left"/>
        <w:rPr>
          <w:sz w:val="28"/>
          <w:szCs w:val="28"/>
          <w:lang w:val="en-US"/>
        </w:rPr>
      </w:pPr>
    </w:p>
    <w:p w14:paraId="3FAFA9EE" w14:textId="77777777" w:rsidR="00B84F05" w:rsidRDefault="00846886">
      <w:pPr>
        <w:spacing w:after="533" w:line="259" w:lineRule="auto"/>
        <w:ind w:left="118" w:right="0" w:firstLine="0"/>
        <w:jc w:val="center"/>
      </w:pPr>
      <w:r>
        <w:rPr>
          <w:noProof/>
        </w:rPr>
        <w:drawing>
          <wp:inline distT="0" distB="0" distL="0" distR="0" wp14:anchorId="285659A5" wp14:editId="13B9CEA2">
            <wp:extent cx="1547495" cy="2289429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228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8"/>
        </w:rPr>
        <w:t xml:space="preserve"> </w:t>
      </w:r>
    </w:p>
    <w:p w14:paraId="5116DF8F" w14:textId="1E24F375" w:rsidR="00B84F05" w:rsidRDefault="00335A92">
      <w:pPr>
        <w:spacing w:after="0" w:line="276" w:lineRule="auto"/>
        <w:ind w:left="2768" w:right="2712" w:firstLine="0"/>
        <w:jc w:val="center"/>
      </w:pPr>
      <w:r>
        <w:rPr>
          <w:b/>
          <w:sz w:val="48"/>
        </w:rPr>
        <w:t>Hoja de Trabajo #2</w:t>
      </w:r>
    </w:p>
    <w:p w14:paraId="758B5174" w14:textId="77777777" w:rsidR="007A79D8" w:rsidRDefault="007A79D8">
      <w:pPr>
        <w:spacing w:after="2" w:line="307" w:lineRule="auto"/>
        <w:ind w:left="3364" w:right="3306" w:firstLine="0"/>
        <w:jc w:val="center"/>
        <w:rPr>
          <w:b/>
          <w:sz w:val="25"/>
        </w:rPr>
      </w:pPr>
    </w:p>
    <w:p w14:paraId="7CC0CD8B" w14:textId="77777777" w:rsidR="00333208" w:rsidRDefault="00333208">
      <w:pPr>
        <w:spacing w:after="2" w:line="307" w:lineRule="auto"/>
        <w:ind w:left="3364" w:right="3306" w:firstLine="0"/>
        <w:jc w:val="center"/>
        <w:rPr>
          <w:b/>
          <w:sz w:val="25"/>
        </w:rPr>
      </w:pPr>
    </w:p>
    <w:p w14:paraId="0B9A37D3" w14:textId="77777777" w:rsidR="00333208" w:rsidRDefault="00333208">
      <w:pPr>
        <w:spacing w:after="2" w:line="307" w:lineRule="auto"/>
        <w:ind w:left="3364" w:right="3306" w:firstLine="0"/>
        <w:jc w:val="center"/>
        <w:rPr>
          <w:b/>
          <w:sz w:val="25"/>
        </w:rPr>
      </w:pPr>
    </w:p>
    <w:p w14:paraId="365C438A" w14:textId="77777777" w:rsidR="0064534F" w:rsidRDefault="00846886">
      <w:pPr>
        <w:spacing w:after="541" w:line="265" w:lineRule="auto"/>
        <w:ind w:right="4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>Roberto Barreda #23354</w:t>
      </w:r>
    </w:p>
    <w:p w14:paraId="0C97CD38" w14:textId="77777777" w:rsidR="00B84F05" w:rsidRPr="00333208" w:rsidRDefault="00846886">
      <w:pPr>
        <w:spacing w:after="541" w:line="265" w:lineRule="auto"/>
        <w:ind w:right="4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 </w:t>
      </w:r>
    </w:p>
    <w:p w14:paraId="36A886C8" w14:textId="4AB45450" w:rsidR="00B84F05" w:rsidRPr="00333208" w:rsidRDefault="00846886" w:rsidP="007A79D8">
      <w:pPr>
        <w:spacing w:after="99" w:line="258" w:lineRule="auto"/>
        <w:ind w:left="40" w:right="32"/>
        <w:jc w:val="center"/>
        <w:rPr>
          <w:sz w:val="28"/>
          <w:szCs w:val="28"/>
        </w:rPr>
      </w:pPr>
      <w:r w:rsidRPr="00333208">
        <w:rPr>
          <w:sz w:val="28"/>
          <w:szCs w:val="28"/>
        </w:rPr>
        <w:t xml:space="preserve">Guatemala, </w:t>
      </w:r>
      <w:r w:rsidR="00873CF6">
        <w:rPr>
          <w:sz w:val="28"/>
          <w:szCs w:val="28"/>
        </w:rPr>
        <w:t>5</w:t>
      </w:r>
      <w:r w:rsidRPr="00333208">
        <w:rPr>
          <w:sz w:val="28"/>
          <w:szCs w:val="28"/>
        </w:rPr>
        <w:t xml:space="preserve"> de </w:t>
      </w:r>
      <w:r w:rsidR="00D02257">
        <w:rPr>
          <w:sz w:val="28"/>
          <w:szCs w:val="28"/>
        </w:rPr>
        <w:t>octubre</w:t>
      </w:r>
      <w:r w:rsidRPr="00333208">
        <w:rPr>
          <w:sz w:val="28"/>
          <w:szCs w:val="28"/>
        </w:rPr>
        <w:t xml:space="preserve"> de 2026 </w:t>
      </w:r>
    </w:p>
    <w:p w14:paraId="7A476B4A" w14:textId="77777777" w:rsidR="00C60A05" w:rsidRDefault="00C60A05" w:rsidP="00335A92">
      <w:pPr>
        <w:ind w:left="0" w:firstLine="0"/>
        <w:sectPr w:rsidR="00C60A05">
          <w:pgSz w:w="12240" w:h="15840"/>
          <w:pgMar w:top="1304" w:right="1302" w:bottom="1356" w:left="1304" w:header="720" w:footer="720" w:gutter="0"/>
          <w:cols w:space="720"/>
        </w:sectPr>
      </w:pPr>
    </w:p>
    <w:p>
      <w:pPr>
        <w:keepNext/>
        <w:spacing w:before="120" w:after="40" w:line="240" w:lineRule="auto"/>
        <w:ind w:left="0" w:firstLine="0"/>
        <w:jc w:val="left"/>
      </w:pPr>
      <w:r>
        <w:rPr>
          <w:rFonts w:ascii="Times New Roman" w:hAnsi="Times New Roman" w:eastAsia="Times New Roman"/>
          <w:b/>
          <w:sz w:val="26"/>
        </w:rPr>
        <w:t>1. De las RNN a la atención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¿Qué es el "cuello de botella" del seq2seq con RNN y por qué empeora con oraciones largas? ¿Cómo lo resuelve la atención de Bahdanau?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El encoder comprime la entrada en su último estado oculto, un vector de tamaño fijo, y el decoder genera la salida a partir de él. Con oraciones largas ese vector guarda más información en el mismo espacio y lo leído al inicio se pierde. Bahdanau et al. conservan todos los estados del encoder y en cada paso el decoder calcula pesos sobre ellos para formar su propio contexto.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¿Qué diferencia hay entre la atención aditiva de Bahdanau y la de producto punto de Luong? ¿Cuál es más eficiente en hardware moderno?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La aditiva puntúa con una red de una capa, v</w:t>
      </w:r>
      <w:r>
        <w:rPr>
          <w:rFonts w:ascii="Times New Roman" w:hAnsi="Times New Roman" w:eastAsia="Times New Roman"/>
          <w:b w:val="0"/>
          <w:sz w:val="24"/>
          <w:vertAlign w:val="superscript"/>
        </w:rPr>
        <w:t>T</w:t>
      </w:r>
      <w:r>
        <w:rPr>
          <w:rFonts w:ascii="Times New Roman" w:hAnsi="Times New Roman" w:eastAsia="Times New Roman"/>
          <w:b w:val="0"/>
          <w:sz w:val="24"/>
        </w:rPr>
        <w:t xml:space="preserve"> tanh(W</w:t>
      </w:r>
      <w:r>
        <w:rPr>
          <w:rFonts w:ascii="Times New Roman" w:hAnsi="Times New Roman" w:eastAsia="Times New Roman"/>
          <w:b w:val="0"/>
          <w:sz w:val="24"/>
          <w:vertAlign w:val="subscript"/>
        </w:rPr>
        <w:t>1</w:t>
      </w:r>
      <w:r>
        <w:rPr>
          <w:rFonts w:ascii="Times New Roman" w:hAnsi="Times New Roman" w:eastAsia="Times New Roman"/>
          <w:b w:val="0"/>
          <w:sz w:val="24"/>
        </w:rPr>
        <w:t>s + W</w:t>
      </w:r>
      <w:r>
        <w:rPr>
          <w:rFonts w:ascii="Times New Roman" w:hAnsi="Times New Roman" w:eastAsia="Times New Roman"/>
          <w:b w:val="0"/>
          <w:sz w:val="24"/>
          <w:vertAlign w:val="subscript"/>
        </w:rPr>
        <w:t>2</w:t>
      </w:r>
      <w:r>
        <w:rPr>
          <w:rFonts w:ascii="Times New Roman" w:hAnsi="Times New Roman" w:eastAsia="Times New Roman"/>
          <w:b w:val="0"/>
          <w:sz w:val="24"/>
        </w:rPr>
        <w:t>h), y la de Luong con el producto punto s</w:t>
      </w:r>
      <w:r>
        <w:rPr>
          <w:rFonts w:ascii="Times New Roman" w:hAnsi="Times New Roman" w:eastAsia="Times New Roman"/>
          <w:b w:val="0"/>
          <w:sz w:val="24"/>
          <w:vertAlign w:val="superscript"/>
        </w:rPr>
        <w:t>T</w:t>
      </w:r>
      <w:r>
        <w:rPr>
          <w:rFonts w:ascii="Times New Roman" w:hAnsi="Times New Roman" w:eastAsia="Times New Roman"/>
          <w:b w:val="0"/>
          <w:sz w:val="24"/>
        </w:rPr>
        <w:t>h o s</w:t>
      </w:r>
      <w:r>
        <w:rPr>
          <w:rFonts w:ascii="Times New Roman" w:hAnsi="Times New Roman" w:eastAsia="Times New Roman"/>
          <w:b w:val="0"/>
          <w:sz w:val="24"/>
          <w:vertAlign w:val="superscript"/>
        </w:rPr>
        <w:t>T</w:t>
      </w:r>
      <w:r>
        <w:rPr>
          <w:rFonts w:ascii="Times New Roman" w:hAnsi="Times New Roman" w:eastAsia="Times New Roman"/>
          <w:b w:val="0"/>
          <w:sz w:val="24"/>
        </w:rPr>
        <w:t>Wh. La de producto punto es más eficiente porque todos los puntajes salen de una multiplicación de matrices, que la GPU ejecuta en paralelo.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¿Cómo funciona la analogía de consulta, llave y valor como búsqueda "suave" en un diccionario? ¿De dónde salen Q, K y V?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Un diccionario devuelve el valor de la llave que coincide con la consulta. La atención compara la consulta con todas las llaves, convierte las similitudes en pesos con softmax y devuelve el promedio ponderado de los valores. En self-attention Q, K y V son proyecciones de la misma secuencia. En cross-attention Q viene del decoder y K y V del encoder.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¿Qué limitaciones de las RNN elimina el Transformer al prescindir de la recurrencia?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La RNN calcula el estado t después del t - 1 y no se paraleliza en el tiempo. La señal entre tokens separados por n posiciones recorre n pasos y el gradiente se multiplica n veces por la misma matriz, por lo que se desvanece. El Transformer procesa todos los tokens a la vez y conecta cualquier par en un paso.</w:t>
      </w:r>
    </w:p>
    <w:p>
      <w:pPr>
        <w:keepNext/>
        <w:spacing w:before="120" w:after="40" w:line="240" w:lineRule="auto"/>
        <w:ind w:left="0" w:firstLine="0"/>
        <w:jc w:val="left"/>
      </w:pPr>
      <w:r>
        <w:rPr>
          <w:rFonts w:ascii="Times New Roman" w:hAnsi="Times New Roman" w:eastAsia="Times New Roman"/>
          <w:b/>
          <w:sz w:val="26"/>
        </w:rPr>
        <w:t>2. La arquitectura Transformer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Scaled dot-product attention. ¿Por qué se divide entre la raíz de d</w:t>
      </w:r>
      <w:r>
        <w:rPr>
          <w:rFonts w:ascii="Times New Roman" w:hAnsi="Times New Roman" w:eastAsia="Times New Roman"/>
          <w:b/>
          <w:sz w:val="24"/>
          <w:vertAlign w:val="subscript"/>
        </w:rPr>
        <w:t>k</w:t>
      </w:r>
      <w:r>
        <w:rPr>
          <w:rFonts w:ascii="Times New Roman" w:hAnsi="Times New Roman" w:eastAsia="Times New Roman"/>
          <w:b/>
          <w:sz w:val="24"/>
        </w:rPr>
        <w:t>? ¿Cuál es la varianza del producto punto y qué le pasa a la softmax sin escalar?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Si q y k tienen componentes independientes con media 0 y varianza 1, su producto punto suma d</w:t>
      </w:r>
      <w:r>
        <w:rPr>
          <w:rFonts w:ascii="Times New Roman" w:hAnsi="Times New Roman" w:eastAsia="Times New Roman"/>
          <w:b w:val="0"/>
          <w:sz w:val="24"/>
          <w:vertAlign w:val="subscript"/>
        </w:rPr>
        <w:t>k</w:t>
      </w:r>
      <w:r>
        <w:rPr>
          <w:rFonts w:ascii="Times New Roman" w:hAnsi="Times New Roman" w:eastAsia="Times New Roman"/>
          <w:b w:val="0"/>
          <w:sz w:val="24"/>
        </w:rPr>
        <w:t xml:space="preserve"> productos de varianza 1 y su varianza es d</w:t>
      </w:r>
      <w:r>
        <w:rPr>
          <w:rFonts w:ascii="Times New Roman" w:hAnsi="Times New Roman" w:eastAsia="Times New Roman"/>
          <w:b w:val="0"/>
          <w:sz w:val="24"/>
          <w:vertAlign w:val="subscript"/>
        </w:rPr>
        <w:t>k</w:t>
      </w:r>
      <w:r>
        <w:rPr>
          <w:rFonts w:ascii="Times New Roman" w:hAnsi="Times New Roman" w:eastAsia="Times New Roman"/>
          <w:b w:val="0"/>
          <w:sz w:val="24"/>
        </w:rPr>
        <w:t>. Dividir entre la raíz de d</w:t>
      </w:r>
      <w:r>
        <w:rPr>
          <w:rFonts w:ascii="Times New Roman" w:hAnsi="Times New Roman" w:eastAsia="Times New Roman"/>
          <w:b w:val="0"/>
          <w:sz w:val="24"/>
          <w:vertAlign w:val="subscript"/>
        </w:rPr>
        <w:t>k</w:t>
      </w:r>
      <w:r>
        <w:rPr>
          <w:rFonts w:ascii="Times New Roman" w:hAnsi="Times New Roman" w:eastAsia="Times New Roman"/>
          <w:b w:val="0"/>
          <w:sz w:val="24"/>
        </w:rPr>
        <w:t xml:space="preserve"> la regresa a 1. Sin escalar, la softmax concentra el peso en una llave, su jacobiano tiende a cero y Q y K dejan de aprender, como muestra la Figura 1.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Multi-head attention. ¿Qué se gana con h cabezas de dimensión d</w:t>
      </w:r>
      <w:r>
        <w:rPr>
          <w:rFonts w:ascii="Times New Roman" w:hAnsi="Times New Roman" w:eastAsia="Times New Roman"/>
          <w:b/>
          <w:sz w:val="24"/>
          <w:vertAlign w:val="subscript"/>
        </w:rPr>
        <w:t>model</w:t>
      </w:r>
      <w:r>
        <w:rPr>
          <w:rFonts w:ascii="Times New Roman" w:hAnsi="Times New Roman" w:eastAsia="Times New Roman"/>
          <w:b/>
          <w:sz w:val="24"/>
        </w:rPr>
        <w:t>/h? ¿Cambian los parámetros?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Cada cabeza tiene proyecciones propias y aprende un tipo de relación, como posición, sintaxis o correferencia, en lugar de mezclarlas en una distribución. Los parámetros no cambian porque las proyecciones siguen siendo de d</w:t>
      </w:r>
      <w:r>
        <w:rPr>
          <w:rFonts w:ascii="Times New Roman" w:hAnsi="Times New Roman" w:eastAsia="Times New Roman"/>
          <w:b w:val="0"/>
          <w:sz w:val="24"/>
          <w:vertAlign w:val="subscript"/>
        </w:rPr>
        <w:t>model</w:t>
      </w:r>
      <w:r>
        <w:rPr>
          <w:rFonts w:ascii="Times New Roman" w:hAnsi="Times New Roman" w:eastAsia="Times New Roman"/>
          <w:b w:val="0"/>
          <w:sz w:val="24"/>
        </w:rPr>
        <w:t xml:space="preserve"> x d</w:t>
      </w:r>
      <w:r>
        <w:rPr>
          <w:rFonts w:ascii="Times New Roman" w:hAnsi="Times New Roman" w:eastAsia="Times New Roman"/>
          <w:b w:val="0"/>
          <w:sz w:val="24"/>
          <w:vertAlign w:val="subscript"/>
        </w:rPr>
        <w:t>model</w:t>
      </w:r>
      <w:r>
        <w:rPr>
          <w:rFonts w:ascii="Times New Roman" w:hAnsi="Times New Roman" w:eastAsia="Times New Roman"/>
          <w:b w:val="0"/>
          <w:sz w:val="24"/>
        </w:rPr>
        <w:t>. En el notebook una capa con d</w:t>
      </w:r>
      <w:r>
        <w:rPr>
          <w:rFonts w:ascii="Times New Roman" w:hAnsi="Times New Roman" w:eastAsia="Times New Roman"/>
          <w:b w:val="0"/>
          <w:sz w:val="24"/>
          <w:vertAlign w:val="subscript"/>
        </w:rPr>
        <w:t>model</w:t>
      </w:r>
      <w:r>
        <w:rPr>
          <w:rFonts w:ascii="Times New Roman" w:hAnsi="Times New Roman" w:eastAsia="Times New Roman"/>
          <w:b w:val="0"/>
          <w:sz w:val="24"/>
        </w:rPr>
        <w:t xml:space="preserve"> = 512 tiene 1,050,624 parámetros con 1 y con 8 cabezas.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Codificación posicional. ¿Por qué la self-attention no conoce el orden? ¿Cómo se compara la sinusoidal con los embeddings aprendidos y RoPE?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Los pesos dependen del contenido y no de la posición, así que permutar los tokens permuta la salida. La sinusoidal suma senos y cosenos de frecuencias geométricas, PE(pos, 2i) = sin(pos / 10000</w:t>
      </w:r>
      <w:r>
        <w:rPr>
          <w:rFonts w:ascii="Times New Roman" w:hAnsi="Times New Roman" w:eastAsia="Times New Roman"/>
          <w:b w:val="0"/>
          <w:sz w:val="24"/>
          <w:vertAlign w:val="superscript"/>
        </w:rPr>
        <w:t>2i/d</w:t>
      </w:r>
      <w:r>
        <w:rPr>
          <w:rFonts w:ascii="Times New Roman" w:hAnsi="Times New Roman" w:eastAsia="Times New Roman"/>
          <w:b w:val="0"/>
          <w:sz w:val="24"/>
        </w:rPr>
        <w:t>), sin parámetros. Los embeddings aprendidos de BERT y GPT-2 se limitan a la longitud máxima. RoPE rota q y k según su posición y el producto punto depende de la distancia entre tokens.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Bloque completo. ¿Qué diferencia hay entre Post-LN y Pre-LN?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La residual deja pasar el gradiente, LayerNorm normaliza cada token y la feed-forward transforma cada posición. Post-LN normaliza después de la suma, LN(x + F(x)), y necesita warm-up. Pre-LN normaliza antes, x + F(LN(x)), y entrena redes profundas sin warm-up según Xiong et al. (2020).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Complejidad. ¿Cuál es el costo de la self-attention respecto a n y cómo se reduce?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El tiempo es O(n</w:t>
      </w:r>
      <w:r>
        <w:rPr>
          <w:rFonts w:ascii="Times New Roman" w:hAnsi="Times New Roman" w:eastAsia="Times New Roman"/>
          <w:b w:val="0"/>
          <w:sz w:val="24"/>
          <w:vertAlign w:val="superscript"/>
        </w:rPr>
        <w:t>2</w:t>
      </w:r>
      <w:r>
        <w:rPr>
          <w:rFonts w:ascii="Times New Roman" w:hAnsi="Times New Roman" w:eastAsia="Times New Roman"/>
          <w:b w:val="0"/>
          <w:sz w:val="24"/>
        </w:rPr>
        <w:t>d) y la memoria O(n</w:t>
      </w:r>
      <w:r>
        <w:rPr>
          <w:rFonts w:ascii="Times New Roman" w:hAnsi="Times New Roman" w:eastAsia="Times New Roman"/>
          <w:b w:val="0"/>
          <w:sz w:val="24"/>
          <w:vertAlign w:val="superscript"/>
        </w:rPr>
        <w:t>2</w:t>
      </w:r>
      <w:r>
        <w:rPr>
          <w:rFonts w:ascii="Times New Roman" w:hAnsi="Times New Roman" w:eastAsia="Times New Roman"/>
          <w:b w:val="0"/>
          <w:sz w:val="24"/>
        </w:rPr>
        <w:t>). FlashAttention calcula por bloques en la SRAM con memoria O(n) y resultado exacto, pero el tiempo sigue en O(n</w:t>
      </w:r>
      <w:r>
        <w:rPr>
          <w:rFonts w:ascii="Times New Roman" w:hAnsi="Times New Roman" w:eastAsia="Times New Roman"/>
          <w:b w:val="0"/>
          <w:sz w:val="24"/>
          <w:vertAlign w:val="superscript"/>
        </w:rPr>
        <w:t>2</w:t>
      </w:r>
      <w:r>
        <w:rPr>
          <w:rFonts w:ascii="Times New Roman" w:hAnsi="Times New Roman" w:eastAsia="Times New Roman"/>
          <w:b w:val="0"/>
          <w:sz w:val="24"/>
        </w:rPr>
        <w:t>). Las ventanas de Longformer cuestan O(nw) y pierden relaciones lejanas. La atención lineal cambia la softmax por un producto de funciones de q y k con costo O(n) y aproxima el resultado.</w:t>
      </w:r>
    </w:p>
    <w:p>
      <w:pPr>
        <w:keepNext/>
        <w:spacing w:before="120" w:after="40" w:line="240" w:lineRule="auto"/>
        <w:ind w:left="0" w:firstLine="0"/>
        <w:jc w:val="left"/>
      </w:pPr>
      <w:r>
        <w:rPr>
          <w:rFonts w:ascii="Times New Roman" w:hAnsi="Times New Roman" w:eastAsia="Times New Roman"/>
          <w:b/>
          <w:sz w:val="26"/>
        </w:rPr>
        <w:t>3. Atención en PyTorch y Hugging Face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F.scaled_dot_product_attention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Calcula la atención con el kernel disponible. attn_mask es booleana, con True en las posiciones permitidas, o flotante y se suma a los puntajes. dropout_p aplica dropout a los pesos, is_causal aplica la máscara triangular sin construirla y scale reemplaza 1 / raíz de d</w:t>
      </w:r>
      <w:r>
        <w:rPr>
          <w:rFonts w:ascii="Times New Roman" w:hAnsi="Times New Roman" w:eastAsia="Times New Roman"/>
          <w:b w:val="0"/>
          <w:sz w:val="24"/>
          <w:vertAlign w:val="subscript"/>
        </w:rPr>
        <w:t>k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nn.MultiheadAttention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Implementa la atención con h cabezas y sus proyecciones. embed_dim es d</w:t>
      </w:r>
      <w:r>
        <w:rPr>
          <w:rFonts w:ascii="Times New Roman" w:hAnsi="Times New Roman" w:eastAsia="Times New Roman"/>
          <w:b w:val="0"/>
          <w:sz w:val="24"/>
          <w:vertAlign w:val="subscript"/>
        </w:rPr>
        <w:t>model</w:t>
      </w:r>
      <w:r>
        <w:rPr>
          <w:rFonts w:ascii="Times New Roman" w:hAnsi="Times New Roman" w:eastAsia="Times New Roman"/>
          <w:b w:val="0"/>
          <w:sz w:val="24"/>
        </w:rPr>
        <w:t>, num_heads debe dividirlo, batch_first usa la forma batch x n x d y kdim y vdim aceptan llaves y valores de otra dimensión. En el forward, key_padding_mask ignora el relleno, attn_mask bloquea pares, need_weights devuelve los pesos y average_attn_weights los promedia entre cabezas.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nn.TransformerEncoderLayer y generate_square_subsequent_mask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Es un bloque con self-attention, feed-forward, residuales y LayerNorm. d_model, nhead y dropout fijan la dimensión, las cabezas y la tasa de dropout, dim_feedforward el tamaño oculto y norm_first elige Pre-LN. generate_square_subsequent_mask(n) devuelve 0 en la diagonal y debajo y -inf arriba como máscara causal.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output_attentions en Hugging Face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Con output_attentions=True se obtiene una tupla con un tensor de batch x cabezas x n x n por capa, 12 de 1 x 12 x n x n en BERT y GPT-2 base. Se usa attn_implementation="eager" porque SDPA no devuelve los pesos.</w:t>
      </w:r>
    </w:p>
    <w:p>
      <w:pPr>
        <w:keepNext/>
        <w:spacing w:before="120" w:after="40" w:line="240" w:lineRule="auto"/>
        <w:ind w:left="0" w:firstLine="0"/>
        <w:jc w:val="left"/>
      </w:pPr>
      <w:r>
        <w:rPr>
          <w:rFonts w:ascii="Times New Roman" w:hAnsi="Times New Roman" w:eastAsia="Times New Roman"/>
          <w:b/>
          <w:sz w:val="26"/>
        </w:rPr>
        <w:t>4. Ejercicio a mano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Se usan tres tokens con d</w:t>
      </w:r>
      <w:r>
        <w:rPr>
          <w:rFonts w:ascii="Times New Roman" w:hAnsi="Times New Roman" w:eastAsia="Times New Roman"/>
          <w:b w:val="0"/>
          <w:sz w:val="24"/>
          <w:vertAlign w:val="subscript"/>
        </w:rPr>
        <w:t>k</w:t>
      </w:r>
      <w:r>
        <w:rPr>
          <w:rFonts w:ascii="Times New Roman" w:hAnsi="Times New Roman" w:eastAsia="Times New Roman"/>
          <w:b w:val="0"/>
          <w:sz w:val="24"/>
        </w:rPr>
        <w:t xml:space="preserve"> = 2. Se calcula QK</w:t>
      </w:r>
      <w:r>
        <w:rPr>
          <w:rFonts w:ascii="Times New Roman" w:hAnsi="Times New Roman" w:eastAsia="Times New Roman"/>
          <w:b w:val="0"/>
          <w:sz w:val="24"/>
          <w:vertAlign w:val="superscript"/>
        </w:rPr>
        <w:t>T</w:t>
      </w:r>
      <w:r>
        <w:rPr>
          <w:rFonts w:ascii="Times New Roman" w:hAnsi="Times New Roman" w:eastAsia="Times New Roman"/>
          <w:b w:val="0"/>
          <w:sz w:val="24"/>
        </w:rPr>
        <w:t>, se divide entre la raíz de 2 = 1.4142, se aplica softmax por fila y se multiplica por V. En la fila 1 los puntajes escalados son 0.7071, 0 y 0.7071. Como e</w:t>
      </w:r>
      <w:r>
        <w:rPr>
          <w:rFonts w:ascii="Times New Roman" w:hAnsi="Times New Roman" w:eastAsia="Times New Roman"/>
          <w:b w:val="0"/>
          <w:sz w:val="24"/>
          <w:vertAlign w:val="superscript"/>
        </w:rPr>
        <w:t>0.7071</w:t>
      </w:r>
      <w:r>
        <w:rPr>
          <w:rFonts w:ascii="Times New Roman" w:hAnsi="Times New Roman" w:eastAsia="Times New Roman"/>
          <w:b w:val="0"/>
          <w:sz w:val="24"/>
        </w:rPr>
        <w:t xml:space="preserve"> = 2.0281, la suma es 5.0562 y los pesos son 0.4011, 0.1978 y 0.4011. La salida es 0.4011[1, 2] + 0.1978[3, 4] + 0.4011[5, 6] = [3, 4]. Con máscara causal el token 1 se ve a sí mismo y el token 2 reparte 0.5 entre los dos primeros. El notebook reproduce la Tabla 1 con error menor a 1e-4.</w:t>
      </w:r>
    </w:p>
    <w:p>
      <w:pPr>
        <w:keepNext/>
        <w:spacing w:before="0" w:after="40" w:line="240" w:lineRule="auto"/>
        <w:ind w:left="0" w:firstLine="0"/>
        <w:jc w:val="center"/>
      </w:pPr>
      <w:r>
        <w:rPr>
          <w:rFonts w:ascii="Times New Roman" w:hAnsi="Times New Roman" w:eastAsia="Times New Roman"/>
          <w:b w:val="0"/>
          <w:sz w:val="20"/>
        </w:rPr>
        <w:t>Tabla 1. Pasos del ejercicio a mano. Cada fila es una consulta con sus puntajes, pesos y salida.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cantSplit/>
        </w:trPr>
        <w:tc>
          <w:tcPr>
            <w:tcW w:type="dxa" w:w="576"/>
            <w:shd w:val="clear" w:color="auto" w:fill="D9E2F3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Token</w:t>
            </w:r>
          </w:p>
        </w:tc>
        <w:tc>
          <w:tcPr>
            <w:tcW w:type="dxa" w:w="648"/>
            <w:shd w:val="clear" w:color="auto" w:fill="D9E2F3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q</w:t>
            </w:r>
          </w:p>
        </w:tc>
        <w:tc>
          <w:tcPr>
            <w:tcW w:type="dxa" w:w="648"/>
            <w:shd w:val="clear" w:color="auto" w:fill="D9E2F3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k</w:t>
            </w:r>
          </w:p>
        </w:tc>
        <w:tc>
          <w:tcPr>
            <w:tcW w:type="dxa" w:w="648"/>
            <w:shd w:val="clear" w:color="auto" w:fill="D9E2F3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v</w:t>
            </w:r>
          </w:p>
        </w:tc>
        <w:tc>
          <w:tcPr>
            <w:tcW w:type="dxa" w:w="1008"/>
            <w:shd w:val="clear" w:color="auto" w:fill="D9E2F3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Fila de QK</w:t>
            </w:r>
            <w:r>
              <w:rPr>
                <w:rFonts w:ascii="Times New Roman" w:hAnsi="Times New Roman" w:eastAsia="Times New Roman"/>
                <w:b/>
                <w:sz w:val="18"/>
                <w:vertAlign w:val="superscript"/>
              </w:rPr>
              <w:t>T</w:t>
            </w:r>
          </w:p>
        </w:tc>
        <w:tc>
          <w:tcPr>
            <w:tcW w:type="dxa" w:w="1728"/>
            <w:shd w:val="clear" w:color="auto" w:fill="D9E2F3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Escalada</w:t>
            </w:r>
          </w:p>
        </w:tc>
        <w:tc>
          <w:tcPr>
            <w:tcW w:type="dxa" w:w="1944"/>
            <w:shd w:val="clear" w:color="auto" w:fill="D9E2F3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Pesos</w:t>
            </w:r>
          </w:p>
        </w:tc>
        <w:tc>
          <w:tcPr>
            <w:tcW w:type="dxa" w:w="1440"/>
            <w:shd w:val="clear" w:color="auto" w:fill="D9E2F3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Salida</w:t>
            </w:r>
          </w:p>
        </w:tc>
        <w:tc>
          <w:tcPr>
            <w:tcW w:type="dxa" w:w="1440"/>
            <w:shd w:val="clear" w:color="auto" w:fill="D9E2F3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Salida causal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[1, 0]</w:t>
            </w:r>
          </w:p>
        </w:tc>
        <w:tc>
          <w:tcPr>
            <w:tcW w:type="dxa" w:w="64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[1, 1]</w:t>
            </w:r>
          </w:p>
        </w:tc>
        <w:tc>
          <w:tcPr>
            <w:tcW w:type="dxa" w:w="64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[1, 2]</w:t>
            </w:r>
          </w:p>
        </w:tc>
        <w:tc>
          <w:tcPr>
            <w:tcW w:type="dxa" w:w="100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1, 0, 1</w:t>
            </w:r>
          </w:p>
        </w:tc>
        <w:tc>
          <w:tcPr>
            <w:tcW w:type="dxa" w:w="172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0.7071, 0, 0.7071</w:t>
            </w:r>
          </w:p>
        </w:tc>
        <w:tc>
          <w:tcPr>
            <w:tcW w:type="dxa" w:w="1944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0.4011, 0.1978, 0.4011</w:t>
            </w:r>
          </w:p>
        </w:tc>
        <w:tc>
          <w:tcPr>
            <w:tcW w:type="dxa" w:w="1440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[3.0000, 4.0000]</w:t>
            </w:r>
          </w:p>
        </w:tc>
        <w:tc>
          <w:tcPr>
            <w:tcW w:type="dxa" w:w="1440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[1.0000, 2.0000]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[0, 1]</w:t>
            </w:r>
          </w:p>
        </w:tc>
        <w:tc>
          <w:tcPr>
            <w:tcW w:type="dxa" w:w="64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[0, 1]</w:t>
            </w:r>
          </w:p>
        </w:tc>
        <w:tc>
          <w:tcPr>
            <w:tcW w:type="dxa" w:w="64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[3, 4]</w:t>
            </w:r>
          </w:p>
        </w:tc>
        <w:tc>
          <w:tcPr>
            <w:tcW w:type="dxa" w:w="100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1, 1, 0</w:t>
            </w:r>
          </w:p>
        </w:tc>
        <w:tc>
          <w:tcPr>
            <w:tcW w:type="dxa" w:w="172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0.7071, 0.7071, 0</w:t>
            </w:r>
          </w:p>
        </w:tc>
        <w:tc>
          <w:tcPr>
            <w:tcW w:type="dxa" w:w="1944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0.4011, 0.4011, 0.1978</w:t>
            </w:r>
          </w:p>
        </w:tc>
        <w:tc>
          <w:tcPr>
            <w:tcW w:type="dxa" w:w="1440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[2.5933, 3.5933]</w:t>
            </w:r>
          </w:p>
        </w:tc>
        <w:tc>
          <w:tcPr>
            <w:tcW w:type="dxa" w:w="1440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[2.0000, 3.0000]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[1, 1]</w:t>
            </w:r>
          </w:p>
        </w:tc>
        <w:tc>
          <w:tcPr>
            <w:tcW w:type="dxa" w:w="64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[1, 0]</w:t>
            </w:r>
          </w:p>
        </w:tc>
        <w:tc>
          <w:tcPr>
            <w:tcW w:type="dxa" w:w="64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[5, 6]</w:t>
            </w:r>
          </w:p>
        </w:tc>
        <w:tc>
          <w:tcPr>
            <w:tcW w:type="dxa" w:w="100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2, 1, 1</w:t>
            </w:r>
          </w:p>
        </w:tc>
        <w:tc>
          <w:tcPr>
            <w:tcW w:type="dxa" w:w="1728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1.4142, 0.7071, 0.7071</w:t>
            </w:r>
          </w:p>
        </w:tc>
        <w:tc>
          <w:tcPr>
            <w:tcW w:type="dxa" w:w="1944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0.5035, 0.2483, 0.2483</w:t>
            </w:r>
          </w:p>
        </w:tc>
        <w:tc>
          <w:tcPr>
            <w:tcW w:type="dxa" w:w="1440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[2.4895, 3.4895]</w:t>
            </w:r>
          </w:p>
        </w:tc>
        <w:tc>
          <w:tcPr>
            <w:tcW w:type="dxa" w:w="1440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[2.4895, 3.4895]</w:t>
            </w:r>
          </w:p>
        </w:tc>
      </w:tr>
    </w:tbl>
    <w:p>
      <w:pPr>
        <w:keepNext w:val="0"/>
        <w:spacing w:before="0" w:after="40" w:line="240" w:lineRule="auto"/>
        <w:ind w:left="0" w:firstLine="0"/>
        <w:jc w:val="both"/>
      </w:pPr>
    </w:p>
    <w:p>
      <w:pPr>
        <w:keepNext/>
        <w:spacing w:before="120" w:after="40" w:line="240" w:lineRule="auto"/>
        <w:ind w:left="0" w:firstLine="0"/>
        <w:jc w:val="left"/>
      </w:pPr>
      <w:r>
        <w:rPr>
          <w:rFonts w:ascii="Times New Roman" w:hAnsi="Times New Roman" w:eastAsia="Times New Roman"/>
          <w:b/>
          <w:sz w:val="26"/>
        </w:rPr>
        <w:t>5. Verificaciones</w:t>
      </w:r>
    </w:p>
    <w:p>
      <w:pPr>
        <w:keepNext/>
        <w:spacing w:before="0" w:after="40" w:line="240" w:lineRule="auto"/>
        <w:ind w:left="0" w:firstLine="0"/>
        <w:jc w:val="center"/>
      </w:pPr>
      <w:r>
        <w:rPr>
          <w:rFonts w:ascii="Times New Roman" w:hAnsi="Times New Roman" w:eastAsia="Times New Roman"/>
          <w:b w:val="0"/>
          <w:sz w:val="20"/>
        </w:rPr>
        <w:t>Tabla 2. Diferencia máxima entre la implementación propia y PyTorch. Todas están en el orden del redondeo de float32.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7200"/>
            <w:shd w:val="clear" w:color="auto" w:fill="D9E2F3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Verificación</w:t>
            </w:r>
          </w:p>
        </w:tc>
        <w:tc>
          <w:tcPr>
            <w:tcW w:type="dxa" w:w="1872"/>
            <w:shd w:val="clear" w:color="auto" w:fill="D9E2F3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Error máximo</w:t>
            </w:r>
          </w:p>
        </w:tc>
      </w:tr>
      <w:tr>
        <w:trPr>
          <w:cantSplit/>
        </w:trPr>
        <w:tc>
          <w:tcPr>
            <w:tcW w:type="dxa" w:w="7200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Propia contra F.scaled_dot_product_attention sin máscara</w:t>
            </w:r>
          </w:p>
        </w:tc>
        <w:tc>
          <w:tcPr>
            <w:tcW w:type="dxa" w:w="1872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3.6e-7</w:t>
            </w:r>
          </w:p>
        </w:tc>
      </w:tr>
      <w:tr>
        <w:trPr>
          <w:cantSplit/>
        </w:trPr>
        <w:tc>
          <w:tcPr>
            <w:tcW w:type="dxa" w:w="7200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Propia contra F.scaled_dot_product_attention con is_causal</w:t>
            </w:r>
          </w:p>
        </w:tc>
        <w:tc>
          <w:tcPr>
            <w:tcW w:type="dxa" w:w="1872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2.4e-7</w:t>
            </w:r>
          </w:p>
        </w:tc>
      </w:tr>
      <w:tr>
        <w:trPr>
          <w:cantSplit/>
        </w:trPr>
        <w:tc>
          <w:tcPr>
            <w:tcW w:type="dxa" w:w="7200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Suma de cada fila de pesos menos 1</w:t>
            </w:r>
          </w:p>
        </w:tc>
        <w:tc>
          <w:tcPr>
            <w:tcW w:type="dxa" w:w="1872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1.8e-7</w:t>
            </w:r>
          </w:p>
        </w:tc>
      </w:tr>
      <w:tr>
        <w:trPr>
          <w:cantSplit/>
        </w:trPr>
        <w:tc>
          <w:tcPr>
            <w:tcW w:type="dxa" w:w="7200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Multi-head propia contra nn.MultiheadAttention, salida y pesos</w:t>
            </w:r>
          </w:p>
        </w:tc>
        <w:tc>
          <w:tcPr>
            <w:tcW w:type="dxa" w:w="1872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6.0e-8</w:t>
            </w:r>
          </w:p>
        </w:tc>
      </w:tr>
      <w:tr>
        <w:trPr>
          <w:cantSplit/>
        </w:trPr>
        <w:tc>
          <w:tcPr>
            <w:tcW w:type="dxa" w:w="7200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Posiciones distintas con generate_square_subsequent_mask</w:t>
            </w:r>
          </w:p>
        </w:tc>
        <w:tc>
          <w:tcPr>
            <w:tcW w:type="dxa" w:w="1872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200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Peso sobre la diagonal con máscara causal y en 1,152 matrices de GPT-2</w:t>
            </w:r>
          </w:p>
        </w:tc>
        <w:tc>
          <w:tcPr>
            <w:tcW w:type="dxa" w:w="1872"/>
          </w:tcPr>
          <w:p>
            <w:pPr>
              <w:keepNext/>
              <w:spacing w:before="0" w:after="0" w:line="240" w:lineRule="auto"/>
              <w:ind w:left="0"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</w:tr>
    </w:tbl>
    <w:p>
      <w:pPr>
        <w:keepNext w:val="0"/>
        <w:spacing w:before="0" w:after="40" w:line="240" w:lineRule="auto"/>
        <w:ind w:left="0" w:firstLine="0"/>
        <w:jc w:val="both"/>
      </w:pPr>
    </w:p>
    <w:p>
      <w:pPr>
        <w:keepNext/>
        <w:spacing w:before="120" w:after="40" w:line="240" w:lineRule="auto"/>
        <w:ind w:left="0" w:firstLine="0"/>
        <w:jc w:val="left"/>
      </w:pPr>
      <w:r>
        <w:rPr>
          <w:rFonts w:ascii="Times New Roman" w:hAnsi="Times New Roman" w:eastAsia="Times New Roman"/>
          <w:b/>
          <w:sz w:val="26"/>
        </w:rPr>
        <w:t>6. Escalamiento y costo computacional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Sin escalar, la varianza del producto punto coincide con d</w:t>
      </w:r>
      <w:r>
        <w:rPr>
          <w:rFonts w:ascii="Times New Roman" w:hAnsi="Times New Roman" w:eastAsia="Times New Roman"/>
          <w:b w:val="0"/>
          <w:sz w:val="24"/>
          <w:vertAlign w:val="subscript"/>
        </w:rPr>
        <w:t>k</w:t>
      </w:r>
      <w:r>
        <w:rPr>
          <w:rFonts w:ascii="Times New Roman" w:hAnsi="Times New Roman" w:eastAsia="Times New Roman"/>
          <w:b w:val="0"/>
          <w:sz w:val="24"/>
        </w:rPr>
        <w:t>, la entropía normalizada de la softmax cae de 0.65 a 0.03 y la norma del jacobiano baja de 0.30 a 0.055. Con el escalamiento las tres medidas no dependen de d</w:t>
      </w:r>
      <w:r>
        <w:rPr>
          <w:rFonts w:ascii="Times New Roman" w:hAnsi="Times New Roman" w:eastAsia="Times New Roman"/>
          <w:b w:val="0"/>
          <w:sz w:val="24"/>
          <w:vertAlign w:val="subscript"/>
        </w:rPr>
        <w:t>k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keepNext/>
        <w:spacing w:before="40" w:after="20" w:line="240" w:lineRule="auto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53170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alamien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31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40" w:lineRule="auto"/>
        <w:ind w:left="0" w:firstLine="0"/>
        <w:jc w:val="center"/>
      </w:pPr>
      <w:r>
        <w:rPr>
          <w:rFonts w:ascii="Times New Roman" w:hAnsi="Times New Roman" w:eastAsia="Times New Roman"/>
          <w:b w:val="0"/>
          <w:sz w:val="20"/>
        </w:rPr>
        <w:t>Figura 1. Efecto de dividir entre la raíz de d</w:t>
      </w:r>
      <w:r>
        <w:rPr>
          <w:rFonts w:ascii="Times New Roman" w:hAnsi="Times New Roman" w:eastAsia="Times New Roman"/>
          <w:b w:val="0"/>
          <w:sz w:val="20"/>
          <w:vertAlign w:val="subscript"/>
        </w:rPr>
        <w:t>k</w:t>
      </w:r>
      <w:r>
        <w:rPr>
          <w:rFonts w:ascii="Times New Roman" w:hAnsi="Times New Roman" w:eastAsia="Times New Roman"/>
          <w:b w:val="0"/>
          <w:sz w:val="20"/>
        </w:rPr>
        <w:t xml:space="preserve"> sobre la varianza del producto punto, la entropía de la softmax con 32 llaves y la norma de su jacobiano.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La versión propia guarda la matriz n x n y su memoria crece con n</w:t>
      </w:r>
      <w:r>
        <w:rPr>
          <w:rFonts w:ascii="Times New Roman" w:hAnsi="Times New Roman" w:eastAsia="Times New Roman"/>
          <w:b w:val="0"/>
          <w:sz w:val="24"/>
          <w:vertAlign w:val="superscript"/>
        </w:rPr>
        <w:t>2</w:t>
      </w:r>
      <w:r>
        <w:rPr>
          <w:rFonts w:ascii="Times New Roman" w:hAnsi="Times New Roman" w:eastAsia="Times New Roman"/>
          <w:b w:val="0"/>
          <w:sz w:val="24"/>
        </w:rPr>
        <w:t xml:space="preserve"> hasta 8,208 MB en n = 16,384. El kernel de memoria eficiente de SDPA procesa por bloques y usa 16 MB. PyTorch para Windows no incluye FlashAttention, por eso se usó ese kernel. El tiempo crece con n</w:t>
      </w:r>
      <w:r>
        <w:rPr>
          <w:rFonts w:ascii="Times New Roman" w:hAnsi="Times New Roman" w:eastAsia="Times New Roman"/>
          <w:b w:val="0"/>
          <w:sz w:val="24"/>
          <w:vertAlign w:val="superscript"/>
        </w:rPr>
        <w:t>2</w:t>
      </w:r>
      <w:r>
        <w:rPr>
          <w:rFonts w:ascii="Times New Roman" w:hAnsi="Times New Roman" w:eastAsia="Times New Roman"/>
          <w:b w:val="0"/>
          <w:sz w:val="24"/>
        </w:rPr>
        <w:t xml:space="preserve"> en ambos porque las operaciones son las mismas, aunque SDPA tarda 10.8 ms contra 65.7 ms.</w:t>
      </w:r>
    </w:p>
    <w:p>
      <w:pPr>
        <w:keepNext/>
        <w:spacing w:before="40" w:after="20" w:line="240" w:lineRule="auto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153023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530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40" w:lineRule="auto"/>
        <w:ind w:left="0" w:firstLine="0"/>
        <w:jc w:val="center"/>
      </w:pPr>
      <w:r>
        <w:rPr>
          <w:rFonts w:ascii="Times New Roman" w:hAnsi="Times New Roman" w:eastAsia="Times New Roman"/>
          <w:b w:val="0"/>
          <w:sz w:val="20"/>
        </w:rPr>
        <w:t>Figura 2. Tiempo y memoria pico de la atención con 8 cabezas, d = 64 y float16 en una RTX 4080 Laptop. La línea punteada marca la pendiente n</w:t>
      </w:r>
      <w:r>
        <w:rPr>
          <w:rFonts w:ascii="Times New Roman" w:hAnsi="Times New Roman" w:eastAsia="Times New Roman"/>
          <w:b w:val="0"/>
          <w:sz w:val="20"/>
          <w:vertAlign w:val="superscript"/>
        </w:rPr>
        <w:t>2</w:t>
      </w:r>
      <w:r>
        <w:rPr>
          <w:rFonts w:ascii="Times New Roman" w:hAnsi="Times New Roman" w:eastAsia="Times New Roman"/>
          <w:b w:val="0"/>
          <w:sz w:val="20"/>
        </w:rPr>
        <w:t>.</w:t>
      </w:r>
    </w:p>
    <w:p>
      <w:pPr>
        <w:keepNext/>
        <w:spacing w:before="120" w:after="40" w:line="240" w:lineRule="auto"/>
        <w:ind w:left="0" w:firstLine="0"/>
        <w:jc w:val="left"/>
      </w:pPr>
      <w:r>
        <w:rPr>
          <w:rFonts w:ascii="Times New Roman" w:hAnsi="Times New Roman" w:eastAsia="Times New Roman"/>
          <w:b/>
          <w:sz w:val="26"/>
        </w:rPr>
        <w:t>7. Mapas de atención en BERT y GPT-2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Para cada cabeza se midió la atención al token anterior, a [CLS] o [SEP], a la puntuación y a otra aparición de la misma palabra, y la Figura 3 muestra la cabeza con el valor mayor en capas distintas. En BERT hay cabezas de token anterior, de [SEP] con 0.87 de la atención, de coma y punto, y una que une cada "cat" y cada "the" con su otra aparición. En GPT-2 la cabeza 11 de la capa 4 pone peso 1.0 en el token anterior y la cabeza 2 de la capa 7 manda la atención al primer token. GPT-2 no tiene cabezas de token siguiente por la máscara causal.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En el par del enunciado, la cabeza 10 de la capa 6 de BERT da 0.28 a "animal" y 0.07 a "street" con tired, y 0.59 a "street" y 0.01 a "animal" con wide. 22 de 144 cabezas cumplen ambos casos. En GPT-2 el peso sobre la diagonal es 0 en todas las matrices. El primer token recibe 0.24 de la atención en la capa 0 y entre 0.69 y 0.83 desde la capa 5, frente a 0.185 de una distribución uniforme. Con otras palabras iniciales el valor queda entre 0.69 y 0.78, así que depende de la posición. Es el attention sink de Xiao et al. (2023), donde el primer token absorbe la atención que sobra porque la softmax obliga a sumar 1. BERT usa [SEP] igual entre las capas 4 y 9.</w:t>
      </w:r>
    </w:p>
    <w:p>
      <w:pPr>
        <w:keepNext w:val="0"/>
        <w:spacing w:before="0" w:after="8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Las capas profundas atienden de forma más concentrada. En BERT la entropía baja de 2.02 nats en la capa 0 a 1.15 en la capa 7 y sube a 1.39 en la 11. En GPT-2 baja de 1.28 a 0.59 en la capa 9 y es menor que en BERT en todas las capas, en parte por el peso en el primer token. La Figura 4 resume estos tres resultados.</w:t>
      </w:r>
    </w:p>
    <w:p>
      <w:pPr>
        <w:keepNext/>
        <w:spacing w:before="40" w:after="20" w:line="240" w:lineRule="auto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0815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s_ca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8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40" w:lineRule="auto"/>
        <w:ind w:left="0" w:firstLine="0"/>
        <w:jc w:val="center"/>
      </w:pPr>
      <w:r>
        <w:rPr>
          <w:rFonts w:ascii="Times New Roman" w:hAnsi="Times New Roman" w:eastAsia="Times New Roman"/>
          <w:b w:val="0"/>
          <w:sz w:val="20"/>
        </w:rPr>
        <w:t>Figura 3. Pesos de cuatro cabezas de BERT, arriba, y de GPT-2, abajo, para la oración The cat sat on the mat, and the cat was happy. Las filas son consultas y las columnas llaves.</w:t>
      </w:r>
    </w:p>
    <w:p>
      <w:pPr>
        <w:keepNext/>
        <w:spacing w:before="40" w:after="20" w:line="240" w:lineRule="auto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161228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mode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12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240" w:lineRule="auto"/>
        <w:ind w:left="0" w:firstLine="0"/>
        <w:jc w:val="center"/>
      </w:pPr>
      <w:r>
        <w:rPr>
          <w:rFonts w:ascii="Times New Roman" w:hAnsi="Times New Roman" w:eastAsia="Times New Roman"/>
          <w:b w:val="0"/>
          <w:sz w:val="20"/>
        </w:rPr>
        <w:t>Figura 4. Atención desde "it" en la cabeza de correferencia de BERT, atención al primer token de GPT-2 y a [CLS] y [SEP] de BERT por capa, y entropía promedio por capa en 8 oraciones.</w:t>
      </w:r>
    </w:p>
    <w:p>
      <w:pPr>
        <w:keepNext/>
        <w:spacing w:before="120" w:after="40" w:line="240" w:lineRule="auto"/>
        <w:ind w:left="0" w:firstLine="0"/>
        <w:jc w:val="left"/>
      </w:pPr>
      <w:r>
        <w:rPr>
          <w:rFonts w:ascii="Times New Roman" w:hAnsi="Times New Roman" w:eastAsia="Times New Roman"/>
          <w:b/>
          <w:sz w:val="26"/>
        </w:rPr>
        <w:t>8. Discusión y análisis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¿Por qué la atención permitió entrenar modelos más grandes que las RNN?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La atención procesa todos los tokens con multiplicaciones de matrices, sin dependencia entre pasos, y aprovecha el paralelismo de la GPU. El camino entre dos tokens es de un paso en lugar de n y el gradiente no se desvanece. El costo cuadrático es el precio, pero para 512 a 2048 tokens pesa menos que la secuencialidad y kernels como el de la Figura 2 reducen su memoria.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¿Qué evidencia hay de que las cabezas se especializan? ¿Todas parecen útiles?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La Figura 3 muestra cabezas de token anterior con pesos de 0.61 en BERT y 1.0 en GPT-2, de puntuación, de palabras repetidas y una cabeza de BERT que sigue la correferencia de "it". No todas parecen útiles. En la oración de la Figura 3 el primer token recibe 0.65 de la atención de GPT-2 y [SEP] 0.31 de la de BERT. Clark et al. (2019) ven la atención a [SEP] como una operación nula y Michel et al. (2019) eliminan muchas cabezas sin perder rendimiento.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¿Los pesos de atención explican las decisiones del modelo?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No de forma completa. 22 de 144 cabezas siguen la correferencia y elegir la que confirma la hipótesis es un sesgo. Los pesos dicen de dónde se mezcla la información, no cuánto influye cada token, y las cabezas que envían 0.8 al primer token tienen peso alto sin contenido. Jain y Wallace (2019) muestran que los pesos se correlacionan poco con la importancia por gradientes y que otras distribuciones dan la misma predicción. Wiegreffe y Pinter (2019) responden que esas distribuciones no surgen al entrenar y que la atención puede ser una explicación plausible, no la única. Los mapas sirven para formar hipótesis que se validan con ablaciones.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¿En qué casos preferirían una RNN o una CNN sobre un Transformer?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Con pocos datos, porque las CNN y las RNN traen sesgos de localidad y orden. En streaming o en dispositivos con poca memoria, donde la RNN procesa cada dato con memoria constante. En audio o series de cientos de miles de pasos, donde las CNN escalan de forma lineal.</w:t>
      </w:r>
    </w:p>
    <w:p>
      <w:pPr>
        <w:keepNext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/>
          <w:sz w:val="24"/>
        </w:rPr>
        <w:t>¿Qué problema darían documentos de 100,000 tokens y qué alternativas considerarían?</w:t>
      </w:r>
    </w:p>
    <w:p>
      <w:pPr>
        <w:keepNext w:val="0"/>
        <w:spacing w:before="0" w:after="10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La matriz de puntajes tendría 10</w:t>
      </w:r>
      <w:r>
        <w:rPr>
          <w:rFonts w:ascii="Times New Roman" w:hAnsi="Times New Roman" w:eastAsia="Times New Roman"/>
          <w:b w:val="0"/>
          <w:sz w:val="24"/>
          <w:vertAlign w:val="superscript"/>
        </w:rPr>
        <w:t>10</w:t>
      </w:r>
      <w:r>
        <w:rPr>
          <w:rFonts w:ascii="Times New Roman" w:hAnsi="Times New Roman" w:eastAsia="Times New Roman"/>
          <w:b w:val="0"/>
          <w:sz w:val="24"/>
        </w:rPr>
        <w:t xml:space="preserve"> elementos por cabeza y capa, 20 GB en float16, y la versión propia con 8 cabezas necesitaría cerca de 300 GB por capa según la Figura 2. Usaría FlashAttention o el kernel eficiente, que son exactos con memoria lineal, junto con atención por ventanas, RoPE con interpolación de posiciones o fragmentos con recuperación.</w:t>
      </w:r>
    </w:p>
    <w:p>
      <w:pPr>
        <w:keepNext/>
        <w:spacing w:before="120" w:after="40" w:line="240" w:lineRule="auto"/>
        <w:ind w:left="0" w:firstLine="0"/>
        <w:jc w:val="left"/>
      </w:pPr>
      <w:r>
        <w:rPr>
          <w:rFonts w:ascii="Times New Roman" w:hAnsi="Times New Roman" w:eastAsia="Times New Roman"/>
          <w:b/>
          <w:sz w:val="26"/>
        </w:rPr>
        <w:t>9. Conclusiones</w:t>
      </w:r>
    </w:p>
    <w:p>
      <w:pPr>
        <w:keepNext w:val="0"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1. Dividir entre la raíz de d</w:t>
      </w:r>
      <w:r>
        <w:rPr>
          <w:rFonts w:ascii="Times New Roman" w:hAnsi="Times New Roman" w:eastAsia="Times New Roman"/>
          <w:b w:val="0"/>
          <w:sz w:val="24"/>
          <w:vertAlign w:val="subscript"/>
        </w:rPr>
        <w:t>k</w:t>
      </w:r>
      <w:r>
        <w:rPr>
          <w:rFonts w:ascii="Times New Roman" w:hAnsi="Times New Roman" w:eastAsia="Times New Roman"/>
          <w:b w:val="0"/>
          <w:sz w:val="24"/>
        </w:rPr>
        <w:t xml:space="preserve"> mantiene la varianza de los puntajes en 1 y evita que la softmax se sature.</w:t>
      </w:r>
    </w:p>
    <w:p>
      <w:pPr>
        <w:keepNext w:val="0"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2. La memoria de la atención estándar crece con n</w:t>
      </w:r>
      <w:r>
        <w:rPr>
          <w:rFonts w:ascii="Times New Roman" w:hAnsi="Times New Roman" w:eastAsia="Times New Roman"/>
          <w:b w:val="0"/>
          <w:sz w:val="24"/>
          <w:vertAlign w:val="superscript"/>
        </w:rPr>
        <w:t>2</w:t>
      </w:r>
      <w:r>
        <w:rPr>
          <w:rFonts w:ascii="Times New Roman" w:hAnsi="Times New Roman" w:eastAsia="Times New Roman"/>
          <w:b w:val="0"/>
          <w:sz w:val="24"/>
        </w:rPr>
        <w:t xml:space="preserve"> y el kernel eficiente de SDPA la reduce de 8,208 MB a 16 MB con n = 16,384.</w:t>
      </w:r>
    </w:p>
    <w:p>
      <w:pPr>
        <w:keepNext w:val="0"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3. Las cabezas de BERT y GPT-2 se especializan en token anterior, puntuación, palabras repetidas y correferencia.</w:t>
      </w:r>
    </w:p>
    <w:p>
      <w:pPr>
        <w:keepNext w:val="0"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4. GPT-2 envía entre 0.69 y 0.83 de la atención al primer token desde la capa 5 sin importar la palabra.</w:t>
      </w:r>
    </w:p>
    <w:p>
      <w:pPr>
        <w:keepNext w:val="0"/>
        <w:spacing w:before="0" w:after="20" w:line="240" w:lineRule="auto"/>
        <w:ind w:left="0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5. Las capas profundas de BERT y GPT-2 atienden de forma más concentrada que las primeras.</w:t>
      </w:r>
    </w:p>
    <w:p>
      <w:pPr>
        <w:keepNext/>
        <w:spacing w:before="120" w:after="40" w:line="240" w:lineRule="auto"/>
        <w:ind w:left="0" w:firstLine="0"/>
        <w:jc w:val="left"/>
      </w:pPr>
      <w:r>
        <w:rPr>
          <w:rFonts w:ascii="Times New Roman" w:hAnsi="Times New Roman" w:eastAsia="Times New Roman"/>
          <w:b/>
          <w:sz w:val="26"/>
        </w:rPr>
        <w:t>10. Referencias</w:t>
      </w:r>
    </w:p>
    <w:p>
      <w:pPr>
        <w:keepNext w:val="0"/>
        <w:spacing w:before="0" w:after="20" w:line="240" w:lineRule="auto"/>
        <w:ind w:left="360" w:hanging="360"/>
        <w:jc w:val="left"/>
      </w:pPr>
      <w:r>
        <w:rPr>
          <w:rFonts w:ascii="Times New Roman" w:hAnsi="Times New Roman" w:eastAsia="Times New Roman"/>
          <w:b w:val="0"/>
          <w:sz w:val="20"/>
        </w:rPr>
        <w:t>Bahdanau, D., Cho, K., &amp; Bengio, Y. (2015). Neural machine translation by jointly learning to align and translate. ICLR. arXiv:1409.0473.</w:t>
      </w:r>
    </w:p>
    <w:p>
      <w:pPr>
        <w:keepNext w:val="0"/>
        <w:spacing w:before="0" w:after="20" w:line="240" w:lineRule="auto"/>
        <w:ind w:left="360" w:hanging="360"/>
        <w:jc w:val="left"/>
      </w:pPr>
      <w:r>
        <w:rPr>
          <w:rFonts w:ascii="Times New Roman" w:hAnsi="Times New Roman" w:eastAsia="Times New Roman"/>
          <w:b w:val="0"/>
          <w:sz w:val="20"/>
        </w:rPr>
        <w:t>Beltagy, I., Peters, M. E., &amp; Cohan, A. (2020). Longformer: The long-document transformer. arXiv:2004.05150.</w:t>
      </w:r>
    </w:p>
    <w:p>
      <w:pPr>
        <w:keepNext w:val="0"/>
        <w:spacing w:before="0" w:after="20" w:line="240" w:lineRule="auto"/>
        <w:ind w:left="360" w:hanging="360"/>
        <w:jc w:val="left"/>
      </w:pPr>
      <w:r>
        <w:rPr>
          <w:rFonts w:ascii="Times New Roman" w:hAnsi="Times New Roman" w:eastAsia="Times New Roman"/>
          <w:b w:val="0"/>
          <w:sz w:val="20"/>
        </w:rPr>
        <w:t>Clark, K., Khandelwal, U., Levy, O., &amp; Manning, C. D. (2019). What does BERT look at? An analysis of BERT's attention. BlackboxNLP. arXiv:1906.04341.</w:t>
      </w:r>
    </w:p>
    <w:p>
      <w:pPr>
        <w:keepNext w:val="0"/>
        <w:spacing w:before="0" w:after="20" w:line="240" w:lineRule="auto"/>
        <w:ind w:left="360" w:hanging="360"/>
        <w:jc w:val="left"/>
      </w:pPr>
      <w:r>
        <w:rPr>
          <w:rFonts w:ascii="Times New Roman" w:hAnsi="Times New Roman" w:eastAsia="Times New Roman"/>
          <w:b w:val="0"/>
          <w:sz w:val="20"/>
        </w:rPr>
        <w:t>Dao, T., Fu, D. Y., Ermon, S., Rudra, A., &amp; Ré, C. (2022). FlashAttention: Fast and memory-efficient exact attention with IO-awareness. NeurIPS. arXiv:2205.14135.</w:t>
      </w:r>
    </w:p>
    <w:p>
      <w:pPr>
        <w:keepNext w:val="0"/>
        <w:spacing w:before="0" w:after="20" w:line="240" w:lineRule="auto"/>
        <w:ind w:left="360" w:hanging="360"/>
        <w:jc w:val="left"/>
      </w:pPr>
      <w:r>
        <w:rPr>
          <w:rFonts w:ascii="Times New Roman" w:hAnsi="Times New Roman" w:eastAsia="Times New Roman"/>
          <w:b w:val="0"/>
          <w:sz w:val="20"/>
        </w:rPr>
        <w:t>Jain, S., &amp; Wallace, B. C. (2019). Attention is not explanation. NAACL. arXiv:1902.10186.</w:t>
      </w:r>
    </w:p>
    <w:p>
      <w:pPr>
        <w:keepNext w:val="0"/>
        <w:spacing w:before="0" w:after="20" w:line="240" w:lineRule="auto"/>
        <w:ind w:left="360" w:hanging="360"/>
        <w:jc w:val="left"/>
      </w:pPr>
      <w:r>
        <w:rPr>
          <w:rFonts w:ascii="Times New Roman" w:hAnsi="Times New Roman" w:eastAsia="Times New Roman"/>
          <w:b w:val="0"/>
          <w:sz w:val="20"/>
        </w:rPr>
        <w:t>Katharopoulos, A., Vyas, A., Pappas, N., &amp; Fleuret, F. (2020). Transformers are RNNs: Fast autoregressive transformers with linear attention. ICML. arXiv:2006.16236.</w:t>
      </w:r>
    </w:p>
    <w:p>
      <w:pPr>
        <w:keepNext w:val="0"/>
        <w:spacing w:before="0" w:after="20" w:line="240" w:lineRule="auto"/>
        <w:ind w:left="360" w:hanging="360"/>
        <w:jc w:val="left"/>
      </w:pPr>
      <w:r>
        <w:rPr>
          <w:rFonts w:ascii="Times New Roman" w:hAnsi="Times New Roman" w:eastAsia="Times New Roman"/>
          <w:b w:val="0"/>
          <w:sz w:val="20"/>
        </w:rPr>
        <w:t>Luong, M. T., Pham, H., &amp; Manning, C. D. (2015). Effective approaches to attention-based neural machine translation. EMNLP. arXiv:1508.04025.</w:t>
      </w:r>
    </w:p>
    <w:p>
      <w:pPr>
        <w:keepNext w:val="0"/>
        <w:spacing w:before="0" w:after="20" w:line="240" w:lineRule="auto"/>
        <w:ind w:left="360" w:hanging="360"/>
        <w:jc w:val="left"/>
      </w:pPr>
      <w:r>
        <w:rPr>
          <w:rFonts w:ascii="Times New Roman" w:hAnsi="Times New Roman" w:eastAsia="Times New Roman"/>
          <w:b w:val="0"/>
          <w:sz w:val="20"/>
        </w:rPr>
        <w:t>Michel, P., Levy, O., &amp; Neubig, G. (2019). Are sixteen heads really better than one? NeurIPS. arXiv:1905.10650.</w:t>
      </w:r>
    </w:p>
    <w:p>
      <w:pPr>
        <w:keepNext w:val="0"/>
        <w:spacing w:before="0" w:after="20" w:line="240" w:lineRule="auto"/>
        <w:ind w:left="360" w:hanging="360"/>
        <w:jc w:val="left"/>
      </w:pPr>
      <w:r>
        <w:rPr>
          <w:rFonts w:ascii="Times New Roman" w:hAnsi="Times New Roman" w:eastAsia="Times New Roman"/>
          <w:b w:val="0"/>
          <w:sz w:val="20"/>
        </w:rPr>
        <w:t>Su, J., Lu, Y., Pan, S., Murtadha, A., Wen, B., &amp; Liu, Y. (2021). RoFormer: Enhanced transformer with rotary position embedding. arXiv:2104.09864.</w:t>
      </w:r>
    </w:p>
    <w:p>
      <w:pPr>
        <w:keepNext w:val="0"/>
        <w:spacing w:before="0" w:after="20" w:line="240" w:lineRule="auto"/>
        <w:ind w:left="360" w:hanging="360"/>
        <w:jc w:val="left"/>
      </w:pPr>
      <w:r>
        <w:rPr>
          <w:rFonts w:ascii="Times New Roman" w:hAnsi="Times New Roman" w:eastAsia="Times New Roman"/>
          <w:b w:val="0"/>
          <w:sz w:val="20"/>
        </w:rPr>
        <w:t>Vaswani, A., Shazeer, N., Parmar, N., Uszkoreit, J., Jones, L., Gomez, A. N., Kaiser, L., &amp; Polosukhin, I. (2017). Attention is all you need. NeurIPS. arXiv:1706.03762.</w:t>
      </w:r>
    </w:p>
    <w:p>
      <w:pPr>
        <w:keepNext w:val="0"/>
        <w:spacing w:before="0" w:after="20" w:line="240" w:lineRule="auto"/>
        <w:ind w:left="360" w:hanging="360"/>
        <w:jc w:val="left"/>
      </w:pPr>
      <w:r>
        <w:rPr>
          <w:rFonts w:ascii="Times New Roman" w:hAnsi="Times New Roman" w:eastAsia="Times New Roman"/>
          <w:b w:val="0"/>
          <w:sz w:val="20"/>
        </w:rPr>
        <w:t>Wiegreffe, S., &amp; Pinter, Y. (2019). Attention is not not explanation. EMNLP. arXiv:1908.04626.</w:t>
      </w:r>
    </w:p>
    <w:p>
      <w:pPr>
        <w:keepNext w:val="0"/>
        <w:spacing w:before="0" w:after="20" w:line="240" w:lineRule="auto"/>
        <w:ind w:left="360" w:hanging="360"/>
        <w:jc w:val="left"/>
      </w:pPr>
      <w:r>
        <w:rPr>
          <w:rFonts w:ascii="Times New Roman" w:hAnsi="Times New Roman" w:eastAsia="Times New Roman"/>
          <w:b w:val="0"/>
          <w:sz w:val="20"/>
        </w:rPr>
        <w:t>Xiao, G., Tian, Y., Chen, B., Han, S., &amp; Lewis, M. (2023). Efficient streaming language models with attention sinks. arXiv:2309.17453.</w:t>
      </w:r>
    </w:p>
    <w:p>
      <w:pPr>
        <w:keepNext w:val="0"/>
        <w:spacing w:before="0" w:after="20" w:line="240" w:lineRule="auto"/>
        <w:ind w:left="360" w:hanging="360"/>
        <w:jc w:val="left"/>
      </w:pPr>
      <w:r>
        <w:rPr>
          <w:rFonts w:ascii="Times New Roman" w:hAnsi="Times New Roman" w:eastAsia="Times New Roman"/>
          <w:b w:val="0"/>
          <w:sz w:val="20"/>
        </w:rPr>
        <w:t>Xiong, R., Yang, Y., He, D., Zheng, K., Zheng, S., Xing, C., Zhang, H., Lan, Y., Wang, L., &amp; Liu, T. (2020). On layer normalization in the transformer architecture. ICML. arXiv:2002.04745.</w:t>
      </w:r>
    </w:p>
    <w:p>
      <w:pPr>
        <w:keepNext/>
        <w:spacing w:before="120" w:after="40" w:line="240" w:lineRule="auto"/>
        <w:ind w:left="0" w:firstLine="0"/>
        <w:jc w:val="left"/>
      </w:pPr>
      <w:r>
        <w:rPr>
          <w:rFonts w:ascii="Times New Roman" w:hAnsi="Times New Roman" w:eastAsia="Times New Roman"/>
          <w:b/>
          <w:sz w:val="26"/>
        </w:rPr>
        <w:t>Repositorio</w:t>
      </w:r>
    </w:p>
    <w:p>
      <w:pPr>
        <w:keepNext w:val="0"/>
        <w:spacing w:before="0" w:after="0" w:line="240" w:lineRule="auto"/>
        <w:ind w:left="0" w:firstLine="0"/>
        <w:jc w:val="left"/>
      </w:pPr>
      <w:hyperlink r:id="rId12">
        <w:r>
          <w:rPr>
            <w:rFonts w:ascii="Times New Roman" w:hAnsi="Times New Roman" w:eastAsia="Times New Roman" w:cs="Times New Roman"/>
            <w:color w:val="0563C1"/>
            <w:sz w:val="24"/>
          </w:rPr>
          <w:t>https://github.com/bar23354/DL-HDT2</w:t>
        </w:r>
      </w:hyperlink>
    </w:p>
    <w:sectPr w:rsidR="009E5B3E"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6AEA"/>
    <w:multiLevelType w:val="multilevel"/>
    <w:tmpl w:val="D236F5C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EA6F3C"/>
    <w:multiLevelType w:val="hybridMultilevel"/>
    <w:tmpl w:val="9182A6FC"/>
    <w:lvl w:ilvl="0" w:tplc="93A0C8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787A0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B4837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ADC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4A2D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F42D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6622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3C90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2BD6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662D08"/>
    <w:multiLevelType w:val="hybridMultilevel"/>
    <w:tmpl w:val="9614EF8C"/>
    <w:lvl w:ilvl="0" w:tplc="6CB2782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E674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BA9C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D49C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2497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B03F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D2E6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1E17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3014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4537162">
    <w:abstractNumId w:val="1"/>
  </w:num>
  <w:num w:numId="2" w16cid:durableId="796069538">
    <w:abstractNumId w:val="2"/>
  </w:num>
  <w:num w:numId="3" w16cid:durableId="102991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F05"/>
    <w:rsid w:val="000128C9"/>
    <w:rsid w:val="000307ED"/>
    <w:rsid w:val="000A7069"/>
    <w:rsid w:val="000B4DFB"/>
    <w:rsid w:val="000E478B"/>
    <w:rsid w:val="000E7103"/>
    <w:rsid w:val="00100602"/>
    <w:rsid w:val="001163E7"/>
    <w:rsid w:val="00147DA5"/>
    <w:rsid w:val="001775D5"/>
    <w:rsid w:val="001A23EA"/>
    <w:rsid w:val="001B5321"/>
    <w:rsid w:val="001D2355"/>
    <w:rsid w:val="00255643"/>
    <w:rsid w:val="002974FA"/>
    <w:rsid w:val="002E0173"/>
    <w:rsid w:val="00333208"/>
    <w:rsid w:val="00335A92"/>
    <w:rsid w:val="00411659"/>
    <w:rsid w:val="00435B4E"/>
    <w:rsid w:val="0043771B"/>
    <w:rsid w:val="00507C4A"/>
    <w:rsid w:val="00512B51"/>
    <w:rsid w:val="00570C53"/>
    <w:rsid w:val="005C4311"/>
    <w:rsid w:val="005E1464"/>
    <w:rsid w:val="00604B3F"/>
    <w:rsid w:val="0064534F"/>
    <w:rsid w:val="006E676F"/>
    <w:rsid w:val="007A79D8"/>
    <w:rsid w:val="008454E1"/>
    <w:rsid w:val="00846886"/>
    <w:rsid w:val="00872F96"/>
    <w:rsid w:val="00873CF6"/>
    <w:rsid w:val="008F400D"/>
    <w:rsid w:val="009E5B3E"/>
    <w:rsid w:val="00A07598"/>
    <w:rsid w:val="00A202F9"/>
    <w:rsid w:val="00A74F9A"/>
    <w:rsid w:val="00A84BC8"/>
    <w:rsid w:val="00A90EF9"/>
    <w:rsid w:val="00AC0AFC"/>
    <w:rsid w:val="00AC3167"/>
    <w:rsid w:val="00AF02B8"/>
    <w:rsid w:val="00AF5598"/>
    <w:rsid w:val="00B27EAD"/>
    <w:rsid w:val="00B84F05"/>
    <w:rsid w:val="00BD1432"/>
    <w:rsid w:val="00C60A05"/>
    <w:rsid w:val="00CF20DF"/>
    <w:rsid w:val="00D02257"/>
    <w:rsid w:val="00F1487E"/>
    <w:rsid w:val="00F54D48"/>
    <w:rsid w:val="00FE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0A16"/>
  <w15:docId w15:val="{42EA63E9-D67D-4B37-B357-0AE4D7ED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7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4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68" w:line="259" w:lineRule="auto"/>
      <w:ind w:left="3374" w:right="3306" w:hanging="10"/>
      <w:outlineLvl w:val="1"/>
    </w:pPr>
    <w:rPr>
      <w:rFonts w:ascii="Times New Roman" w:eastAsia="Times New Roman" w:hAnsi="Times New Roman" w:cs="Times New Roman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5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47D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DA5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AC0AFC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s://github.com/bar23354/DL-HDT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Roberto Siekavizza</cp:lastModifiedBy>
  <cp:revision>27</cp:revision>
  <dcterms:created xsi:type="dcterms:W3CDTF">2026-07-31T04:43:00Z</dcterms:created>
  <dcterms:modified xsi:type="dcterms:W3CDTF">2026-10-06T04:12:00Z</dcterms:modified>
</cp:coreProperties>
</file>