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113BD" w14:textId="77777777" w:rsidR="00B84F05" w:rsidRPr="00333208" w:rsidRDefault="00846886">
      <w:pPr>
        <w:spacing w:after="396" w:line="259" w:lineRule="auto"/>
        <w:ind w:left="56" w:right="0" w:firstLine="0"/>
        <w:jc w:val="center"/>
        <w:rPr>
          <w:sz w:val="28"/>
          <w:szCs w:val="28"/>
        </w:rPr>
      </w:pPr>
      <w:r w:rsidRPr="00333208">
        <w:rPr>
          <w:sz w:val="28"/>
          <w:szCs w:val="28"/>
        </w:rPr>
        <w:t xml:space="preserve"> </w:t>
      </w:r>
    </w:p>
    <w:p w14:paraId="615F0137" w14:textId="77777777" w:rsidR="00B84F05" w:rsidRDefault="00846886">
      <w:pPr>
        <w:spacing w:after="19" w:line="259" w:lineRule="auto"/>
        <w:ind w:left="2498" w:right="0" w:firstLine="0"/>
        <w:jc w:val="left"/>
        <w:rPr>
          <w:sz w:val="32"/>
          <w:szCs w:val="32"/>
        </w:rPr>
      </w:pPr>
      <w:r w:rsidRPr="00333208">
        <w:rPr>
          <w:b/>
          <w:sz w:val="32"/>
          <w:szCs w:val="32"/>
        </w:rPr>
        <w:t>Universidad del Valle de Guatemala</w:t>
      </w:r>
      <w:r w:rsidRPr="00333208">
        <w:rPr>
          <w:sz w:val="32"/>
          <w:szCs w:val="32"/>
        </w:rPr>
        <w:t xml:space="preserve"> </w:t>
      </w:r>
    </w:p>
    <w:p w14:paraId="14BE86BB" w14:textId="77777777" w:rsidR="00333208" w:rsidRPr="00333208" w:rsidRDefault="00333208">
      <w:pPr>
        <w:spacing w:after="19" w:line="259" w:lineRule="auto"/>
        <w:ind w:left="2498" w:right="0" w:firstLine="0"/>
        <w:jc w:val="left"/>
        <w:rPr>
          <w:sz w:val="32"/>
          <w:szCs w:val="32"/>
        </w:rPr>
      </w:pPr>
    </w:p>
    <w:p w14:paraId="6C436F0D" w14:textId="77777777" w:rsidR="00B84F05" w:rsidRPr="00333208" w:rsidRDefault="00846886">
      <w:pPr>
        <w:spacing w:after="58" w:line="259" w:lineRule="auto"/>
        <w:ind w:left="0" w:right="5" w:firstLine="0"/>
        <w:jc w:val="center"/>
        <w:rPr>
          <w:sz w:val="28"/>
          <w:szCs w:val="28"/>
        </w:rPr>
      </w:pPr>
      <w:r w:rsidRPr="00333208">
        <w:rPr>
          <w:sz w:val="28"/>
          <w:szCs w:val="28"/>
        </w:rPr>
        <w:t xml:space="preserve">Facultad de Ingeniería </w:t>
      </w:r>
    </w:p>
    <w:p w14:paraId="72082B9F" w14:textId="77777777" w:rsidR="00B84F05" w:rsidRPr="00333208" w:rsidRDefault="00846886">
      <w:pPr>
        <w:spacing w:after="50" w:line="259" w:lineRule="auto"/>
        <w:ind w:left="2429" w:right="0" w:firstLine="0"/>
        <w:jc w:val="left"/>
        <w:rPr>
          <w:sz w:val="28"/>
          <w:szCs w:val="28"/>
        </w:rPr>
      </w:pPr>
      <w:r w:rsidRPr="00333208">
        <w:rPr>
          <w:sz w:val="28"/>
          <w:szCs w:val="28"/>
        </w:rPr>
        <w:t xml:space="preserve">Departamento de Ciencias de la Computación </w:t>
      </w:r>
    </w:p>
    <w:p w14:paraId="3E7E742A" w14:textId="5A541AC0" w:rsidR="00B84F05" w:rsidRPr="00136F56" w:rsidRDefault="00846886">
      <w:pPr>
        <w:spacing w:after="729" w:line="259" w:lineRule="auto"/>
        <w:ind w:left="2794" w:right="0" w:firstLine="0"/>
        <w:jc w:val="left"/>
        <w:rPr>
          <w:sz w:val="28"/>
          <w:szCs w:val="28"/>
          <w:lang w:val="en-US"/>
        </w:rPr>
      </w:pPr>
      <w:r w:rsidRPr="00136F56">
        <w:rPr>
          <w:sz w:val="28"/>
          <w:szCs w:val="28"/>
          <w:lang w:val="en-US"/>
        </w:rPr>
        <w:t>CC30</w:t>
      </w:r>
      <w:r w:rsidR="00E46735" w:rsidRPr="00136F56">
        <w:rPr>
          <w:sz w:val="28"/>
          <w:szCs w:val="28"/>
          <w:lang w:val="en-US"/>
        </w:rPr>
        <w:t>6</w:t>
      </w:r>
      <w:r w:rsidR="00136F56" w:rsidRPr="00136F56">
        <w:rPr>
          <w:sz w:val="28"/>
          <w:szCs w:val="28"/>
          <w:lang w:val="en-US"/>
        </w:rPr>
        <w:t>7</w:t>
      </w:r>
      <w:r w:rsidRPr="00136F56">
        <w:rPr>
          <w:sz w:val="28"/>
          <w:szCs w:val="28"/>
          <w:lang w:val="en-US"/>
        </w:rPr>
        <w:t xml:space="preserve"> </w:t>
      </w:r>
      <w:r w:rsidR="00136F56" w:rsidRPr="00136F56">
        <w:rPr>
          <w:sz w:val="28"/>
          <w:szCs w:val="28"/>
          <w:lang w:val="en-US"/>
        </w:rPr>
        <w:t>Deep Learning</w:t>
      </w:r>
      <w:r w:rsidRPr="00136F56">
        <w:rPr>
          <w:sz w:val="28"/>
          <w:szCs w:val="28"/>
          <w:lang w:val="en-US"/>
        </w:rPr>
        <w:t xml:space="preserve">, </w:t>
      </w:r>
      <w:proofErr w:type="spellStart"/>
      <w:r w:rsidRPr="00136F56">
        <w:rPr>
          <w:sz w:val="28"/>
          <w:szCs w:val="28"/>
          <w:lang w:val="en-US"/>
        </w:rPr>
        <w:t>Semestre</w:t>
      </w:r>
      <w:proofErr w:type="spellEnd"/>
      <w:r w:rsidRPr="00136F56">
        <w:rPr>
          <w:sz w:val="28"/>
          <w:szCs w:val="28"/>
          <w:lang w:val="en-US"/>
        </w:rPr>
        <w:t xml:space="preserve"> II 2026 </w:t>
      </w:r>
    </w:p>
    <w:p w14:paraId="143B3D69" w14:textId="77777777" w:rsidR="00333208" w:rsidRPr="00136F56" w:rsidRDefault="00333208">
      <w:pPr>
        <w:spacing w:after="729" w:line="259" w:lineRule="auto"/>
        <w:ind w:left="2794" w:right="0" w:firstLine="0"/>
        <w:jc w:val="left"/>
        <w:rPr>
          <w:sz w:val="28"/>
          <w:szCs w:val="28"/>
          <w:lang w:val="en-US"/>
        </w:rPr>
      </w:pPr>
    </w:p>
    <w:p w14:paraId="3FAFA9EE" w14:textId="77777777" w:rsidR="00B84F05" w:rsidRDefault="00846886">
      <w:pPr>
        <w:spacing w:after="533" w:line="259" w:lineRule="auto"/>
        <w:ind w:left="118" w:right="0" w:firstLine="0"/>
        <w:jc w:val="center"/>
      </w:pPr>
      <w:r>
        <w:rPr>
          <w:noProof/>
        </w:rPr>
        <w:drawing>
          <wp:inline distT="0" distB="0" distL="0" distR="0" wp14:anchorId="285659A5" wp14:editId="13B9CEA2">
            <wp:extent cx="1547495" cy="2289429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47495" cy="228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8"/>
        </w:rPr>
        <w:t>Laboratorio 9: Series de tiempo y forecasting</w:t>
      </w:r>
    </w:p>
    <w:p w14:paraId="758B5174" w14:textId="77777777" w:rsidR="007A79D8" w:rsidRDefault="007A79D8">
      <w:pPr>
        <w:spacing w:after="2" w:line="307" w:lineRule="auto"/>
        <w:ind w:left="3364" w:right="3306" w:firstLine="0"/>
        <w:jc w:val="center"/>
        <w:rPr>
          <w:b/>
          <w:sz w:val="25"/>
        </w:rPr>
      </w:pPr>
    </w:p>
    <w:p w14:paraId="7CC0CD8B" w14:textId="77777777" w:rsidR="00333208" w:rsidRDefault="00333208">
      <w:pPr>
        <w:spacing w:after="2" w:line="307" w:lineRule="auto"/>
        <w:ind w:left="3364" w:right="3306" w:firstLine="0"/>
        <w:jc w:val="center"/>
        <w:rPr>
          <w:b/>
          <w:sz w:val="25"/>
        </w:rPr>
      </w:pPr>
    </w:p>
    <w:p w14:paraId="0B9A37D3" w14:textId="77777777" w:rsidR="00333208" w:rsidRDefault="00333208" w:rsidP="00C04563">
      <w:pPr>
        <w:spacing w:after="0" w:line="307" w:lineRule="auto"/>
        <w:ind w:left="3364" w:right="3306" w:firstLine="0"/>
        <w:jc w:val="center"/>
        <w:rPr>
          <w:b/>
          <w:sz w:val="25"/>
        </w:rPr>
      </w:pPr>
    </w:p>
    <w:p w14:paraId="365C438A" w14:textId="77777777" w:rsidR="0064534F" w:rsidRDefault="00846886" w:rsidP="00C04563">
      <w:pPr>
        <w:spacing w:after="0" w:line="265" w:lineRule="auto"/>
        <w:ind w:right="4"/>
        <w:jc w:val="center"/>
        <w:rPr>
          <w:sz w:val="28"/>
          <w:szCs w:val="28"/>
        </w:rPr>
      </w:pPr>
      <w:r w:rsidRPr="00333208">
        <w:rPr>
          <w:sz w:val="28"/>
          <w:szCs w:val="28"/>
        </w:rPr>
        <w:t>Roberto Barreda #23354</w:t>
      </w:r>
    </w:p>
    <w:p w14:paraId="50FED38F" w14:textId="16203B0D" w:rsidR="003E6CEC" w:rsidRDefault="00136F56" w:rsidP="00C04563">
      <w:pPr>
        <w:spacing w:after="0" w:line="265" w:lineRule="auto"/>
        <w:ind w:right="4"/>
        <w:jc w:val="center"/>
        <w:rPr>
          <w:sz w:val="28"/>
          <w:szCs w:val="28"/>
        </w:rPr>
      </w:pPr>
      <w:r>
        <w:rPr>
          <w:sz w:val="28"/>
          <w:szCs w:val="28"/>
        </w:rPr>
        <w:t>Mia Fuentes</w:t>
      </w:r>
      <w:r w:rsidR="003E6CEC">
        <w:rPr>
          <w:sz w:val="28"/>
          <w:szCs w:val="28"/>
        </w:rPr>
        <w:t xml:space="preserve"> #</w:t>
      </w:r>
      <w:r>
        <w:rPr>
          <w:sz w:val="28"/>
          <w:szCs w:val="28"/>
        </w:rPr>
        <w:t>23775</w:t>
      </w:r>
    </w:p>
    <w:p w14:paraId="0C97CD38" w14:textId="77777777" w:rsidR="00B84F05" w:rsidRPr="00333208" w:rsidRDefault="00846886">
      <w:pPr>
        <w:spacing w:after="541" w:line="265" w:lineRule="auto"/>
        <w:ind w:right="4"/>
        <w:jc w:val="center"/>
        <w:rPr>
          <w:sz w:val="28"/>
          <w:szCs w:val="28"/>
        </w:rPr>
      </w:pPr>
      <w:r w:rsidRPr="00333208">
        <w:rPr>
          <w:sz w:val="28"/>
          <w:szCs w:val="28"/>
        </w:rPr>
        <w:t xml:space="preserve"> </w:t>
      </w:r>
    </w:p>
    <w:p w14:paraId="106A810E" w14:textId="08A39C64" w:rsidR="00E43CD3" w:rsidRPr="00136F56" w:rsidRDefault="00846886" w:rsidP="00C04563">
      <w:pPr>
        <w:spacing w:after="99" w:line="258" w:lineRule="auto"/>
        <w:ind w:left="40" w:right="32"/>
        <w:jc w:val="center"/>
      </w:pPr>
      <w:r w:rsidRPr="00333208">
        <w:rPr>
          <w:sz w:val="28"/>
          <w:szCs w:val="28"/>
        </w:rPr>
        <w:t xml:space="preserve">Guatemala, </w:t>
      </w:r>
      <w:r w:rsidR="00C04563">
        <w:rPr>
          <w:sz w:val="28"/>
          <w:szCs w:val="28"/>
        </w:rPr>
        <w:t>28</w:t>
      </w:r>
      <w:r w:rsidRPr="00333208">
        <w:rPr>
          <w:sz w:val="28"/>
          <w:szCs w:val="28"/>
        </w:rPr>
        <w:t xml:space="preserve"> de </w:t>
      </w:r>
      <w:r w:rsidR="00D02257">
        <w:rPr>
          <w:sz w:val="28"/>
          <w:szCs w:val="28"/>
        </w:rPr>
        <w:t>octubre</w:t>
      </w:r>
      <w:r w:rsidRPr="00333208">
        <w:rPr>
          <w:sz w:val="28"/>
          <w:szCs w:val="28"/>
        </w:rPr>
        <w:t xml:space="preserve"> de 2026</w:t>
      </w:r>
      <w:r>
        <w:br w:type="page"/>
      </w:r>
    </w:p>
    <w:p>
      <w:pPr>
        <w:spacing w:after="80" w:before="0" w:line="240" w:lineRule="auto"/>
        <w:jc w:val="left"/>
      </w:pPr>
      <w:r>
        <w:rPr>
          <w:rFonts w:ascii="Times New Roman" w:hAnsi="Times New Roman" w:eastAsia="Times New Roman"/>
          <w:b/>
          <w:sz w:val="24"/>
        </w:rPr>
        <w:t>1. Investigación: herramientas para forecasting en PyTorch</w:t>
      </w:r>
    </w:p>
    <w:p>
      <w:pPr>
        <w:spacing w:after="80" w:before="0" w:line="240" w:lineRule="auto"/>
        <w:jc w:val="center"/>
      </w:pPr>
      <w:r>
        <w:rPr>
          <w:rFonts w:ascii="Times New Roman" w:hAnsi="Times New Roman" w:eastAsia="Times New Roman"/>
          <w:b w:val="0"/>
          <w:sz w:val="20"/>
        </w:rPr>
        <w:t>Tabla 1. Clases y funciones usadas para construir, entrenar y evaluar los modelos.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5040"/>
        <w:gridCol w:w="5040"/>
      </w:tblGrid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Herramienta</w:t>
            </w:r>
          </w:p>
        </w:tc>
        <w:tc>
          <w:tcPr>
            <w:tcW w:type="dxa" w:w="77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Propósito y parámetros relevantes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nn.LSTM y nn.GRU</w:t>
            </w:r>
          </w:p>
        </w:tc>
        <w:tc>
          <w:tcPr>
            <w:tcW w:type="dxa" w:w="77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Recorren la secuencia con un estado oculto. input_size es el número de variables por paso, hidden_size el tamaño del estado, num_layers las capas apiladas, batch_first=True usa (batch, L, features) y dropout se aplica entre capas. output tiene forma (batch, L, hidden) con la última capa en cada paso, h_n (num_layers, batch, hidden) con el último estado de cada capa y c_n, solo en LSTM, el estado de celda con la misma forma.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nn.Conv1d causal y dilatada</w:t>
            </w:r>
          </w:p>
        </w:tc>
        <w:tc>
          <w:tcPr>
            <w:tcW w:type="dxa" w:w="77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Conv1d(in_channels, out_channels, kernel_size, dilation). El padding causal agrega (k - 1)d ceros solo a la izquierda, así la salida en t solo ve t y el pasado. En una TCN con bloques de dos convoluciones y d = 2^i el campo receptivo es R = 1 + 2(k - 1)(2^n - 1). Con k = 3 y n = 6 bloques R = 253 horas, mayor que L = 168.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nn.TransformerEncoderLayer</w:t>
            </w:r>
          </w:p>
        </w:tc>
        <w:tc>
          <w:tcPr>
            <w:tcW w:type="dxa" w:w="77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Atención multicabeza más una red feed-forward con residuales. d_model es la dimensión de cada paso, nhead el número de cabezas (divide a d_model) y dim_feedforward la capa oculta de la red feed-forward. La atención no conoce el orden, por eso se suma una codificación posicional sinusoidal o aprendida de forma (L, d_model) a la entrada proyectada.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NeuralForecast y StatsForecast</w:t>
            </w:r>
          </w:p>
        </w:tc>
        <w:tc>
          <w:tcPr>
            <w:tcW w:type="dxa" w:w="77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Reciben un DataFrame largo con unique_id (serie), ds (marca de tiempo) e y (valor), más covariables como columnas. cross_validation(df, h, n_windows, step_size, refit) genera n_windows orígenes separados por step_size pasos; refit=False entrena una vez y refit=k reentrena cada k ventanas. Para este protocolo h = 24, n_windows = 92 y step_size = 24.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BaseChronosPipeline.predict_quantiles</w:t>
            </w:r>
          </w:p>
        </w:tc>
        <w:tc>
          <w:tcPr>
            <w:tcW w:type="dxa" w:w="77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Pronóstico zero-shot con Chronos-Bolt. La entrada es un tensor (batch, T) o una lista de tensores 1D con la historia de cada serie, prediction_length es el horizonte (24) y quantile_levels los cuantiles (0.1, 0.5, 0.9). Devuelve los cuantiles (batch, H, Q) y la media (batch, H).</w:t>
            </w:r>
          </w:p>
        </w:tc>
      </w:tr>
    </w:tbl>
    <w:p>
      <w:pPr>
        <w:spacing w:after="0"/>
      </w:pPr>
    </w:p>
    <w:p>
      <w:pPr>
        <w:spacing w:after="120" w:before="0" w:line="24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Un modelo local se entrena por serie y captura sus particularidades, pero no comparte información y escala mal con cientos de clientes. Un modelo global usa todas las series normalizadas, aprende patrones comunes y sirve para series con poca historia. Teacher forcing entrega al decoder el valor real del paso anterior durante el entrenamiento; estabiliza el aprendizaje, pero en inferencia el modelo recibe sus propias predicciones y los errores se acumulan (exposure bias). RevIN normaliza cada ventana con su media y desviación, el modelo predice en esa escala y la salida se desnormaliza con los mismos estadísticos; ante cambios de nivel el modelo aprende la forma de la curva y no su nivel. La pinball loss para el cuantil q es max(q(y - p), (q - 1)(y - p)), con p la predicción, y su mínimo esperado es el cuantil q de la distribución, por eso entrenar con q = 0.1 y 0.9 produce un intervalo que debe cubrir 80 % de los valores. MASE divide el MAE de cada serie entre el MAE del seasonal naive en entrenamiento y da el mismo peso a cada cliente; WAPE divide la suma de errores absolutos entre el consumo total del panel y lo dominan los clientes grandes. Ninguna se indefine con consumos cero, a diferencia del MAPE.</w:t>
      </w:r>
    </w:p>
    <w:p>
      <w:pPr>
        <w:spacing w:after="80" w:before="0" w:line="240" w:lineRule="auto"/>
        <w:jc w:val="left"/>
      </w:pPr>
      <w:r>
        <w:rPr>
          <w:rFonts w:ascii="Times New Roman" w:hAnsi="Times New Roman" w:eastAsia="Times New Roman"/>
          <w:b/>
          <w:sz w:val="24"/>
        </w:rPr>
        <w:t>2. Exploración y preparación de la serie</w:t>
      </w:r>
    </w:p>
    <w:p>
      <w:pPr>
        <w:spacing w:after="120" w:before="0" w:line="24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Cada registro es la potencia media en kW de 15 minutos, la energía horaria en kWh es el promedio de los 4 registros. Las series se normalizan con z-score por cliente usando media y desviación de entrenamiento y las métricas se calculan en kWh.</w:t>
      </w:r>
    </w:p>
    <w:p>
      <w:pPr>
        <w:spacing w:after="40" w:before="0" w:line="24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¿Cuántos clientes quedan después del filtro del periodo 2012 a 2014? ¿Cuántas observaciones horarias tiene cada serie y cuántas el panel?</w:t>
      </w:r>
    </w:p>
    <w:p>
      <w:pPr>
        <w:spacing w:after="120" w:before="0" w:line="24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Quedan 317 de 370 clientes. Se excluyen 50 que inician después del 2012-01-01, 2 que dejan de consumir antes del cierre y MT_131, con 1,230 horas seguidas en cero. Cada serie tiene 26,304 observaciones y el panel 8,338,368.</w:t>
      </w:r>
    </w:p>
    <w:p>
      <w:pPr>
        <w:spacing w:after="40" w:before="0" w:line="24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¿Cómo tratarán los dos días de cambio de horario de cada año?</w:t>
      </w:r>
    </w:p>
    <w:p>
      <w:pPr>
        <w:spacing w:after="120" w:before="0" w:line="24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En marzo la hora 01:00 viene en cero y se reemplaza por el promedio de las 00:00 y las 02:00. En octubre esa hora acumula dos horas y se divide entre 2. Cada día conserva 24 horas sin huecos ni picos falsos.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159105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erfil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91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240" w:lineRule="auto"/>
        <w:jc w:val="center"/>
      </w:pPr>
      <w:r>
        <w:rPr>
          <w:rFonts w:ascii="Times New Roman" w:hAnsi="Times New Roman" w:eastAsia="Times New Roman"/>
          <w:b w:val="0"/>
          <w:sz w:val="20"/>
        </w:rPr>
        <w:t>Figura 1. Perfil por hora y por día de la semana y consumo diario del panel con feriados de Portugal. El consumo de cada cliente se divide entre su media de entrenamiento; las líneas punteadas marcan el inicio de validación y prueba.</w:t>
      </w:r>
    </w:p>
    <w:p>
      <w:pPr>
        <w:spacing w:after="40" w:before="0" w:line="24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¿Cómo cambia el consumo en Navidad y Año Nuevo?</w:t>
      </w:r>
    </w:p>
    <w:p>
      <w:pPr>
        <w:spacing w:after="120" w:before="0" w:line="24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El 25 de diciembre cae a 67 % a 70 % del mismo día de la semana en las tres semanas previas y el 1 de enero a 78 % a 79 %. El 24 baja entre 3 % y 9 % y el 31 entre 2 % y 4 %, con la caída en la tarde y noche; el 26 vuelve al nivel normal. Los feriados reducen el pico de mediodía y tarde entre 10 % y 15 % frente a un día laboral.</w:t>
      </w:r>
    </w:p>
    <w:p>
      <w:pPr>
        <w:spacing w:after="40" w:before="0" w:line="24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¿Qué tan distintas son las escalas entre clientes? ¿Qué normalización proponen?</w:t>
      </w:r>
    </w:p>
    <w:p>
      <w:pPr>
        <w:spacing w:after="120" w:before="0" w:line="24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El consumo medio va de 4.33 a 48,818 kWh por hora con mediana de 148.13 kWh, una razón de 11,268. Con una normalización global los clientes pequeños quedan cerca de cero y la pérdida la dominan los grandes, por eso se usa z-score por serie con estadísticos de entrenamiento. RevIN por ventana queda como opción de los modelos.</w:t>
      </w:r>
    </w:p>
    <w:p>
      <w:pPr>
        <w:spacing w:after="40" w:before="0" w:line="24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¿Cómo codifican las covariables de calendario conocidas a futuro?</w:t>
      </w:r>
    </w:p>
    <w:p>
      <w:pPr>
        <w:spacing w:after="120" w:before="0" w:line="24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Hora, día de la semana y mes con seno y coseno, 6 columnas que conservan la continuidad cíclica en lugar de 43 columnas one-hot. El feriado es binario según el calendario oficial de Portugal, que suspendió 4 feriados entre 2013 y 2015. Todas dependen solo de la marca de tiempo y se conocen para las 24 horas futuras.</w:t>
      </w:r>
    </w:p>
    <w:p>
      <w:pPr>
        <w:spacing w:after="120" w:before="0" w:line="24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La clase VentanasDataset genera x de forma (batch, 168, 8) con el consumo normalizado y el calendario pasado, xf de forma (batch, 24, 7) con el calendario futuro e y de forma (batch, 24). Una ventana pertenece a un bloque si sus 24 horas objetivo caen en él; la entrada puede tomar horas del bloque anterior porque ya son conocidas.</w:t>
      </w:r>
    </w:p>
    <w:p>
      <w:pPr>
        <w:spacing w:after="80" w:before="0" w:line="240" w:lineRule="auto"/>
        <w:jc w:val="center"/>
      </w:pPr>
      <w:r>
        <w:rPr>
          <w:rFonts w:ascii="Times New Roman" w:hAnsi="Times New Roman" w:eastAsia="Times New Roman"/>
          <w:b w:val="0"/>
          <w:sz w:val="20"/>
        </w:rPr>
        <w:t>Tabla 2. Ventanas generadas por el panel de 317 clientes con L = 168, H = 24 y stride de 1 hora.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Bloque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Horas objetivo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Ventanas por serie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Ventanas del panel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Entrenamiento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2012-01-08 a 2014-06-30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21,697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6,877,949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Validación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2014-07-01 a 2014-09-30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2,185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692,645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Prueba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2014-10-01 a 2014-12-31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2,185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692,645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Prueba, origen diario 00:00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2014-10-01 a 2014-12-31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92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29,164</w:t>
            </w:r>
          </w:p>
        </w:tc>
      </w:tr>
    </w:tbl>
    <w:p>
      <w:pPr>
        <w:spacing w:after="0"/>
      </w:pPr>
    </w:p>
    <w:p>
      <w:pPr>
        <w:spacing w:after="80" w:before="0" w:line="240" w:lineRule="auto"/>
        <w:jc w:val="left"/>
      </w:pPr>
      <w:r>
        <w:rPr>
          <w:rFonts w:ascii="Times New Roman" w:hAnsi="Times New Roman" w:eastAsia="Times New Roman"/>
          <w:b/>
          <w:sz w:val="24"/>
        </w:rPr>
        <w:t>3. Auditoría de fugas</w:t>
      </w:r>
    </w:p>
    <w:p>
      <w:pPr>
        <w:spacing w:after="80" w:before="0" w:line="240" w:lineRule="auto"/>
        <w:jc w:val="center"/>
      </w:pPr>
      <w:r>
        <w:rPr>
          <w:rFonts w:ascii="Times New Roman" w:hAnsi="Times New Roman" w:eastAsia="Times New Roman"/>
          <w:b w:val="0"/>
          <w:sz w:val="20"/>
        </w:rPr>
        <w:t>Tabla 3. Fugas vistas en clase y la forma en que el pipeline las evita y las verifica.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360"/>
        <w:gridCol w:w="3360"/>
        <w:gridCol w:w="3360"/>
      </w:tblGrid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Fuga</w:t>
            </w:r>
          </w:p>
        </w:tc>
        <w:tc>
          <w:tcPr>
            <w:tcW w:type="dxa" w:w="460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Cómo se evita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Verificación en el notebook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Split aleatorio de ventanas</w:t>
            </w:r>
          </w:p>
        </w:tc>
        <w:tc>
          <w:tcPr>
            <w:tcW w:type="dxa" w:w="460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Los bloques se definen por fecha de las horas objetivo; solo se baraja dentro de entrenamiento.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assert de rangos de fechas disjuntos y ordenados.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Escalar con toda la serie</w:t>
            </w:r>
          </w:p>
        </w:tc>
        <w:tc>
          <w:tcPr>
            <w:tcW w:type="dxa" w:w="460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Media y desviación por cliente con datos hasta 2014-06-30.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Multiplicar validación y prueba por 10 no cambia los estadísticos.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Early stopping con la prueba</w:t>
            </w:r>
          </w:p>
        </w:tc>
        <w:tc>
          <w:tcPr>
            <w:tcW w:type="dxa" w:w="460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entrenar() solo recibe entrenamiento y validación. backtest registra cada modelo y bloquea una segunda evaluación en prueba.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assert dentro de backtest.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Covariables mal alineadas</w:t>
            </w:r>
          </w:p>
        </w:tc>
        <w:tc>
          <w:tcPr>
            <w:tcW w:type="dxa" w:w="460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 termina a las 23:00 previas al origen y xf es el calendario de las horas objetivo; el feriado sale del calendario oficial.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assert de alineación y cambiar valores desde el origen no altera x.</w:t>
            </w:r>
          </w:p>
        </w:tc>
      </w:tr>
    </w:tbl>
    <w:p>
      <w:pPr>
        <w:spacing w:after="0"/>
      </w:pPr>
    </w:p>
    <w:p>
      <w:pPr>
        <w:spacing w:after="80" w:before="0" w:line="240" w:lineRule="auto"/>
        <w:jc w:val="left"/>
      </w:pPr>
      <w:r>
        <w:rPr>
          <w:rFonts w:ascii="Times New Roman" w:hAnsi="Times New Roman" w:eastAsia="Times New Roman"/>
          <w:b/>
          <w:sz w:val="24"/>
        </w:rPr>
        <w:t>4. Protocolo de validación y métricas</w:t>
      </w:r>
    </w:p>
    <w:p>
      <w:pPr>
        <w:spacing w:after="120" w:before="0" w:line="24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La función backtest(modelo) recorre los 92 orígenes de prueba; en cada uno el modelo recibe el panel en kWh hasta las 23:00 del día anterior y devuelve las 24 horas siguientes. Los pesos se entrenan una vez con datos hasta el 2014-09-30 y, con reentrenar=True, el modelo se ajusta al inicio de cada mes con ventana expandible. Se reportan MAE, RMSE, WAPE, MAPE y MASE en kWh sobre todos los clientes y orígenes, además del error por paso del horizonte, por hora del día, por cliente y en la semana del 22 al 28 de diciembre. La escala de MASE es el MAE del seasonal naive de 24 h en entrenamiento de cada cliente. En validación el seasonal naive de 24 h obtiene MAE de 52.42 kWh, WAPE de 0.069 y MASE de 1.00, frente a 69.35 kWh y MASE de 1.20 del de 168 h.</w:t>
      </w:r>
    </w:p>
    <w:p>
      <w:pPr>
        <w:spacing w:after="40" w:before="0" w:line="24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¿Qué le pasa al MAPE con clientes de consumo cercano a cero?</w:t>
      </w:r>
    </w:p>
    <w:p>
      <w:pPr>
        <w:spacing w:after="120" w:before="0" w:line="24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Hay 3,769 horas con consumo cero en validación donde el MAPE no está definido. En horas con menos de 1 kWh el MAPE del seasonal naive llega a 351 % contra 13.4 % en el resto, y los clientes de menor consumo tienen el MAPE más alto (Spearman de -0.41). Por eso la comparación se basa en WAPE y MASE.</w:t>
      </w:r>
    </w:p>
    <w:p>
      <w:pPr>
        <w:spacing w:after="0" w:before="0" w:line="24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Repositorio: https://github.com/bar23354/DL-Lab09</w:t>
      </w:r>
    </w:p>
    <w:sectPr w:rsidR="00E43CD3" w:rsidRPr="00136F56">
      <w:pgSz w:w="12240" w:h="15840"/>
      <w:pgMar w:top="1008" w:right="1080" w:bottom="100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56AEA"/>
    <w:multiLevelType w:val="multilevel"/>
    <w:tmpl w:val="D236F5C6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EA6F3C"/>
    <w:multiLevelType w:val="hybridMultilevel"/>
    <w:tmpl w:val="9182A6FC"/>
    <w:lvl w:ilvl="0" w:tplc="93A0C8E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787A0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B4837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0ADCB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4A2D1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F42D5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6622A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3C906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62BD6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2662D08"/>
    <w:multiLevelType w:val="hybridMultilevel"/>
    <w:tmpl w:val="9614EF8C"/>
    <w:lvl w:ilvl="0" w:tplc="6CB2782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E6744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BA9C3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D49C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24974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B03F5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D2E6D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1E17B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30144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84537162">
    <w:abstractNumId w:val="1"/>
  </w:num>
  <w:num w:numId="2" w16cid:durableId="796069538">
    <w:abstractNumId w:val="2"/>
  </w:num>
  <w:num w:numId="3" w16cid:durableId="1029919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F05"/>
    <w:rsid w:val="000128C9"/>
    <w:rsid w:val="000307ED"/>
    <w:rsid w:val="000A7069"/>
    <w:rsid w:val="000B4DFB"/>
    <w:rsid w:val="000E478B"/>
    <w:rsid w:val="000E7103"/>
    <w:rsid w:val="00100602"/>
    <w:rsid w:val="001163E7"/>
    <w:rsid w:val="00136F56"/>
    <w:rsid w:val="00147DA5"/>
    <w:rsid w:val="001775D5"/>
    <w:rsid w:val="001A23EA"/>
    <w:rsid w:val="001B5321"/>
    <w:rsid w:val="001D2355"/>
    <w:rsid w:val="00255643"/>
    <w:rsid w:val="002974FA"/>
    <w:rsid w:val="002E0173"/>
    <w:rsid w:val="00333208"/>
    <w:rsid w:val="00335A92"/>
    <w:rsid w:val="003E6CEC"/>
    <w:rsid w:val="00411659"/>
    <w:rsid w:val="00435B4E"/>
    <w:rsid w:val="0043771B"/>
    <w:rsid w:val="00507C4A"/>
    <w:rsid w:val="00512B51"/>
    <w:rsid w:val="005623F0"/>
    <w:rsid w:val="00570C53"/>
    <w:rsid w:val="005974FB"/>
    <w:rsid w:val="005C4311"/>
    <w:rsid w:val="005E1464"/>
    <w:rsid w:val="00604B3F"/>
    <w:rsid w:val="0064534F"/>
    <w:rsid w:val="006E676F"/>
    <w:rsid w:val="007A79D8"/>
    <w:rsid w:val="008454E1"/>
    <w:rsid w:val="00846886"/>
    <w:rsid w:val="00872F96"/>
    <w:rsid w:val="00873CF6"/>
    <w:rsid w:val="008F400D"/>
    <w:rsid w:val="009E5B3E"/>
    <w:rsid w:val="00A07598"/>
    <w:rsid w:val="00A202F9"/>
    <w:rsid w:val="00A74F9A"/>
    <w:rsid w:val="00A84BC8"/>
    <w:rsid w:val="00A90EF9"/>
    <w:rsid w:val="00AC0AFC"/>
    <w:rsid w:val="00AC3167"/>
    <w:rsid w:val="00AF02B8"/>
    <w:rsid w:val="00AF5598"/>
    <w:rsid w:val="00B27EAD"/>
    <w:rsid w:val="00B84F05"/>
    <w:rsid w:val="00BD1432"/>
    <w:rsid w:val="00C04563"/>
    <w:rsid w:val="00C60A05"/>
    <w:rsid w:val="00CF20DF"/>
    <w:rsid w:val="00D02257"/>
    <w:rsid w:val="00E43CD3"/>
    <w:rsid w:val="00E46735"/>
    <w:rsid w:val="00F1487E"/>
    <w:rsid w:val="00F54D48"/>
    <w:rsid w:val="00FE4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40A16"/>
  <w15:docId w15:val="{42EA63E9-D67D-4B37-B357-0AE4D7EDF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GT" w:eastAsia="es-G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57" w:lineRule="auto"/>
      <w:ind w:left="10" w:right="2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42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3"/>
      </w:numPr>
      <w:spacing w:after="68" w:line="259" w:lineRule="auto"/>
      <w:ind w:left="3374" w:right="3306" w:hanging="10"/>
      <w:outlineLvl w:val="1"/>
    </w:pPr>
    <w:rPr>
      <w:rFonts w:ascii="Times New Roman" w:eastAsia="Times New Roman" w:hAnsi="Times New Roman" w:cs="Times New Roman"/>
      <w:b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5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147D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7DA5"/>
    <w:rPr>
      <w:color w:val="605E5C"/>
      <w:shd w:val="clear" w:color="auto" w:fill="E1DFDD"/>
    </w:rPr>
  </w:style>
  <w:style w:type="table" w:styleId="GridTable4-Accent5">
    <w:name w:val="Grid Table 4 Accent 5"/>
    <w:basedOn w:val="TableNormal"/>
    <w:uiPriority w:val="49"/>
    <w:rsid w:val="00AC0AFC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Roberto Siekavizza</cp:lastModifiedBy>
  <cp:revision>3</cp:revision>
  <dcterms:created xsi:type="dcterms:W3CDTF">2026-10-29T00:03:00Z</dcterms:created>
  <dcterms:modified xsi:type="dcterms:W3CDTF">2026-10-29T02:48:00Z</dcterms:modified>
</cp:coreProperties>
</file>