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Ejercicio 2. Desarrollo del sistema de descarga</w:t>
      </w:r>
    </w:p>
    <w:p>
      <w:pPr>
        <w:pStyle w:val="Heading2"/>
        <w:keepNext/>
      </w:pPr>
      <w:r>
        <w:t>2.1 Script proporcionado</w:t>
      </w:r>
    </w:p>
    <w:p>
      <w:pPr>
        <w:spacing w:after="120"/>
      </w:pPr>
      <w:r>
        <w:t>El script scripts/download_data.py del repositorio base recorre los doce meses de 2026 para taxis amarillos y verdes, pregunta al servidor si cada mes está publicado, omite los archivos que existen y descarga sobre un nombre temporal. Al revisarlo se encontraron cinco problemas.</w:t>
      </w:r>
    </w:p>
    <w:p>
      <w:pPr>
        <w:pStyle w:val="ListParagraph"/>
        <w:numPr>
          <w:ilvl w:val="0"/>
          <w:numId w:val="51"/>
        </w:numPr>
        <w:spacing w:after="60"/>
      </w:pPr>
      <w:r>
        <w:t>Si la consulta al servidor falla por la red, la función esta_publicado devuelve False y el mes se reporta como no publicado. Un corte de conexión deja archivos sin descargar y el resumen no lo muestra como error.</w:t>
      </w:r>
    </w:p>
    <w:p>
      <w:pPr>
        <w:pStyle w:val="ListParagraph"/>
        <w:numPr>
          <w:ilvl w:val="0"/>
          <w:numId w:val="51"/>
        </w:numPr>
        <w:spacing w:after="60"/>
      </w:pPr>
      <w:r>
        <w:t>Después de descargar, el script revisa que el archivo no quede vacío pero no compara los bytes recibidos con el tamaño que informa el servidor. Una transferencia cortada sin error se acepta.</w:t>
      </w:r>
    </w:p>
    <w:p>
      <w:pPr>
        <w:pStyle w:val="ListParagraph"/>
        <w:numPr>
          <w:ilvl w:val="0"/>
          <w:numId w:val="51"/>
        </w:numPr>
        <w:spacing w:after="60"/>
      </w:pPr>
      <w:r>
        <w:t>Un archivo local se da por bueno si pesa más de cero bytes. Un Parquet dañado o una página de error guardada con ese nombre no se vuelve a descargar.</w:t>
      </w:r>
    </w:p>
    <w:p>
      <w:pPr>
        <w:pStyle w:val="ListParagraph"/>
        <w:numPr>
          <w:ilvl w:val="0"/>
          <w:numId w:val="51"/>
        </w:numPr>
        <w:spacing w:after="60"/>
      </w:pPr>
      <w:r>
        <w:t>La carpeta de destino es la ruta relativa data/raw. Si el script se ejecuta desde otra carpeta, los archivos quedan fuera de la estructura del proyecto.</w:t>
      </w:r>
    </w:p>
    <w:p>
      <w:pPr>
        <w:pStyle w:val="ListParagraph"/>
        <w:numPr>
          <w:ilvl w:val="0"/>
          <w:numId w:val="51"/>
        </w:numPr>
        <w:spacing w:after="120"/>
      </w:pPr>
      <w:r>
        <w:t>El año está fijo en la constante ANIO y en los mensajes. Para descargar 2024 o 2025 hay que editar varias líneas del código.</w:t>
      </w:r>
    </w:p>
    <w:p>
      <w:pPr>
        <w:pStyle w:val="Heading2"/>
        <w:keepNext/>
      </w:pPr>
      <w:r>
        <w:t>2.2 a 2.4 y 2.6 Cambios al script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5" w:type="dxa"/>
          <w:left w:w="100" w:type="dxa"/>
          <w:bottom w:w="15" w:type="dxa"/>
          <w:right w:w="100" w:type="dxa"/>
        </w:tblCellMar>
        <w:tblLook w:firstColumn="1" w:firstRow="1" w:lastColumn="0" w:lastRow="0" w:noHBand="0" w:noVBand="1" w:val="04A0"/>
      </w:tblPr>
      <w:tblGrid>
        <w:gridCol w:w="1900"/>
        <w:gridCol w:w="3100"/>
        <w:gridCol w:w="4360"/>
      </w:tblGrid>
      <w:tr>
        <w:trPr>
          <w:tblHeader/>
        </w:trPr>
        <w:tc>
          <w:tcPr>
            <w:tcW w:type="dxa" w:w="1900"/>
            <w:shd w:val="clear" w:color="auto" w:fill="D9E2F3"/>
          </w:tcPr>
          <w:p>
            <w:pPr>
              <w:keepNext/>
              <w:spacing w:after="0"/>
            </w:pPr>
            <w:r>
              <w:rPr>
                <w:b/>
                <w:sz w:val="20"/>
              </w:rPr>
              <w:t>Parte del script</w:t>
            </w:r>
          </w:p>
        </w:tc>
        <w:tc>
          <w:tcPr>
            <w:tcW w:type="dxa" w:w="3100"/>
            <w:shd w:val="clear" w:color="auto" w:fill="D9E2F3"/>
          </w:tcPr>
          <w:p>
            <w:pPr>
              <w:keepNext/>
              <w:spacing w:after="0"/>
            </w:pPr>
            <w:r>
              <w:rPr>
                <w:b/>
                <w:sz w:val="20"/>
              </w:rPr>
              <w:t>Script proporcionado</w:t>
            </w:r>
          </w:p>
        </w:tc>
        <w:tc>
          <w:tcPr>
            <w:tcW w:type="dxa" w:w="4360"/>
            <w:shd w:val="clear" w:color="auto" w:fill="D9E2F3"/>
          </w:tcPr>
          <w:p>
            <w:pPr>
              <w:keepNext/>
              <w:spacing w:after="0"/>
            </w:pPr>
            <w:r>
              <w:rPr>
                <w:b/>
                <w:sz w:val="20"/>
              </w:rPr>
              <w:t>Script modificado</w:t>
            </w:r>
          </w:p>
        </w:tc>
      </w:tr>
      <w:tr>
        <w:tc>
          <w:tcPr>
            <w:tcW w:type="dxa" w:w="1900"/>
          </w:tcPr>
          <w:p>
            <w:pPr>
              <w:keepNext/>
              <w:spacing w:after="0"/>
            </w:pPr>
            <w:r>
              <w:rPr>
                <w:b w:val="0"/>
                <w:sz w:val="20"/>
              </w:rPr>
              <w:t>Años</w:t>
            </w:r>
          </w:p>
        </w:tc>
        <w:tc>
          <w:tcPr>
            <w:tcW w:type="dxa" w:w="3100"/>
          </w:tcPr>
          <w:p>
            <w:pPr>
              <w:keepNext/>
              <w:spacing w:after="0"/>
            </w:pPr>
            <w:r>
              <w:rPr>
                <w:b w:val="0"/>
                <w:sz w:val="20"/>
              </w:rPr>
              <w:t>Constante ANIO = 2026</w:t>
            </w:r>
          </w:p>
        </w:tc>
        <w:tc>
          <w:tcPr>
            <w:tcW w:type="dxa" w:w="4360"/>
          </w:tcPr>
          <w:p>
            <w:pPr>
              <w:keepNext/>
              <w:spacing w:after="0"/>
            </w:pPr>
            <w:r>
              <w:rPr>
                <w:b w:val="0"/>
                <w:sz w:val="20"/>
              </w:rPr>
              <w:t>Lista ANIOS y opción --anios</w:t>
            </w:r>
          </w:p>
        </w:tc>
      </w:tr>
      <w:tr>
        <w:tc>
          <w:tcPr>
            <w:tcW w:type="dxa" w:w="1900"/>
          </w:tcPr>
          <w:p>
            <w:pPr>
              <w:keepNext/>
              <w:spacing w:after="0"/>
            </w:pPr>
            <w:r>
              <w:rPr>
                <w:b w:val="0"/>
                <w:sz w:val="20"/>
              </w:rPr>
              <w:t>Destino</w:t>
            </w:r>
          </w:p>
        </w:tc>
        <w:tc>
          <w:tcPr>
            <w:tcW w:type="dxa" w:w="3100"/>
          </w:tcPr>
          <w:p>
            <w:pPr>
              <w:keepNext/>
              <w:spacing w:after="0"/>
            </w:pPr>
            <w:r>
              <w:rPr>
                <w:b w:val="0"/>
                <w:sz w:val="20"/>
              </w:rPr>
              <w:t>Ruta relativa a la carpeta de trabajo</w:t>
            </w:r>
          </w:p>
        </w:tc>
        <w:tc>
          <w:tcPr>
            <w:tcW w:type="dxa" w:w="4360"/>
          </w:tcPr>
          <w:p>
            <w:pPr>
              <w:keepNext/>
              <w:spacing w:after="0"/>
            </w:pPr>
            <w:r>
              <w:rPr>
                <w:b w:val="0"/>
                <w:sz w:val="20"/>
              </w:rPr>
              <w:t>Ruta calculada desde la ubicación del script, data/raw/tipo/año</w:t>
            </w:r>
          </w:p>
        </w:tc>
      </w:tr>
      <w:tr>
        <w:tc>
          <w:tcPr>
            <w:tcW w:type="dxa" w:w="1900"/>
          </w:tcPr>
          <w:p>
            <w:pPr>
              <w:keepNext/>
              <w:spacing w:after="0"/>
            </w:pPr>
            <w:r>
              <w:rPr>
                <w:b w:val="0"/>
                <w:sz w:val="20"/>
              </w:rPr>
              <w:t>Archivo existente</w:t>
            </w:r>
          </w:p>
        </w:tc>
        <w:tc>
          <w:tcPr>
            <w:tcW w:type="dxa" w:w="3100"/>
          </w:tcPr>
          <w:p>
            <w:pPr>
              <w:keepNext/>
              <w:spacing w:after="0"/>
            </w:pPr>
            <w:r>
              <w:rPr>
                <w:b w:val="0"/>
                <w:sz w:val="20"/>
              </w:rPr>
              <w:t>Se omite si pesa más de cero bytes</w:t>
            </w:r>
          </w:p>
        </w:tc>
        <w:tc>
          <w:tcPr>
            <w:tcW w:type="dxa" w:w="4360"/>
          </w:tcPr>
          <w:p>
            <w:pPr>
              <w:keepNext/>
              <w:spacing w:after="0"/>
            </w:pPr>
            <w:r>
              <w:rPr>
                <w:b w:val="0"/>
                <w:sz w:val="20"/>
              </w:rPr>
              <w:t>Se omite si empieza y termina con la marca PAR1 de Parquet. Si no la tiene, se descarga de nuevo</w:t>
            </w:r>
          </w:p>
        </w:tc>
      </w:tr>
      <w:tr>
        <w:tc>
          <w:tcPr>
            <w:tcW w:type="dxa" w:w="1900"/>
          </w:tcPr>
          <w:p>
            <w:pPr>
              <w:keepNext/>
              <w:spacing w:after="0"/>
            </w:pPr>
            <w:r>
              <w:rPr>
                <w:b w:val="0"/>
                <w:sz w:val="20"/>
              </w:rPr>
              <w:t>Consulta al servidor</w:t>
            </w:r>
          </w:p>
        </w:tc>
        <w:tc>
          <w:tcPr>
            <w:tcW w:type="dxa" w:w="3100"/>
          </w:tcPr>
          <w:p>
            <w:pPr>
              <w:keepNext/>
              <w:spacing w:after="0"/>
            </w:pPr>
            <w:r>
              <w:rPr>
                <w:b w:val="0"/>
                <w:sz w:val="20"/>
              </w:rPr>
              <w:t>Un error de red cuenta como mes no publicado</w:t>
            </w:r>
          </w:p>
        </w:tc>
        <w:tc>
          <w:tcPr>
            <w:tcW w:type="dxa" w:w="4360"/>
          </w:tcPr>
          <w:p>
            <w:pPr>
              <w:keepNext/>
              <w:spacing w:after="0"/>
            </w:pPr>
            <w:r>
              <w:rPr>
                <w:b w:val="0"/>
                <w:sz w:val="20"/>
              </w:rPr>
              <w:t>Un 403 o 404 cuenta como no publicado y un error de red como fallido</w:t>
            </w:r>
          </w:p>
        </w:tc>
      </w:tr>
      <w:tr>
        <w:tc>
          <w:tcPr>
            <w:tcW w:type="dxa" w:w="1900"/>
          </w:tcPr>
          <w:p>
            <w:pPr>
              <w:keepNext/>
              <w:spacing w:after="0"/>
            </w:pPr>
            <w:r>
              <w:rPr>
                <w:b w:val="0"/>
                <w:sz w:val="20"/>
              </w:rPr>
              <w:t>Tamaño descargado</w:t>
            </w:r>
          </w:p>
        </w:tc>
        <w:tc>
          <w:tcPr>
            <w:tcW w:type="dxa" w:w="3100"/>
          </w:tcPr>
          <w:p>
            <w:pPr>
              <w:keepNext/>
              <w:spacing w:after="0"/>
            </w:pPr>
            <w:r>
              <w:rPr>
                <w:b w:val="0"/>
                <w:sz w:val="20"/>
              </w:rPr>
              <w:t>Se revisa que no sea cero</w:t>
            </w:r>
          </w:p>
        </w:tc>
        <w:tc>
          <w:tcPr>
            <w:tcW w:type="dxa" w:w="4360"/>
          </w:tcPr>
          <w:p>
            <w:pPr>
              <w:keepNext/>
              <w:spacing w:after="0"/>
            </w:pPr>
            <w:r>
              <w:rPr>
                <w:b w:val="0"/>
                <w:sz w:val="20"/>
              </w:rPr>
              <w:t>Se compara con el tamaño que informa el servidor antes de renombrar el archivo temporal, con hasta tres intentos</w:t>
            </w:r>
          </w:p>
        </w:tc>
      </w:tr>
      <w:tr>
        <w:tc>
          <w:tcPr>
            <w:tcW w:type="dxa" w:w="1900"/>
          </w:tcPr>
          <w:p>
            <w:pPr>
              <w:keepNext/>
              <w:spacing w:after="0"/>
            </w:pPr>
            <w:r>
              <w:rPr>
                <w:b w:val="0"/>
                <w:sz w:val="20"/>
              </w:rPr>
              <w:t>Mensajes</w:t>
            </w:r>
          </w:p>
        </w:tc>
        <w:tc>
          <w:tcPr>
            <w:tcW w:type="dxa" w:w="3100"/>
          </w:tcPr>
          <w:p>
            <w:pPr>
              <w:keepNext/>
              <w:spacing w:after="0"/>
            </w:pPr>
            <w:r>
              <w:rPr>
                <w:b w:val="0"/>
                <w:sz w:val="20"/>
              </w:rPr>
              <w:t>Año fijo en el texto</w:t>
            </w:r>
          </w:p>
        </w:tc>
        <w:tc>
          <w:tcPr>
            <w:tcW w:type="dxa" w:w="4360"/>
          </w:tcPr>
          <w:p>
            <w:pPr>
              <w:keepNext/>
              <w:spacing w:after="0"/>
            </w:pPr>
            <w:r>
              <w:rPr>
                <w:b w:val="0"/>
                <w:sz w:val="20"/>
              </w:rPr>
              <w:t>Tipo y año de cada archivo</w:t>
            </w:r>
          </w:p>
        </w:tc>
      </w:tr>
      <w:tr>
        <w:tc>
          <w:tcPr>
            <w:tcW w:type="dxa" w:w="1900"/>
          </w:tcPr>
          <w:p>
            <w:pPr>
              <w:keepNext w:val="0"/>
              <w:spacing w:after="0"/>
            </w:pPr>
            <w:r>
              <w:rPr>
                <w:b w:val="0"/>
                <w:sz w:val="20"/>
              </w:rPr>
              <w:t>Catálogo de zonas</w:t>
            </w:r>
          </w:p>
        </w:tc>
        <w:tc>
          <w:tcPr>
            <w:tcW w:type="dxa" w:w="3100"/>
          </w:tcPr>
          <w:p>
            <w:pPr>
              <w:keepNext w:val="0"/>
              <w:spacing w:after="0"/>
            </w:pPr>
            <w:r>
              <w:rPr>
                <w:b w:val="0"/>
                <w:sz w:val="20"/>
              </w:rPr>
              <w:t>No se descarga</w:t>
            </w:r>
          </w:p>
        </w:tc>
        <w:tc>
          <w:tcPr>
            <w:tcW w:type="dxa" w:w="4360"/>
          </w:tcPr>
          <w:p>
            <w:pPr>
              <w:keepNext w:val="0"/>
              <w:spacing w:after="0"/>
            </w:pPr>
            <w:r>
              <w:rPr>
                <w:b w:val="0"/>
                <w:sz w:val="20"/>
              </w:rPr>
              <w:t>Se descarga en data/raw/zonas para unir los viajes con distritos y zonas en el ejercicio 4</w:t>
            </w:r>
          </w:p>
        </w:tc>
      </w:tr>
    </w:tbl>
    <w:p>
      <w:pPr>
        <w:spacing w:after="60" w:line="120" w:lineRule="exact"/>
      </w:pPr>
    </w:p>
    <w:p>
      <w:pPr>
        <w:spacing w:after="120"/>
      </w:pPr>
      <w:r>
        <w:t>El resumen final y el código de salida 1 cuando algo falla se conservan del script original.</w:t>
      </w:r>
    </w:p>
    <w:p>
      <w:pPr>
        <w:spacing w:after="120"/>
      </w:pPr>
      <w:r>
        <w:t>En este ejercicio ANIOS contenía 2026. El ejercicio 5 agregó 2024 y el ejercicio 8 agregó 2025, sin otros cambios al código.</w:t>
      </w:r>
    </w:p>
    <w:p>
      <w:pPr>
        <w:pStyle w:val="Heading2"/>
        <w:keepNext/>
      </w:pPr>
      <w:r>
        <w:t>2.5 Ejecución</w:t>
      </w:r>
    </w:p>
    <w:p>
      <w:pPr>
        <w:keepNext/>
        <w:spacing w:after="120"/>
      </w:pPr>
      <w:r>
        <w:t>El script se ejecutó dos veces dentro del servicio lab, la primera con data/raw vacía. La salida está en docs/evidencias/02_descarga_2026.txt.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5" w:type="dxa"/>
          <w:left w:w="100" w:type="dxa"/>
          <w:bottom w:w="15" w:type="dxa"/>
          <w:right w:w="100" w:type="dxa"/>
        </w:tblCellMar>
        <w:tblLook w:firstColumn="1" w:firstRow="1" w:lastColumn="0" w:lastRow="0" w:noHBand="0" w:noVBand="1" w:val="04A0"/>
      </w:tblPr>
      <w:tblGrid>
        <w:gridCol w:w="1872"/>
        <w:gridCol w:w="1872"/>
        <w:gridCol w:w="1872"/>
        <w:gridCol w:w="1872"/>
        <w:gridCol w:w="1872"/>
      </w:tblGrid>
      <w:tr>
        <w:trPr>
          <w:tblHeader/>
        </w:trPr>
        <w:tc>
          <w:tcPr>
            <w:tcW w:type="dxa" w:w="1872"/>
            <w:shd w:val="clear" w:color="auto" w:fill="D9E2F3"/>
          </w:tcPr>
          <w:p>
            <w:pPr>
              <w:keepNext/>
              <w:spacing w:after="0"/>
            </w:pPr>
            <w:r>
              <w:rPr>
                <w:b/>
                <w:sz w:val="20"/>
              </w:rPr>
              <w:t>Ejecución</w:t>
            </w:r>
          </w:p>
        </w:tc>
        <w:tc>
          <w:tcPr>
            <w:tcW w:type="dxa" w:w="1872"/>
            <w:shd w:val="clear" w:color="auto" w:fill="D9E2F3"/>
          </w:tcPr>
          <w:p>
            <w:pPr>
              <w:keepNext/>
              <w:spacing w:after="0"/>
            </w:pPr>
            <w:r>
              <w:rPr>
                <w:b/>
                <w:sz w:val="20"/>
              </w:rPr>
              <w:t>Descargados</w:t>
            </w:r>
          </w:p>
        </w:tc>
        <w:tc>
          <w:tcPr>
            <w:tcW w:type="dxa" w:w="1872"/>
            <w:shd w:val="clear" w:color="auto" w:fill="D9E2F3"/>
          </w:tcPr>
          <w:p>
            <w:pPr>
              <w:keepNext/>
              <w:spacing w:after="0"/>
            </w:pPr>
            <w:r>
              <w:rPr>
                <w:b/>
                <w:sz w:val="20"/>
              </w:rPr>
              <w:t>Ya existían</w:t>
            </w:r>
          </w:p>
        </w:tc>
        <w:tc>
          <w:tcPr>
            <w:tcW w:type="dxa" w:w="1872"/>
            <w:shd w:val="clear" w:color="auto" w:fill="D9E2F3"/>
          </w:tcPr>
          <w:p>
            <w:pPr>
              <w:keepNext/>
              <w:spacing w:after="0"/>
            </w:pPr>
            <w:r>
              <w:rPr>
                <w:b/>
                <w:sz w:val="20"/>
              </w:rPr>
              <w:t>No publicados</w:t>
            </w:r>
          </w:p>
        </w:tc>
        <w:tc>
          <w:tcPr>
            <w:tcW w:type="dxa" w:w="1872"/>
            <w:shd w:val="clear" w:color="auto" w:fill="D9E2F3"/>
          </w:tcPr>
          <w:p>
            <w:pPr>
              <w:keepNext/>
              <w:spacing w:after="0"/>
            </w:pPr>
            <w:r>
              <w:rPr>
                <w:b/>
                <w:sz w:val="20"/>
              </w:rPr>
              <w:t>Fallidos</w:t>
            </w:r>
          </w:p>
        </w:tc>
      </w:tr>
      <w:tr>
        <w:tc>
          <w:tcPr>
            <w:tcW w:type="dxa" w:w="1872"/>
          </w:tcPr>
          <w:p>
            <w:pPr>
              <w:keepNext/>
              <w:spacing w:after="0"/>
            </w:pPr>
            <w:r>
              <w:rPr>
                <w:b w:val="0"/>
                <w:sz w:val="20"/>
              </w:rPr>
              <w:t>Primera</w:t>
            </w:r>
          </w:p>
        </w:tc>
        <w:tc>
          <w:tcPr>
            <w:tcW w:type="dxa" w:w="1872"/>
          </w:tcPr>
          <w:p>
            <w:pPr>
              <w:keepNext/>
              <w:spacing w:after="0"/>
            </w:pPr>
            <w:r>
              <w:rPr>
                <w:b w:val="0"/>
                <w:sz w:val="20"/>
              </w:rPr>
              <w:t>16</w:t>
            </w:r>
          </w:p>
        </w:tc>
        <w:tc>
          <w:tcPr>
            <w:tcW w:type="dxa" w:w="1872"/>
          </w:tcPr>
          <w:p>
            <w:pPr>
              <w:keepNext/>
              <w:spacing w:after="0"/>
            </w:pPr>
            <w:r>
              <w:rPr>
                <w:b w:val="0"/>
                <w:sz w:val="20"/>
              </w:rPr>
              <w:t>0</w:t>
            </w:r>
          </w:p>
        </w:tc>
        <w:tc>
          <w:tcPr>
            <w:tcW w:type="dxa" w:w="1872"/>
          </w:tcPr>
          <w:p>
            <w:pPr>
              <w:keepNext/>
              <w:spacing w:after="0"/>
            </w:pPr>
            <w:r>
              <w:rPr>
                <w:b w:val="0"/>
                <w:sz w:val="20"/>
              </w:rPr>
              <w:t>8</w:t>
            </w:r>
          </w:p>
        </w:tc>
        <w:tc>
          <w:tcPr>
            <w:tcW w:type="dxa" w:w="1872"/>
          </w:tcPr>
          <w:p>
            <w:pPr>
              <w:keepNext/>
              <w:spacing w:after="0"/>
            </w:pPr>
            <w:r>
              <w:rPr>
                <w:b w:val="0"/>
                <w:sz w:val="20"/>
              </w:rPr>
              <w:t>0</w:t>
            </w:r>
          </w:p>
        </w:tc>
      </w:tr>
      <w:tr>
        <w:tc>
          <w:tcPr>
            <w:tcW w:type="dxa" w:w="1872"/>
          </w:tcPr>
          <w:p>
            <w:pPr>
              <w:keepNext w:val="0"/>
              <w:spacing w:after="0"/>
            </w:pPr>
            <w:r>
              <w:rPr>
                <w:b w:val="0"/>
                <w:sz w:val="20"/>
              </w:rPr>
              <w:t>Segunda</w:t>
            </w:r>
          </w:p>
        </w:tc>
        <w:tc>
          <w:tcPr>
            <w:tcW w:type="dxa" w:w="1872"/>
          </w:tcPr>
          <w:p>
            <w:pPr>
              <w:keepNext w:val="0"/>
              <w:spacing w:after="0"/>
            </w:pPr>
            <w:r>
              <w:rPr>
                <w:b w:val="0"/>
                <w:sz w:val="20"/>
              </w:rPr>
              <w:t>0</w:t>
            </w:r>
          </w:p>
        </w:tc>
        <w:tc>
          <w:tcPr>
            <w:tcW w:type="dxa" w:w="1872"/>
          </w:tcPr>
          <w:p>
            <w:pPr>
              <w:keepNext w:val="0"/>
              <w:spacing w:after="0"/>
            </w:pPr>
            <w:r>
              <w:rPr>
                <w:b w:val="0"/>
                <w:sz w:val="20"/>
              </w:rPr>
              <w:t>16</w:t>
            </w:r>
          </w:p>
        </w:tc>
        <w:tc>
          <w:tcPr>
            <w:tcW w:type="dxa" w:w="1872"/>
          </w:tcPr>
          <w:p>
            <w:pPr>
              <w:keepNext w:val="0"/>
              <w:spacing w:after="0"/>
            </w:pPr>
            <w:r>
              <w:rPr>
                <w:b w:val="0"/>
                <w:sz w:val="20"/>
              </w:rPr>
              <w:t>8</w:t>
            </w:r>
          </w:p>
        </w:tc>
        <w:tc>
          <w:tcPr>
            <w:tcW w:type="dxa" w:w="1872"/>
          </w:tcPr>
          <w:p>
            <w:pPr>
              <w:keepNext w:val="0"/>
              <w:spacing w:after="0"/>
            </w:pPr>
            <w:r>
              <w:rPr>
                <w:b w:val="0"/>
                <w:sz w:val="20"/>
              </w:rPr>
              <w:t>0</w:t>
            </w:r>
          </w:p>
        </w:tc>
      </w:tr>
    </w:tbl>
    <w:p>
      <w:pPr>
        <w:spacing w:after="60" w:line="120" w:lineRule="exact"/>
      </w:pPr>
    </w:p>
    <w:p>
      <w:pPr>
        <w:spacing w:after="120"/>
      </w:pPr>
      <w:r>
        <w:t>La segunda ejecución no descargó archivos. Los 8 no publicados son septiembre a diciembre de 2026 de cada tipo, que la TLC no había publicado al 6 de octubre de 2026.</w:t>
      </w:r>
    </w:p>
    <w:p>
      <w:pPr>
        <w:keepNext/>
        <w:spacing w:after="120"/>
      </w:pPr>
      <w:r>
        <w:t>Después, verificar_descarga.py dio este resultado.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5" w:type="dxa"/>
          <w:left w:w="100" w:type="dxa"/>
          <w:bottom w:w="15" w:type="dxa"/>
          <w:right w:w="100" w:type="dxa"/>
        </w:tblCellMar>
        <w:tblLook w:firstColumn="1" w:firstRow="1" w:lastColumn="0" w:lastRow="0" w:noHBand="0" w:noVBand="1" w:val="04A0"/>
      </w:tblPr>
      <w:tblGrid>
        <w:gridCol w:w="1400"/>
        <w:gridCol w:w="1300"/>
        <w:gridCol w:w="2300"/>
        <w:gridCol w:w="2300"/>
        <w:gridCol w:w="2060"/>
      </w:tblGrid>
      <w:tr>
        <w:trPr>
          <w:tblHeader/>
        </w:trPr>
        <w:tc>
          <w:tcPr>
            <w:tcW w:type="dxa" w:w="1400"/>
            <w:shd w:val="clear" w:color="auto" w:fill="D9E2F3"/>
          </w:tcPr>
          <w:p>
            <w:pPr>
              <w:keepNext/>
              <w:spacing w:after="0"/>
            </w:pPr>
            <w:r>
              <w:rPr>
                <w:b/>
                <w:sz w:val="20"/>
              </w:rPr>
              <w:t>Tipo</w:t>
            </w:r>
          </w:p>
        </w:tc>
        <w:tc>
          <w:tcPr>
            <w:tcW w:type="dxa" w:w="1300"/>
            <w:shd w:val="clear" w:color="auto" w:fill="D9E2F3"/>
          </w:tcPr>
          <w:p>
            <w:pPr>
              <w:keepNext/>
              <w:spacing w:after="0"/>
            </w:pPr>
            <w:r>
              <w:rPr>
                <w:b/>
                <w:sz w:val="20"/>
              </w:rPr>
              <w:t>Archivos</w:t>
            </w:r>
          </w:p>
        </w:tc>
        <w:tc>
          <w:tcPr>
            <w:tcW w:type="dxa" w:w="2300"/>
            <w:shd w:val="clear" w:color="auto" w:fill="D9E2F3"/>
          </w:tcPr>
          <w:p>
            <w:pPr>
              <w:keepNext/>
              <w:spacing w:after="0"/>
            </w:pPr>
            <w:r>
              <w:rPr>
                <w:b/>
                <w:sz w:val="20"/>
              </w:rPr>
              <w:t>Meses</w:t>
            </w:r>
          </w:p>
        </w:tc>
        <w:tc>
          <w:tcPr>
            <w:tcW w:type="dxa" w:w="2300"/>
            <w:shd w:val="clear" w:color="auto" w:fill="D9E2F3"/>
          </w:tcPr>
          <w:p>
            <w:pPr>
              <w:keepNext/>
              <w:spacing w:after="0"/>
            </w:pPr>
            <w:r>
              <w:rPr>
                <w:b/>
                <w:sz w:val="20"/>
              </w:rPr>
              <w:t>Registros</w:t>
            </w:r>
          </w:p>
        </w:tc>
        <w:tc>
          <w:tcPr>
            <w:tcW w:type="dxa" w:w="2060"/>
            <w:shd w:val="clear" w:color="auto" w:fill="D9E2F3"/>
          </w:tcPr>
          <w:p>
            <w:pPr>
              <w:keepNext/>
              <w:spacing w:after="0"/>
            </w:pPr>
            <w:r>
              <w:rPr>
                <w:b/>
                <w:sz w:val="20"/>
              </w:rPr>
              <w:t>Tamaño</w:t>
            </w:r>
          </w:p>
        </w:tc>
      </w:tr>
      <w:tr>
        <w:tc>
          <w:tcPr>
            <w:tcW w:type="dxa" w:w="1400"/>
          </w:tcPr>
          <w:p>
            <w:pPr>
              <w:keepNext/>
              <w:spacing w:after="0"/>
            </w:pPr>
            <w:r>
              <w:rPr>
                <w:b w:val="0"/>
                <w:sz w:val="20"/>
              </w:rPr>
              <w:t>yellow</w:t>
            </w:r>
          </w:p>
        </w:tc>
        <w:tc>
          <w:tcPr>
            <w:tcW w:type="dxa" w:w="1300"/>
          </w:tcPr>
          <w:p>
            <w:pPr>
              <w:keepNext/>
              <w:spacing w:after="0"/>
            </w:pPr>
            <w:r>
              <w:rPr>
                <w:b w:val="0"/>
                <w:sz w:val="20"/>
              </w:rPr>
              <w:t>8</w:t>
            </w:r>
          </w:p>
        </w:tc>
        <w:tc>
          <w:tcPr>
            <w:tcW w:type="dxa" w:w="2300"/>
          </w:tcPr>
          <w:p>
            <w:pPr>
              <w:keepNext/>
              <w:spacing w:after="0"/>
            </w:pPr>
            <w:r>
              <w:rPr>
                <w:b w:val="0"/>
                <w:sz w:val="20"/>
              </w:rPr>
              <w:t>enero a agosto</w:t>
            </w:r>
          </w:p>
        </w:tc>
        <w:tc>
          <w:tcPr>
            <w:tcW w:type="dxa" w:w="2300"/>
          </w:tcPr>
          <w:p>
            <w:pPr>
              <w:keepNext/>
              <w:spacing w:after="0"/>
            </w:pPr>
            <w:r>
              <w:rPr>
                <w:b w:val="0"/>
                <w:sz w:val="20"/>
              </w:rPr>
              <w:t>29,703,355</w:t>
            </w:r>
          </w:p>
        </w:tc>
        <w:tc>
          <w:tcPr>
            <w:tcW w:type="dxa" w:w="2060"/>
          </w:tcPr>
          <w:p>
            <w:pPr>
              <w:keepNext/>
              <w:spacing w:after="0"/>
            </w:pPr>
            <w:r>
              <w:rPr>
                <w:b w:val="0"/>
                <w:sz w:val="20"/>
              </w:rPr>
              <w:t>511.5 MB</w:t>
            </w:r>
          </w:p>
        </w:tc>
      </w:tr>
      <w:tr>
        <w:tc>
          <w:tcPr>
            <w:tcW w:type="dxa" w:w="1400"/>
          </w:tcPr>
          <w:p>
            <w:pPr>
              <w:keepNext w:val="0"/>
              <w:spacing w:after="0"/>
            </w:pPr>
            <w:r>
              <w:rPr>
                <w:b w:val="0"/>
                <w:sz w:val="20"/>
              </w:rPr>
              <w:t>green</w:t>
            </w:r>
          </w:p>
        </w:tc>
        <w:tc>
          <w:tcPr>
            <w:tcW w:type="dxa" w:w="1300"/>
          </w:tcPr>
          <w:p>
            <w:pPr>
              <w:keepNext w:val="0"/>
              <w:spacing w:after="0"/>
            </w:pPr>
            <w:r>
              <w:rPr>
                <w:b w:val="0"/>
                <w:sz w:val="20"/>
              </w:rPr>
              <w:t>8</w:t>
            </w:r>
          </w:p>
        </w:tc>
        <w:tc>
          <w:tcPr>
            <w:tcW w:type="dxa" w:w="2300"/>
          </w:tcPr>
          <w:p>
            <w:pPr>
              <w:keepNext w:val="0"/>
              <w:spacing w:after="0"/>
            </w:pPr>
            <w:r>
              <w:rPr>
                <w:b w:val="0"/>
                <w:sz w:val="20"/>
              </w:rPr>
              <w:t>enero a agosto</w:t>
            </w:r>
          </w:p>
        </w:tc>
        <w:tc>
          <w:tcPr>
            <w:tcW w:type="dxa" w:w="2300"/>
          </w:tcPr>
          <w:p>
            <w:pPr>
              <w:keepNext w:val="0"/>
              <w:spacing w:after="0"/>
            </w:pPr>
            <w:r>
              <w:rPr>
                <w:b w:val="0"/>
                <w:sz w:val="20"/>
              </w:rPr>
              <w:t>337,114</w:t>
            </w:r>
          </w:p>
        </w:tc>
        <w:tc>
          <w:tcPr>
            <w:tcW w:type="dxa" w:w="2060"/>
          </w:tcPr>
          <w:p>
            <w:pPr>
              <w:keepNext w:val="0"/>
              <w:spacing w:after="0"/>
            </w:pPr>
            <w:r>
              <w:rPr>
                <w:b w:val="0"/>
                <w:sz w:val="20"/>
              </w:rPr>
              <w:t>8.3 MB</w:t>
            </w:r>
          </w:p>
        </w:tc>
      </w:tr>
    </w:tbl>
    <w:p>
      <w:pPr>
        <w:spacing w:after="60" w:line="120" w:lineRule="exact"/>
      </w:pPr>
    </w:p>
    <w:p>
      <w:pPr>
        <w:spacing w:after="120"/>
      </w:pPr>
      <w:r>
        <w:t>Los 16 archivos publicados están completos. El detalle por archivo está en docs/evidencias/02_verificacion_descarga.csv, que se reescribe en cada verificación y hoy incluye 2024, 2025 y 2026.</w:t>
      </w:r>
    </w:p>
    <w:p>
      <w:pPr>
        <w:pStyle w:val="Heading2"/>
        <w:keepNext/>
      </w:pPr>
      <w:r>
        <w:t>2.7 Cómo se determinó que el conjunto está completo</w:t>
      </w:r>
    </w:p>
    <w:p>
      <w:pPr>
        <w:spacing w:after="120"/>
      </w:pPr>
      <w:r>
        <w:t>El script verificar_descarga.py toma los años, los tipos y las rutas de download_data.py y revisa cada archivo en tres pasos.</w:t>
      </w:r>
    </w:p>
    <w:p>
      <w:pPr>
        <w:pStyle w:val="ListParagraph"/>
        <w:numPr>
          <w:ilvl w:val="0"/>
          <w:numId w:val="52"/>
        </w:numPr>
        <w:spacing w:after="60"/>
      </w:pPr>
      <w:r>
        <w:t>Toma como referencia los archivos enlazados en la página de datos de la TLC, una fuente distinta del servidor que usa la descarga. Para 2026 la página enlaza enero a agosto de yellow y green.</w:t>
      </w:r>
    </w:p>
    <w:p>
      <w:pPr>
        <w:pStyle w:val="ListParagraph"/>
        <w:numPr>
          <w:ilvl w:val="0"/>
          <w:numId w:val="52"/>
        </w:numPr>
        <w:spacing w:after="60"/>
      </w:pPr>
      <w:r>
        <w:t>Compara los bytes en disco con el tamaño que informa el servidor. Un archivo cortado tiene menos bytes.</w:t>
      </w:r>
    </w:p>
    <w:p>
      <w:pPr>
        <w:pStyle w:val="ListParagraph"/>
        <w:numPr>
          <w:ilvl w:val="0"/>
          <w:numId w:val="52"/>
        </w:numPr>
        <w:spacing w:after="120"/>
      </w:pPr>
      <w:r>
        <w:t>Lee con DuckDB el pie del Parquet y obtiene su número de registros. Un archivo dañado o una página de error guardada como Parquet falla en este paso.</w:t>
      </w:r>
    </w:p>
    <w:p>
      <w:pPr>
        <w:spacing w:after="120"/>
      </w:pPr>
      <w:r>
        <w:t>El script marca como no publicado cualquier Parquet de data/raw que no esté en la lista de la TLC, y termina con código 1 si algún archivo no está completo.</w:t>
      </w:r>
    </w:p>
    <w:p>
      <w:pPr>
        <w:spacing w:after="120"/>
      </w:pPr>
      <w:r>
        <w:t>Para probar el criterio se cortó green_tripdata_2026-02.parquet, se borró green_tripdata_2026-03.parquet y se guardó una página de error como yellow_tripdata_2026-09.parquet. La verificación reportó tamaño distinto, falta y no publicado, con 14 de 16 archivos completos. Al ejecutar la descarga, el script detectó el archivo cortado por la falta de la marca PAR1, lo descargó de nuevo junto con el faltante y dejó septiembre como no publicado. Después de borrar la página de error, la verificación volvió a 16 de 16. La salida está en docs/evidencias/02_prueba_errores.txt.</w:t>
      </w:r>
    </w:p>
    <w:sectPr>
      <w:head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sz w:val="20"/>
        <w:szCs w:val="20"/>
      </w:rPr>
      <w:t xml:space="preserve">Laboratorio 8. DuckDB</w:t>
    </w:r>
  </w:p>
  <w:p>
    <w:pPr>
      <w:pBdr>
        <w:bottom w:val="single" w:color="BFBFBF" w:sz="4" w:space="4"/>
      </w:pBdr>
      <w:spacing w:after="120"/>
    </w:pPr>
    <w:r>
      <w:rPr>
        <w:color w:val="595959"/>
        <w:sz w:val="18"/>
        <w:szCs w:val="18"/>
      </w:rPr>
      <w:t xml:space="preserve">Javier Eduardo España (23361), Angel Esteban Esquit (23221), Roberto Jose Barreda (23354)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90">
    <w:multiLevelType w:val="singleLevel"/>
    <w:lvl w:ilvl="0">
      <w:start w:val="1"/>
      <w:numFmt w:val="decimal"/>
      <w:lvlText w:val="%1."/>
      <w:lvlJc w:val="left"/>
      <w:pPr>
        <w:ind w:left="720" w:hanging="360"/>
      </w:pPr>
    </w:lvl>
  </w:abstractNum>
  <w:num w:numId="1">
    <w:abstractNumId w:val="1"/>
    <w:lvlOverride w:ilvl="0">
      <w:startOverride w:val="1"/>
    </w:lvlOverride>
  </w:num>
  <w:num w:numId="51">
    <w:abstractNumId w:val="90"/>
    <w:lvlOverride w:ilvl="0">
      <w:startOverride w:val="1"/>
    </w:lvlOverride>
  </w:num>
  <w:num w:numId="52">
    <w:abstractNumId w:val="9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2026-10-07T17:08:25.944Z</dcterms:created>
  <dcterms:modified xsi:type="dcterms:W3CDTF">2026-10-07T17:08:25.944Z</dcterms:modified>
  <dc:title>Ejercicio 2. Desarrollo del sistema de descarga</dc:title>
</cp:coreProperties>
</file>

<file path=docProps/custom.xml><?xml version="1.0" encoding="utf-8"?>
<Properties xmlns="http://schemas.openxmlformats.org/officeDocument/2006/custom-properties" xmlns:vt="http://schemas.openxmlformats.org/officeDocument/2006/docPropsVTypes"/>
</file>